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76E45" w14:textId="78AD69F2" w:rsidR="00067C8C" w:rsidRDefault="005A1CAF" w:rsidP="00067C8C">
      <w:pPr>
        <w:pStyle w:val="Title"/>
      </w:pPr>
      <w:r>
        <w:rPr>
          <w:noProof/>
        </w:rPr>
        <w:drawing>
          <wp:anchor distT="0" distB="0" distL="114300" distR="114300" simplePos="0" relativeHeight="251658240" behindDoc="0" locked="0" layoutInCell="1" allowOverlap="1" wp14:anchorId="7CC5DF6B" wp14:editId="5A0D800D">
            <wp:simplePos x="0" y="0"/>
            <wp:positionH relativeFrom="page">
              <wp:align>left</wp:align>
            </wp:positionH>
            <wp:positionV relativeFrom="paragraph">
              <wp:posOffset>-782690</wp:posOffset>
            </wp:positionV>
            <wp:extent cx="7584568" cy="10728406"/>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4568" cy="10728406"/>
                    </a:xfrm>
                    <a:prstGeom prst="rect">
                      <a:avLst/>
                    </a:prstGeom>
                  </pic:spPr>
                </pic:pic>
              </a:graphicData>
            </a:graphic>
            <wp14:sizeRelH relativeFrom="page">
              <wp14:pctWidth>0</wp14:pctWidth>
            </wp14:sizeRelH>
            <wp14:sizeRelV relativeFrom="page">
              <wp14:pctHeight>0</wp14:pctHeight>
            </wp14:sizeRelV>
          </wp:anchor>
        </w:drawing>
      </w:r>
      <w:r>
        <w:rPr>
          <w:noProof/>
        </w:rPr>
        <w:t>111</w:t>
      </w:r>
    </w:p>
    <w:p w14:paraId="05565BDB" w14:textId="77777777" w:rsidR="00067C8C" w:rsidRDefault="00067C8C" w:rsidP="00067C8C">
      <w:pPr>
        <w:pStyle w:val="Title"/>
      </w:pPr>
    </w:p>
    <w:p w14:paraId="5D0E9CF3" w14:textId="77777777" w:rsidR="00067C8C" w:rsidRDefault="00067C8C" w:rsidP="00067C8C">
      <w:pPr>
        <w:pStyle w:val="Title"/>
      </w:pPr>
    </w:p>
    <w:p w14:paraId="14A7FF8E" w14:textId="77777777" w:rsidR="00067C8C" w:rsidRDefault="00067C8C" w:rsidP="00067C8C">
      <w:pPr>
        <w:pStyle w:val="Title"/>
      </w:pPr>
    </w:p>
    <w:p w14:paraId="0C03A5EF" w14:textId="77777777" w:rsidR="00067C8C" w:rsidRDefault="00067C8C" w:rsidP="00067C8C">
      <w:pPr>
        <w:pStyle w:val="Title"/>
      </w:pPr>
    </w:p>
    <w:p w14:paraId="03016FE9" w14:textId="77777777" w:rsidR="00067C8C" w:rsidRDefault="00067C8C" w:rsidP="00067C8C">
      <w:pPr>
        <w:pStyle w:val="Title"/>
      </w:pPr>
    </w:p>
    <w:p w14:paraId="40A49900" w14:textId="77777777" w:rsidR="00C878F8" w:rsidRPr="0018524A" w:rsidRDefault="00C878F8" w:rsidP="00C878F8">
      <w:pPr>
        <w:pStyle w:val="Title"/>
      </w:pPr>
      <w:r w:rsidRPr="0018524A">
        <w:t>Australasian Gross Alpha/Gross Beta</w:t>
      </w:r>
    </w:p>
    <w:p w14:paraId="4738B735" w14:textId="058E6CD2" w:rsidR="00067C8C" w:rsidRPr="0018524A" w:rsidRDefault="00C878F8" w:rsidP="00C878F8">
      <w:pPr>
        <w:pStyle w:val="Title"/>
      </w:pPr>
      <w:r w:rsidRPr="0018524A">
        <w:t>Capability Exercise – 2020</w:t>
      </w:r>
    </w:p>
    <w:p w14:paraId="65D93682" w14:textId="77777777" w:rsidR="00067C8C" w:rsidRDefault="00067C8C" w:rsidP="00067C8C"/>
    <w:p w14:paraId="590CF34A" w14:textId="03A371E2" w:rsidR="00067C8C" w:rsidRPr="004E4B0B" w:rsidRDefault="00C878F8" w:rsidP="00067C8C">
      <w:pPr>
        <w:pStyle w:val="Title"/>
        <w:rPr>
          <w:b w:val="0"/>
          <w:bCs/>
          <w:color w:val="444448" w:themeColor="accent4"/>
          <w:sz w:val="44"/>
        </w:rPr>
      </w:pPr>
      <w:r w:rsidRPr="004E4B0B">
        <w:rPr>
          <w:b w:val="0"/>
          <w:bCs/>
          <w:color w:val="444448" w:themeColor="accent4"/>
          <w:sz w:val="44"/>
        </w:rPr>
        <w:t>Tech</w:t>
      </w:r>
      <w:r w:rsidR="0018524A" w:rsidRPr="004E4B0B">
        <w:rPr>
          <w:b w:val="0"/>
          <w:bCs/>
          <w:color w:val="444448" w:themeColor="accent4"/>
          <w:sz w:val="44"/>
        </w:rPr>
        <w:t>n</w:t>
      </w:r>
      <w:r w:rsidRPr="004E4B0B">
        <w:rPr>
          <w:b w:val="0"/>
          <w:bCs/>
          <w:color w:val="444448" w:themeColor="accent4"/>
          <w:sz w:val="44"/>
        </w:rPr>
        <w:t>ical Report 185</w:t>
      </w:r>
    </w:p>
    <w:p w14:paraId="60DE4475" w14:textId="77777777" w:rsidR="00310092" w:rsidRPr="004E4B0B" w:rsidRDefault="00310092" w:rsidP="00310092">
      <w:pPr>
        <w:rPr>
          <w:bCs/>
          <w:color w:val="444448" w:themeColor="accent4"/>
        </w:rPr>
      </w:pPr>
    </w:p>
    <w:p w14:paraId="49F52FE5" w14:textId="77777777" w:rsidR="00310092" w:rsidRPr="004E4B0B" w:rsidRDefault="00310092" w:rsidP="00310092">
      <w:pPr>
        <w:rPr>
          <w:bCs/>
          <w:color w:val="444448" w:themeColor="accent4"/>
        </w:rPr>
      </w:pPr>
    </w:p>
    <w:p w14:paraId="20351CB0" w14:textId="5B5774B2" w:rsidR="00310092" w:rsidRPr="00310092" w:rsidRDefault="0018524A" w:rsidP="00310092">
      <w:r w:rsidRPr="004E4B0B">
        <w:rPr>
          <w:rFonts w:ascii="Calibri" w:eastAsiaTheme="majorEastAsia" w:hAnsi="Calibri" w:cstheme="majorBidi"/>
          <w:bCs/>
          <w:color w:val="444448" w:themeColor="accent4"/>
          <w:spacing w:val="5"/>
          <w:kern w:val="28"/>
          <w:sz w:val="44"/>
          <w:szCs w:val="52"/>
        </w:rPr>
        <w:t>E. Barnes</w:t>
      </w:r>
    </w:p>
    <w:p w14:paraId="309A4077" w14:textId="77777777" w:rsidR="00067C8C" w:rsidRDefault="00067C8C" w:rsidP="00067C8C"/>
    <w:p w14:paraId="28A7D55F" w14:textId="77777777" w:rsidR="00067C8C" w:rsidRDefault="00067C8C" w:rsidP="00067C8C"/>
    <w:p w14:paraId="49B16392" w14:textId="77777777" w:rsidR="00067C8C" w:rsidRDefault="00067C8C" w:rsidP="00067C8C"/>
    <w:p w14:paraId="3545AB83" w14:textId="77777777" w:rsidR="00067C8C" w:rsidRDefault="00067C8C">
      <w:r>
        <w:br w:type="page"/>
      </w:r>
    </w:p>
    <w:tbl>
      <w:tblPr>
        <w:tblStyle w:val="TableGrid"/>
        <w:tblW w:w="0" w:type="auto"/>
        <w:tblInd w:w="108" w:type="dxa"/>
        <w:tblLook w:val="04A0" w:firstRow="1" w:lastRow="0" w:firstColumn="1" w:lastColumn="0" w:noHBand="0" w:noVBand="1"/>
      </w:tblPr>
      <w:tblGrid>
        <w:gridCol w:w="9520"/>
      </w:tblGrid>
      <w:tr w:rsidR="0060042E" w14:paraId="548A48A8" w14:textId="77777777" w:rsidTr="0060042E">
        <w:tc>
          <w:tcPr>
            <w:tcW w:w="9639" w:type="dxa"/>
          </w:tcPr>
          <w:p w14:paraId="4CD18167" w14:textId="77777777" w:rsidR="0060042E" w:rsidRDefault="0060042E" w:rsidP="0060042E">
            <w:pPr>
              <w:pStyle w:val="Text"/>
              <w:spacing w:before="0" w:after="0" w:line="240" w:lineRule="auto"/>
              <w:rPr>
                <w:sz w:val="18"/>
                <w:szCs w:val="18"/>
                <w:lang w:eastAsia="en-US"/>
              </w:rPr>
            </w:pPr>
          </w:p>
          <w:p w14:paraId="1C5E2AD5" w14:textId="5F333463" w:rsidR="0060042E" w:rsidRPr="00F55D63" w:rsidRDefault="0060042E" w:rsidP="0060042E">
            <w:pPr>
              <w:pStyle w:val="Text"/>
              <w:spacing w:before="0" w:after="0" w:line="240" w:lineRule="auto"/>
              <w:rPr>
                <w:sz w:val="18"/>
                <w:szCs w:val="18"/>
              </w:rPr>
            </w:pPr>
            <w:r w:rsidRPr="00F55D63">
              <w:rPr>
                <w:sz w:val="18"/>
                <w:szCs w:val="18"/>
                <w:lang w:eastAsia="en-US"/>
              </w:rPr>
              <w:t>© Commonwealth of Australia 20</w:t>
            </w:r>
            <w:r w:rsidR="00C878F8">
              <w:rPr>
                <w:sz w:val="18"/>
                <w:szCs w:val="18"/>
                <w:lang w:eastAsia="en-US"/>
              </w:rPr>
              <w:t>21</w:t>
            </w:r>
          </w:p>
          <w:p w14:paraId="639DDBC2" w14:textId="77777777" w:rsidR="0060042E" w:rsidRPr="00F55D63" w:rsidRDefault="0060042E" w:rsidP="0060042E">
            <w:pPr>
              <w:pStyle w:val="Text"/>
              <w:spacing w:before="0" w:after="0" w:line="240" w:lineRule="auto"/>
              <w:rPr>
                <w:sz w:val="18"/>
                <w:szCs w:val="18"/>
              </w:rPr>
            </w:pPr>
            <w:r w:rsidRPr="00F55D63">
              <w:rPr>
                <w:sz w:val="18"/>
                <w:szCs w:val="18"/>
              </w:rPr>
              <w:br/>
              <w:t>This publication is protected by copyright. Copyright (and any other intellectual property rights, if any) in this publication is owned by the Commonwealth of Australia as represented by the Australian Radiation Protection and Nuclear Safety Agency (ARPANSA).</w:t>
            </w:r>
          </w:p>
          <w:p w14:paraId="3A048C06" w14:textId="77777777" w:rsidR="0060042E" w:rsidRPr="00F55D63" w:rsidRDefault="0060042E" w:rsidP="0060042E">
            <w:pPr>
              <w:pStyle w:val="Text"/>
              <w:spacing w:before="0" w:after="0" w:line="240" w:lineRule="auto"/>
              <w:rPr>
                <w:sz w:val="18"/>
                <w:szCs w:val="18"/>
              </w:rPr>
            </w:pPr>
          </w:p>
          <w:p w14:paraId="5B7CA742" w14:textId="77777777" w:rsidR="0060042E" w:rsidRPr="00F55D63" w:rsidRDefault="0060042E" w:rsidP="0060042E">
            <w:pPr>
              <w:pStyle w:val="Text"/>
              <w:spacing w:before="0" w:after="0" w:line="240" w:lineRule="auto"/>
              <w:rPr>
                <w:sz w:val="18"/>
                <w:szCs w:val="18"/>
              </w:rPr>
            </w:pPr>
          </w:p>
          <w:p w14:paraId="58296A17" w14:textId="77777777" w:rsidR="0060042E" w:rsidRPr="00F55D63" w:rsidRDefault="0060042E" w:rsidP="0060042E">
            <w:pPr>
              <w:pStyle w:val="Text"/>
              <w:spacing w:before="0" w:after="0" w:line="240" w:lineRule="auto"/>
              <w:rPr>
                <w:sz w:val="18"/>
                <w:szCs w:val="18"/>
              </w:rPr>
            </w:pPr>
            <w:r>
              <w:rPr>
                <w:sz w:val="18"/>
                <w:szCs w:val="18"/>
              </w:rPr>
              <w:t>ISSN 0157-1400</w:t>
            </w:r>
          </w:p>
          <w:p w14:paraId="47D7C966" w14:textId="77777777" w:rsidR="0060042E" w:rsidRPr="00F55D63" w:rsidRDefault="0060042E" w:rsidP="0060042E">
            <w:pPr>
              <w:pStyle w:val="Text"/>
              <w:spacing w:before="0" w:after="0" w:line="240" w:lineRule="auto"/>
              <w:rPr>
                <w:sz w:val="18"/>
                <w:szCs w:val="18"/>
              </w:rPr>
            </w:pPr>
          </w:p>
          <w:p w14:paraId="3C562E1D" w14:textId="77777777" w:rsidR="0060042E" w:rsidRPr="00F55D63" w:rsidRDefault="0060042E" w:rsidP="0060042E">
            <w:pPr>
              <w:pStyle w:val="Text"/>
              <w:spacing w:before="0" w:after="0" w:line="240" w:lineRule="auto"/>
              <w:rPr>
                <w:sz w:val="18"/>
                <w:szCs w:val="18"/>
              </w:rPr>
            </w:pPr>
            <w:r w:rsidRPr="00F55D63">
              <w:rPr>
                <w:noProof/>
                <w:sz w:val="18"/>
                <w:szCs w:val="18"/>
                <w:lang w:val="en-AU"/>
              </w:rPr>
              <w:drawing>
                <wp:inline distT="0" distB="0" distL="0" distR="0" wp14:anchorId="20ACED62" wp14:editId="251B9AA7">
                  <wp:extent cx="760095" cy="264160"/>
                  <wp:effectExtent l="0" t="0" r="190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095" cy="264160"/>
                          </a:xfrm>
                          <a:prstGeom prst="rect">
                            <a:avLst/>
                          </a:prstGeom>
                          <a:noFill/>
                          <a:ln>
                            <a:noFill/>
                          </a:ln>
                        </pic:spPr>
                      </pic:pic>
                    </a:graphicData>
                  </a:graphic>
                </wp:inline>
              </w:drawing>
            </w:r>
          </w:p>
          <w:p w14:paraId="5133E321" w14:textId="77777777" w:rsidR="0060042E" w:rsidRPr="00F55D63" w:rsidRDefault="0060042E" w:rsidP="0060042E">
            <w:pPr>
              <w:pStyle w:val="Text"/>
              <w:spacing w:before="0" w:after="0" w:line="240" w:lineRule="auto"/>
              <w:rPr>
                <w:sz w:val="18"/>
                <w:szCs w:val="18"/>
              </w:rPr>
            </w:pPr>
          </w:p>
          <w:p w14:paraId="4E9D4599" w14:textId="77777777" w:rsidR="0060042E" w:rsidRPr="00F55D63" w:rsidRDefault="0060042E" w:rsidP="0060042E">
            <w:pPr>
              <w:pStyle w:val="Text"/>
              <w:spacing w:before="0" w:after="0" w:line="240" w:lineRule="auto"/>
              <w:rPr>
                <w:b/>
                <w:sz w:val="18"/>
                <w:szCs w:val="18"/>
              </w:rPr>
            </w:pPr>
            <w:r w:rsidRPr="00F55D63">
              <w:rPr>
                <w:b/>
                <w:sz w:val="18"/>
                <w:szCs w:val="18"/>
              </w:rPr>
              <w:t>Creative Commons</w:t>
            </w:r>
          </w:p>
          <w:p w14:paraId="0283EBE8" w14:textId="77777777" w:rsidR="0060042E" w:rsidRPr="00F55D63" w:rsidRDefault="0060042E" w:rsidP="0060042E">
            <w:pPr>
              <w:pStyle w:val="Text"/>
              <w:spacing w:before="0" w:after="0" w:line="240" w:lineRule="auto"/>
              <w:rPr>
                <w:sz w:val="18"/>
                <w:szCs w:val="18"/>
              </w:rPr>
            </w:pPr>
          </w:p>
          <w:p w14:paraId="19FDD749" w14:textId="04459D82" w:rsidR="0060042E" w:rsidRPr="00F55D63" w:rsidRDefault="0060042E" w:rsidP="00C878F8">
            <w:pPr>
              <w:pStyle w:val="Text"/>
              <w:spacing w:before="0" w:line="240" w:lineRule="auto"/>
              <w:rPr>
                <w:sz w:val="18"/>
                <w:szCs w:val="18"/>
              </w:rPr>
            </w:pPr>
            <w:r w:rsidRPr="00F55D63">
              <w:rPr>
                <w:sz w:val="18"/>
                <w:szCs w:val="18"/>
              </w:rPr>
              <w:t>With the exception of the Commonwealth Coat of Arms, any ARPANSA logos and any content that is marked as being third party material, this publication,</w:t>
            </w:r>
            <w:r>
              <w:rPr>
                <w:sz w:val="18"/>
                <w:szCs w:val="18"/>
              </w:rPr>
              <w:t xml:space="preserve"> </w:t>
            </w:r>
            <w:r w:rsidR="00C878F8" w:rsidRPr="00C878F8">
              <w:rPr>
                <w:i/>
                <w:sz w:val="18"/>
                <w:szCs w:val="18"/>
              </w:rPr>
              <w:t>Australasian Gross Alpha/Gross Beta</w:t>
            </w:r>
            <w:r w:rsidR="00C878F8">
              <w:rPr>
                <w:i/>
                <w:sz w:val="18"/>
                <w:szCs w:val="18"/>
              </w:rPr>
              <w:t xml:space="preserve"> </w:t>
            </w:r>
            <w:r w:rsidR="00C878F8" w:rsidRPr="00C878F8">
              <w:rPr>
                <w:i/>
                <w:sz w:val="18"/>
                <w:szCs w:val="18"/>
              </w:rPr>
              <w:t>Capability Exercise</w:t>
            </w:r>
            <w:r w:rsidR="00C53AF7">
              <w:rPr>
                <w:i/>
                <w:sz w:val="18"/>
                <w:szCs w:val="18"/>
              </w:rPr>
              <w:t xml:space="preserve"> – 2020</w:t>
            </w:r>
            <w:r w:rsidRPr="0039255A">
              <w:rPr>
                <w:sz w:val="18"/>
                <w:szCs w:val="18"/>
              </w:rPr>
              <w:t>,</w:t>
            </w:r>
            <w:r w:rsidRPr="00F55D63">
              <w:rPr>
                <w:sz w:val="18"/>
                <w:szCs w:val="18"/>
              </w:rPr>
              <w:t xml:space="preserve"> by the Australian Radiation Protection and Nuclear Safety Agency is licensed under a Creative Commons Attribution 3.0 Australia </w:t>
            </w:r>
            <w:proofErr w:type="spellStart"/>
            <w:r w:rsidRPr="00F55D63">
              <w:rPr>
                <w:sz w:val="18"/>
                <w:szCs w:val="18"/>
              </w:rPr>
              <w:t>licence</w:t>
            </w:r>
            <w:proofErr w:type="spellEnd"/>
            <w:r w:rsidRPr="00F55D63">
              <w:rPr>
                <w:sz w:val="18"/>
                <w:szCs w:val="18"/>
              </w:rPr>
              <w:t xml:space="preserve"> (to view a copy of the </w:t>
            </w:r>
            <w:proofErr w:type="spellStart"/>
            <w:r w:rsidRPr="00F55D63">
              <w:rPr>
                <w:sz w:val="18"/>
                <w:szCs w:val="18"/>
              </w:rPr>
              <w:t>licence</w:t>
            </w:r>
            <w:proofErr w:type="spellEnd"/>
            <w:r w:rsidRPr="00F55D63">
              <w:rPr>
                <w:sz w:val="18"/>
                <w:szCs w:val="18"/>
              </w:rPr>
              <w:t xml:space="preserve">, visit </w:t>
            </w:r>
            <w:hyperlink r:id="rId10" w:history="1">
              <w:r w:rsidRPr="00067C8C">
                <w:rPr>
                  <w:rStyle w:val="Hyperlink"/>
                  <w:i/>
                  <w:iCs/>
                  <w:spacing w:val="-4"/>
                  <w:sz w:val="18"/>
                  <w:szCs w:val="18"/>
                </w:rPr>
                <w:t>http://creativecommons.org/licenses/by/3.0/au</w:t>
              </w:r>
            </w:hyperlink>
            <w:r w:rsidRPr="00067C8C">
              <w:rPr>
                <w:sz w:val="18"/>
                <w:szCs w:val="18"/>
              </w:rPr>
              <w:t>)</w:t>
            </w:r>
            <w:r w:rsidRPr="00F55D63">
              <w:rPr>
                <w:sz w:val="18"/>
                <w:szCs w:val="18"/>
              </w:rPr>
              <w:t xml:space="preserve">. It is a further condition of the </w:t>
            </w:r>
            <w:proofErr w:type="spellStart"/>
            <w:r w:rsidRPr="00F55D63">
              <w:rPr>
                <w:sz w:val="18"/>
                <w:szCs w:val="18"/>
              </w:rPr>
              <w:t>licence</w:t>
            </w:r>
            <w:proofErr w:type="spellEnd"/>
            <w:r w:rsidRPr="00F55D63">
              <w:rPr>
                <w:sz w:val="18"/>
                <w:szCs w:val="18"/>
              </w:rPr>
              <w:t xml:space="preserve"> that any numerical data referred to in this publication may not be changed. To the extent that copyright subsists in a third party, permission will be required from the third party to reuse the material.</w:t>
            </w:r>
          </w:p>
          <w:p w14:paraId="3A38C13F" w14:textId="77777777" w:rsidR="0060042E" w:rsidRPr="00F55D63" w:rsidRDefault="0060042E" w:rsidP="0060042E">
            <w:pPr>
              <w:pStyle w:val="Text"/>
              <w:spacing w:before="0" w:after="0" w:line="240" w:lineRule="auto"/>
              <w:rPr>
                <w:sz w:val="18"/>
                <w:szCs w:val="18"/>
              </w:rPr>
            </w:pPr>
          </w:p>
          <w:p w14:paraId="2E5A616F" w14:textId="77777777" w:rsidR="0060042E" w:rsidRPr="00F55D63" w:rsidRDefault="0060042E" w:rsidP="0060042E">
            <w:pPr>
              <w:pStyle w:val="Text"/>
              <w:spacing w:before="0" w:after="0" w:line="240" w:lineRule="auto"/>
              <w:rPr>
                <w:sz w:val="18"/>
                <w:szCs w:val="18"/>
              </w:rPr>
            </w:pPr>
            <w:r w:rsidRPr="00F55D63">
              <w:rPr>
                <w:sz w:val="18"/>
                <w:szCs w:val="18"/>
              </w:rPr>
              <w:t xml:space="preserve">In essence, you are free to copy, communicate and adapt the material as long as you attribute the work to ARPANSA and abide by the other </w:t>
            </w:r>
            <w:proofErr w:type="spellStart"/>
            <w:r w:rsidRPr="00F55D63">
              <w:rPr>
                <w:sz w:val="18"/>
                <w:szCs w:val="18"/>
              </w:rPr>
              <w:t>licence</w:t>
            </w:r>
            <w:proofErr w:type="spellEnd"/>
            <w:r w:rsidRPr="00F55D63">
              <w:rPr>
                <w:sz w:val="18"/>
                <w:szCs w:val="18"/>
              </w:rPr>
              <w:t xml:space="preserve"> terms. The works are to be attributed to the Commonwealth as follows:- </w:t>
            </w:r>
          </w:p>
          <w:p w14:paraId="5C58A71B" w14:textId="77777777" w:rsidR="0060042E" w:rsidRPr="00F55D63" w:rsidRDefault="0060042E" w:rsidP="0060042E">
            <w:pPr>
              <w:pStyle w:val="Text"/>
              <w:spacing w:before="0" w:after="0" w:line="240" w:lineRule="auto"/>
              <w:rPr>
                <w:sz w:val="18"/>
                <w:szCs w:val="18"/>
              </w:rPr>
            </w:pPr>
          </w:p>
          <w:p w14:paraId="500F9119" w14:textId="5A0E26A4" w:rsidR="0060042E" w:rsidRPr="00F55D63" w:rsidRDefault="0060042E" w:rsidP="0060042E">
            <w:pPr>
              <w:pStyle w:val="Text"/>
              <w:spacing w:before="0" w:after="0" w:line="240" w:lineRule="auto"/>
              <w:rPr>
                <w:sz w:val="18"/>
                <w:szCs w:val="18"/>
              </w:rPr>
            </w:pPr>
            <w:r>
              <w:rPr>
                <w:sz w:val="18"/>
                <w:szCs w:val="18"/>
              </w:rPr>
              <w:t>‘</w:t>
            </w:r>
            <w:r w:rsidRPr="00F55D63">
              <w:rPr>
                <w:sz w:val="18"/>
                <w:szCs w:val="18"/>
              </w:rPr>
              <w:t>© Commonwealth of Australia 20</w:t>
            </w:r>
            <w:r w:rsidR="00C878F8">
              <w:rPr>
                <w:sz w:val="18"/>
                <w:szCs w:val="18"/>
              </w:rPr>
              <w:t>21</w:t>
            </w:r>
            <w:r w:rsidRPr="00F55D63">
              <w:rPr>
                <w:sz w:val="18"/>
                <w:szCs w:val="18"/>
              </w:rPr>
              <w:t>, as represented by the Australian Radiation Protection and Nuclear Safety Agency (ARPANSA)</w:t>
            </w:r>
            <w:r>
              <w:rPr>
                <w:sz w:val="18"/>
                <w:szCs w:val="18"/>
              </w:rPr>
              <w:t>’</w:t>
            </w:r>
          </w:p>
          <w:p w14:paraId="003E4134" w14:textId="77777777" w:rsidR="0060042E" w:rsidRPr="00F55D63" w:rsidRDefault="0060042E" w:rsidP="0060042E">
            <w:pPr>
              <w:pStyle w:val="Text"/>
              <w:spacing w:before="0" w:after="0" w:line="240" w:lineRule="auto"/>
              <w:rPr>
                <w:sz w:val="18"/>
                <w:szCs w:val="18"/>
              </w:rPr>
            </w:pPr>
          </w:p>
          <w:p w14:paraId="6F58288D" w14:textId="00CB6E8A" w:rsidR="0060042E" w:rsidRPr="00F55D63" w:rsidRDefault="0060042E" w:rsidP="0060042E">
            <w:pPr>
              <w:pStyle w:val="Text"/>
              <w:spacing w:before="0" w:after="0" w:line="240" w:lineRule="auto"/>
              <w:rPr>
                <w:sz w:val="18"/>
                <w:szCs w:val="18"/>
              </w:rPr>
            </w:pPr>
            <w:r w:rsidRPr="00F55D63">
              <w:rPr>
                <w:sz w:val="18"/>
                <w:szCs w:val="18"/>
              </w:rPr>
              <w:t>The publicati</w:t>
            </w:r>
            <w:r>
              <w:rPr>
                <w:sz w:val="18"/>
                <w:szCs w:val="18"/>
              </w:rPr>
              <w:t xml:space="preserve">on should be attributed as: </w:t>
            </w:r>
            <w:r w:rsidR="00C53AF7" w:rsidRPr="00C878F8">
              <w:rPr>
                <w:i/>
                <w:sz w:val="18"/>
                <w:szCs w:val="18"/>
              </w:rPr>
              <w:t>Australasian Gross Alpha/Gross Beta</w:t>
            </w:r>
            <w:r w:rsidR="00C53AF7">
              <w:rPr>
                <w:i/>
                <w:sz w:val="18"/>
                <w:szCs w:val="18"/>
              </w:rPr>
              <w:t xml:space="preserve"> </w:t>
            </w:r>
            <w:r w:rsidR="00C53AF7" w:rsidRPr="00C878F8">
              <w:rPr>
                <w:i/>
                <w:sz w:val="18"/>
                <w:szCs w:val="18"/>
              </w:rPr>
              <w:t>Capability Exercise</w:t>
            </w:r>
            <w:r w:rsidR="00C53AF7">
              <w:rPr>
                <w:i/>
                <w:sz w:val="18"/>
                <w:szCs w:val="18"/>
              </w:rPr>
              <w:t xml:space="preserve"> – 2020</w:t>
            </w:r>
            <w:r w:rsidRPr="00F55D63">
              <w:rPr>
                <w:sz w:val="18"/>
                <w:szCs w:val="18"/>
              </w:rPr>
              <w:t>.</w:t>
            </w:r>
          </w:p>
          <w:p w14:paraId="2418A010" w14:textId="77777777" w:rsidR="0060042E" w:rsidRPr="00F55D63" w:rsidRDefault="0060042E" w:rsidP="0060042E">
            <w:pPr>
              <w:pStyle w:val="Text"/>
              <w:spacing w:before="0" w:after="0" w:line="240" w:lineRule="auto"/>
              <w:rPr>
                <w:sz w:val="18"/>
                <w:szCs w:val="18"/>
              </w:rPr>
            </w:pPr>
          </w:p>
          <w:p w14:paraId="5FC14AD2" w14:textId="77777777" w:rsidR="0060042E" w:rsidRPr="004219C4" w:rsidRDefault="0060042E" w:rsidP="0060042E">
            <w:pPr>
              <w:pStyle w:val="Text"/>
              <w:spacing w:before="0" w:after="0" w:line="240" w:lineRule="auto"/>
              <w:rPr>
                <w:b/>
                <w:sz w:val="18"/>
                <w:szCs w:val="18"/>
              </w:rPr>
            </w:pPr>
            <w:r w:rsidRPr="004219C4">
              <w:rPr>
                <w:b/>
                <w:sz w:val="18"/>
                <w:szCs w:val="18"/>
              </w:rPr>
              <w:t>Use of the Coat of Arms</w:t>
            </w:r>
          </w:p>
          <w:p w14:paraId="15603F4C" w14:textId="77777777" w:rsidR="0060042E" w:rsidRPr="00F55D63" w:rsidRDefault="0060042E" w:rsidP="0060042E">
            <w:pPr>
              <w:pStyle w:val="Text"/>
              <w:spacing w:before="0" w:after="0" w:line="240" w:lineRule="auto"/>
              <w:rPr>
                <w:sz w:val="18"/>
                <w:szCs w:val="18"/>
              </w:rPr>
            </w:pPr>
          </w:p>
          <w:p w14:paraId="2868F464" w14:textId="77777777" w:rsidR="0060042E" w:rsidRPr="00F55D63" w:rsidRDefault="0060042E" w:rsidP="0060042E">
            <w:pPr>
              <w:pStyle w:val="Text"/>
              <w:spacing w:before="0" w:after="0" w:line="240" w:lineRule="auto"/>
              <w:rPr>
                <w:sz w:val="18"/>
                <w:szCs w:val="18"/>
              </w:rPr>
            </w:pPr>
            <w:r w:rsidRPr="00F55D63">
              <w:rPr>
                <w:sz w:val="18"/>
                <w:szCs w:val="18"/>
              </w:rPr>
              <w:t xml:space="preserve">The terms under which the Coat of Arms can be used are detailed on the </w:t>
            </w:r>
            <w:r>
              <w:rPr>
                <w:sz w:val="18"/>
                <w:szCs w:val="18"/>
              </w:rPr>
              <w:t>Department of the Prime Minister and Cabinet</w:t>
            </w:r>
            <w:r w:rsidRPr="00F55D63">
              <w:rPr>
                <w:sz w:val="18"/>
                <w:szCs w:val="18"/>
              </w:rPr>
              <w:t xml:space="preserve"> website</w:t>
            </w:r>
            <w:r>
              <w:rPr>
                <w:sz w:val="18"/>
                <w:szCs w:val="18"/>
              </w:rPr>
              <w:t xml:space="preserve"> </w:t>
            </w:r>
            <w:r w:rsidRPr="00F55D63">
              <w:rPr>
                <w:sz w:val="18"/>
                <w:szCs w:val="18"/>
              </w:rPr>
              <w:t>(</w:t>
            </w:r>
            <w:hyperlink r:id="rId11" w:history="1">
              <w:r w:rsidRPr="00067C8C">
                <w:rPr>
                  <w:rStyle w:val="Hyperlink"/>
                  <w:sz w:val="18"/>
                </w:rPr>
                <w:t>www.dpmc.gov.au/government/commonwealth-coat-arms</w:t>
              </w:r>
            </w:hyperlink>
            <w:r w:rsidRPr="00F55D63">
              <w:rPr>
                <w:sz w:val="18"/>
                <w:szCs w:val="18"/>
              </w:rPr>
              <w:t>).</w:t>
            </w:r>
          </w:p>
          <w:p w14:paraId="5D74797E" w14:textId="77777777" w:rsidR="0060042E" w:rsidRPr="00067C8C" w:rsidRDefault="0060042E" w:rsidP="0060042E">
            <w:pPr>
              <w:pStyle w:val="Text"/>
              <w:spacing w:before="0" w:after="0" w:line="240" w:lineRule="auto"/>
              <w:rPr>
                <w:sz w:val="18"/>
                <w:szCs w:val="18"/>
              </w:rPr>
            </w:pPr>
          </w:p>
          <w:p w14:paraId="5865B675" w14:textId="77777777" w:rsidR="0060042E" w:rsidRPr="00F55D63" w:rsidRDefault="0060042E" w:rsidP="0060042E">
            <w:pPr>
              <w:pStyle w:val="Text"/>
              <w:spacing w:before="0" w:after="0" w:line="240" w:lineRule="auto"/>
              <w:rPr>
                <w:sz w:val="18"/>
                <w:szCs w:val="18"/>
              </w:rPr>
            </w:pPr>
            <w:r w:rsidRPr="00F55D63">
              <w:rPr>
                <w:sz w:val="18"/>
                <w:szCs w:val="18"/>
              </w:rPr>
              <w:t xml:space="preserve">Enquiries regarding the </w:t>
            </w:r>
            <w:proofErr w:type="spellStart"/>
            <w:r w:rsidRPr="00F55D63">
              <w:rPr>
                <w:sz w:val="18"/>
                <w:szCs w:val="18"/>
              </w:rPr>
              <w:t>licence</w:t>
            </w:r>
            <w:proofErr w:type="spellEnd"/>
            <w:r w:rsidRPr="00F55D63">
              <w:rPr>
                <w:sz w:val="18"/>
                <w:szCs w:val="18"/>
              </w:rPr>
              <w:t xml:space="preserve"> and any use of this report are welcome.</w:t>
            </w:r>
          </w:p>
          <w:p w14:paraId="51157E9E" w14:textId="77777777" w:rsidR="0060042E" w:rsidRPr="00F55D63" w:rsidRDefault="0060042E" w:rsidP="0060042E">
            <w:pPr>
              <w:pStyle w:val="Text"/>
              <w:spacing w:before="0" w:after="0" w:line="240" w:lineRule="auto"/>
              <w:rPr>
                <w:sz w:val="18"/>
                <w:szCs w:val="18"/>
              </w:rPr>
            </w:pPr>
          </w:p>
          <w:p w14:paraId="40A7649E" w14:textId="77777777" w:rsidR="0060042E" w:rsidRPr="00F55D63" w:rsidRDefault="0060042E" w:rsidP="0060042E">
            <w:pPr>
              <w:pStyle w:val="Text"/>
              <w:spacing w:before="0" w:after="0" w:line="240" w:lineRule="auto"/>
              <w:rPr>
                <w:sz w:val="18"/>
                <w:szCs w:val="18"/>
              </w:rPr>
            </w:pPr>
            <w:r w:rsidRPr="00F55D63">
              <w:rPr>
                <w:sz w:val="18"/>
                <w:szCs w:val="18"/>
              </w:rPr>
              <w:tab/>
              <w:t>ARPANSA</w:t>
            </w:r>
            <w:r w:rsidRPr="00F55D63">
              <w:rPr>
                <w:sz w:val="18"/>
                <w:szCs w:val="18"/>
              </w:rPr>
              <w:br/>
            </w:r>
            <w:r w:rsidRPr="00F55D63">
              <w:rPr>
                <w:sz w:val="18"/>
                <w:szCs w:val="18"/>
              </w:rPr>
              <w:tab/>
              <w:t>619 Lower Plenty Road</w:t>
            </w:r>
            <w:r w:rsidRPr="00F55D63">
              <w:rPr>
                <w:sz w:val="18"/>
                <w:szCs w:val="18"/>
              </w:rPr>
              <w:br/>
            </w:r>
            <w:r w:rsidRPr="00F55D63">
              <w:rPr>
                <w:sz w:val="18"/>
                <w:szCs w:val="18"/>
              </w:rPr>
              <w:tab/>
              <w:t>YALLAMBIE   VIC   3085</w:t>
            </w:r>
          </w:p>
          <w:p w14:paraId="70CBC67B" w14:textId="77777777" w:rsidR="0060042E" w:rsidRPr="0060042E" w:rsidRDefault="0060042E" w:rsidP="0060042E">
            <w:pPr>
              <w:pStyle w:val="Text"/>
              <w:spacing w:before="0" w:after="0" w:line="240" w:lineRule="auto"/>
              <w:rPr>
                <w:sz w:val="18"/>
                <w:szCs w:val="18"/>
              </w:rPr>
            </w:pPr>
            <w:r w:rsidRPr="00F55D63">
              <w:rPr>
                <w:sz w:val="18"/>
                <w:szCs w:val="18"/>
              </w:rPr>
              <w:tab/>
              <w:t>Tel:   1800 022 333 (</w:t>
            </w:r>
            <w:proofErr w:type="spellStart"/>
            <w:r w:rsidRPr="00F55D63">
              <w:rPr>
                <w:sz w:val="18"/>
                <w:szCs w:val="18"/>
              </w:rPr>
              <w:t>Freecall</w:t>
            </w:r>
            <w:proofErr w:type="spellEnd"/>
            <w:r w:rsidRPr="00F55D63">
              <w:rPr>
                <w:sz w:val="18"/>
                <w:szCs w:val="18"/>
              </w:rPr>
              <w:t>) or +61 3 9433 2211</w:t>
            </w:r>
            <w:r w:rsidRPr="00F55D63">
              <w:rPr>
                <w:sz w:val="18"/>
                <w:szCs w:val="18"/>
              </w:rPr>
              <w:br/>
            </w:r>
            <w:r w:rsidRPr="00F55D63">
              <w:rPr>
                <w:sz w:val="18"/>
                <w:szCs w:val="18"/>
              </w:rPr>
              <w:br/>
            </w:r>
            <w:r w:rsidRPr="00F55D63">
              <w:rPr>
                <w:sz w:val="18"/>
                <w:szCs w:val="18"/>
              </w:rPr>
              <w:tab/>
              <w:t xml:space="preserve">Email:  </w:t>
            </w:r>
            <w:hyperlink r:id="rId12" w:history="1">
              <w:r w:rsidRPr="00067C8C">
                <w:rPr>
                  <w:rStyle w:val="Hyperlink"/>
                  <w:sz w:val="18"/>
                  <w:szCs w:val="18"/>
                </w:rPr>
                <w:t>info@arpansa.gov.au</w:t>
              </w:r>
            </w:hyperlink>
            <w:r w:rsidRPr="00F55D63">
              <w:rPr>
                <w:sz w:val="18"/>
                <w:szCs w:val="18"/>
              </w:rPr>
              <w:br/>
            </w:r>
            <w:r w:rsidRPr="00F55D63">
              <w:rPr>
                <w:sz w:val="18"/>
                <w:szCs w:val="18"/>
              </w:rPr>
              <w:tab/>
              <w:t xml:space="preserve">Website:  </w:t>
            </w:r>
            <w:hyperlink r:id="rId13" w:history="1">
              <w:r w:rsidRPr="00067C8C">
                <w:rPr>
                  <w:rStyle w:val="Hyperlink"/>
                  <w:sz w:val="18"/>
                  <w:szCs w:val="18"/>
                </w:rPr>
                <w:t>www.arpansa.gov.au</w:t>
              </w:r>
            </w:hyperlink>
            <w:r>
              <w:rPr>
                <w:rStyle w:val="Hyperlink"/>
                <w:sz w:val="18"/>
                <w:szCs w:val="18"/>
              </w:rPr>
              <w:br/>
            </w:r>
          </w:p>
        </w:tc>
      </w:tr>
    </w:tbl>
    <w:p w14:paraId="58122521" w14:textId="77777777" w:rsidR="0060042E" w:rsidRDefault="0060042E" w:rsidP="00AD297B">
      <w:pPr>
        <w:pStyle w:val="Heading1Nonumber"/>
      </w:pPr>
      <w:r>
        <w:br w:type="page"/>
      </w:r>
    </w:p>
    <w:p w14:paraId="7E0060DA" w14:textId="77777777" w:rsidR="00C53AF7" w:rsidRDefault="00C53AF7" w:rsidP="00C53AF7">
      <w:pPr>
        <w:pStyle w:val="Heading1Nonumber"/>
      </w:pPr>
      <w:bookmarkStart w:id="0" w:name="_Toc78839428"/>
      <w:r>
        <w:lastRenderedPageBreak/>
        <w:t>Acknowledgement of Country</w:t>
      </w:r>
      <w:bookmarkEnd w:id="0"/>
      <w:r>
        <w:t xml:space="preserve"> </w:t>
      </w:r>
    </w:p>
    <w:p w14:paraId="13F93F91" w14:textId="77777777" w:rsidR="00C53AF7" w:rsidRDefault="00C53AF7">
      <w:r>
        <w:t xml:space="preserve">ARPANSA respectfully acknowledges Australia’s Aboriginal and Torres Strait Islander communities and their rich culture and pays respect to their Elders past and present. We acknowledge Aboriginal and Torres Strait Islander peoples as Australia’s first peoples and as the Traditional Owners and custodians of the land and water on which we rely. </w:t>
      </w:r>
    </w:p>
    <w:p w14:paraId="3C55372E" w14:textId="6F907584" w:rsidR="00244A6C" w:rsidRDefault="00C53AF7">
      <w:r>
        <w:t>We recognise and value the ongoing contribution of Aboriginal and Torres Strait Islander peoples and communities to Australian life and how this enriches us. We embrace the spirit of reconciliation, working towards the equality of outcomes and ensuring an equal voice.</w:t>
      </w:r>
      <w:r w:rsidR="004219C4">
        <w:br w:type="page"/>
      </w:r>
    </w:p>
    <w:p w14:paraId="2C32A399" w14:textId="77777777" w:rsidR="00067C8C" w:rsidRPr="004219C4" w:rsidRDefault="00067C8C" w:rsidP="004219C4">
      <w:pPr>
        <w:rPr>
          <w:b/>
          <w:color w:val="4E1A74" w:themeColor="text2"/>
          <w:sz w:val="32"/>
        </w:rPr>
      </w:pPr>
      <w:r w:rsidRPr="004219C4">
        <w:rPr>
          <w:b/>
          <w:color w:val="4E1A74" w:themeColor="text2"/>
          <w:sz w:val="32"/>
        </w:rPr>
        <w:lastRenderedPageBreak/>
        <w:t>C</w:t>
      </w:r>
      <w:r w:rsidR="004219C4">
        <w:rPr>
          <w:b/>
          <w:color w:val="4E1A74" w:themeColor="text2"/>
          <w:sz w:val="32"/>
        </w:rPr>
        <w:t>ontents</w:t>
      </w:r>
    </w:p>
    <w:p w14:paraId="1EABDDCD" w14:textId="5AD6398C" w:rsidR="0018524A" w:rsidRDefault="00773742">
      <w:pPr>
        <w:pStyle w:val="TOC1"/>
        <w:rPr>
          <w:rFonts w:eastAsiaTheme="minorEastAsia"/>
          <w:b w:val="0"/>
          <w:noProof/>
          <w:color w:val="auto"/>
          <w:lang w:eastAsia="en-AU"/>
        </w:rPr>
      </w:pPr>
      <w:r>
        <w:rPr>
          <w:bCs/>
        </w:rPr>
        <w:fldChar w:fldCharType="begin"/>
      </w:r>
      <w:r>
        <w:rPr>
          <w:bCs/>
        </w:rPr>
        <w:instrText xml:space="preserve"> TOC \o "1-2" \h \z \u \t "Heading 4,3" </w:instrText>
      </w:r>
      <w:r>
        <w:rPr>
          <w:bCs/>
        </w:rPr>
        <w:fldChar w:fldCharType="separate"/>
      </w:r>
      <w:hyperlink w:anchor="_Toc78839429" w:history="1">
        <w:r w:rsidR="0018524A" w:rsidRPr="001032D2">
          <w:rPr>
            <w:rStyle w:val="Hyperlink"/>
            <w:noProof/>
          </w:rPr>
          <w:t>Acknowledgements</w:t>
        </w:r>
        <w:r w:rsidR="0018524A">
          <w:rPr>
            <w:noProof/>
            <w:webHidden/>
          </w:rPr>
          <w:tab/>
        </w:r>
        <w:r w:rsidR="0018524A">
          <w:rPr>
            <w:noProof/>
            <w:webHidden/>
          </w:rPr>
          <w:fldChar w:fldCharType="begin"/>
        </w:r>
        <w:r w:rsidR="0018524A">
          <w:rPr>
            <w:noProof/>
            <w:webHidden/>
          </w:rPr>
          <w:instrText xml:space="preserve"> PAGEREF _Toc78839429 \h </w:instrText>
        </w:r>
        <w:r w:rsidR="0018524A">
          <w:rPr>
            <w:noProof/>
            <w:webHidden/>
          </w:rPr>
        </w:r>
        <w:r w:rsidR="0018524A">
          <w:rPr>
            <w:noProof/>
            <w:webHidden/>
          </w:rPr>
          <w:fldChar w:fldCharType="separate"/>
        </w:r>
        <w:r w:rsidR="0018524A">
          <w:rPr>
            <w:noProof/>
            <w:webHidden/>
          </w:rPr>
          <w:t>5</w:t>
        </w:r>
        <w:r w:rsidR="0018524A">
          <w:rPr>
            <w:noProof/>
            <w:webHidden/>
          </w:rPr>
          <w:fldChar w:fldCharType="end"/>
        </w:r>
      </w:hyperlink>
    </w:p>
    <w:p w14:paraId="4268D46B" w14:textId="4CE9B123" w:rsidR="0018524A" w:rsidRDefault="007C4285">
      <w:pPr>
        <w:pStyle w:val="TOC1"/>
        <w:rPr>
          <w:rFonts w:eastAsiaTheme="minorEastAsia"/>
          <w:b w:val="0"/>
          <w:noProof/>
          <w:color w:val="auto"/>
          <w:lang w:eastAsia="en-AU"/>
        </w:rPr>
      </w:pPr>
      <w:hyperlink w:anchor="_Toc78839430" w:history="1">
        <w:r w:rsidR="0018524A" w:rsidRPr="001032D2">
          <w:rPr>
            <w:rStyle w:val="Hyperlink"/>
            <w:noProof/>
          </w:rPr>
          <w:t>Executive summary</w:t>
        </w:r>
        <w:r w:rsidR="0018524A">
          <w:rPr>
            <w:noProof/>
            <w:webHidden/>
          </w:rPr>
          <w:tab/>
        </w:r>
        <w:r w:rsidR="0018524A">
          <w:rPr>
            <w:noProof/>
            <w:webHidden/>
          </w:rPr>
          <w:fldChar w:fldCharType="begin"/>
        </w:r>
        <w:r w:rsidR="0018524A">
          <w:rPr>
            <w:noProof/>
            <w:webHidden/>
          </w:rPr>
          <w:instrText xml:space="preserve"> PAGEREF _Toc78839430 \h </w:instrText>
        </w:r>
        <w:r w:rsidR="0018524A">
          <w:rPr>
            <w:noProof/>
            <w:webHidden/>
          </w:rPr>
        </w:r>
        <w:r w:rsidR="0018524A">
          <w:rPr>
            <w:noProof/>
            <w:webHidden/>
          </w:rPr>
          <w:fldChar w:fldCharType="separate"/>
        </w:r>
        <w:r w:rsidR="0018524A">
          <w:rPr>
            <w:noProof/>
            <w:webHidden/>
          </w:rPr>
          <w:t>6</w:t>
        </w:r>
        <w:r w:rsidR="0018524A">
          <w:rPr>
            <w:noProof/>
            <w:webHidden/>
          </w:rPr>
          <w:fldChar w:fldCharType="end"/>
        </w:r>
      </w:hyperlink>
    </w:p>
    <w:p w14:paraId="4AA9E9A2" w14:textId="393DD783" w:rsidR="0018524A" w:rsidRDefault="007C4285">
      <w:pPr>
        <w:pStyle w:val="TOC1"/>
        <w:tabs>
          <w:tab w:val="left" w:pos="567"/>
        </w:tabs>
        <w:rPr>
          <w:rFonts w:eastAsiaTheme="minorEastAsia"/>
          <w:b w:val="0"/>
          <w:noProof/>
          <w:color w:val="auto"/>
          <w:lang w:eastAsia="en-AU"/>
        </w:rPr>
      </w:pPr>
      <w:hyperlink w:anchor="_Toc78839431" w:history="1">
        <w:r w:rsidR="0018524A" w:rsidRPr="001032D2">
          <w:rPr>
            <w:rStyle w:val="Hyperlink"/>
            <w:noProof/>
          </w:rPr>
          <w:t>1.</w:t>
        </w:r>
        <w:r w:rsidR="0018524A">
          <w:rPr>
            <w:rFonts w:eastAsiaTheme="minorEastAsia"/>
            <w:b w:val="0"/>
            <w:noProof/>
            <w:color w:val="auto"/>
            <w:lang w:eastAsia="en-AU"/>
          </w:rPr>
          <w:tab/>
        </w:r>
        <w:r w:rsidR="0018524A" w:rsidRPr="001032D2">
          <w:rPr>
            <w:rStyle w:val="Hyperlink"/>
            <w:noProof/>
          </w:rPr>
          <w:t>Introduction</w:t>
        </w:r>
        <w:r w:rsidR="0018524A">
          <w:rPr>
            <w:noProof/>
            <w:webHidden/>
          </w:rPr>
          <w:tab/>
        </w:r>
        <w:r w:rsidR="0018524A">
          <w:rPr>
            <w:noProof/>
            <w:webHidden/>
          </w:rPr>
          <w:fldChar w:fldCharType="begin"/>
        </w:r>
        <w:r w:rsidR="0018524A">
          <w:rPr>
            <w:noProof/>
            <w:webHidden/>
          </w:rPr>
          <w:instrText xml:space="preserve"> PAGEREF _Toc78839431 \h </w:instrText>
        </w:r>
        <w:r w:rsidR="0018524A">
          <w:rPr>
            <w:noProof/>
            <w:webHidden/>
          </w:rPr>
        </w:r>
        <w:r w:rsidR="0018524A">
          <w:rPr>
            <w:noProof/>
            <w:webHidden/>
          </w:rPr>
          <w:fldChar w:fldCharType="separate"/>
        </w:r>
        <w:r w:rsidR="0018524A">
          <w:rPr>
            <w:noProof/>
            <w:webHidden/>
          </w:rPr>
          <w:t>7</w:t>
        </w:r>
        <w:r w:rsidR="0018524A">
          <w:rPr>
            <w:noProof/>
            <w:webHidden/>
          </w:rPr>
          <w:fldChar w:fldCharType="end"/>
        </w:r>
      </w:hyperlink>
    </w:p>
    <w:p w14:paraId="7374C0BE" w14:textId="1D1BA88E" w:rsidR="0018524A" w:rsidRDefault="007C4285">
      <w:pPr>
        <w:pStyle w:val="TOC1"/>
        <w:tabs>
          <w:tab w:val="left" w:pos="567"/>
        </w:tabs>
        <w:rPr>
          <w:rFonts w:eastAsiaTheme="minorEastAsia"/>
          <w:b w:val="0"/>
          <w:noProof/>
          <w:color w:val="auto"/>
          <w:lang w:eastAsia="en-AU"/>
        </w:rPr>
      </w:pPr>
      <w:hyperlink w:anchor="_Toc78839432" w:history="1">
        <w:r w:rsidR="0018524A" w:rsidRPr="001032D2">
          <w:rPr>
            <w:rStyle w:val="Hyperlink"/>
            <w:noProof/>
          </w:rPr>
          <w:t>2.</w:t>
        </w:r>
        <w:r w:rsidR="0018524A">
          <w:rPr>
            <w:rFonts w:eastAsiaTheme="minorEastAsia"/>
            <w:b w:val="0"/>
            <w:noProof/>
            <w:color w:val="auto"/>
            <w:lang w:eastAsia="en-AU"/>
          </w:rPr>
          <w:tab/>
        </w:r>
        <w:r w:rsidR="0018524A" w:rsidRPr="001032D2">
          <w:rPr>
            <w:rStyle w:val="Hyperlink"/>
            <w:noProof/>
          </w:rPr>
          <w:t>Methods</w:t>
        </w:r>
        <w:r w:rsidR="0018524A">
          <w:rPr>
            <w:noProof/>
            <w:webHidden/>
          </w:rPr>
          <w:tab/>
        </w:r>
        <w:r w:rsidR="0018524A">
          <w:rPr>
            <w:noProof/>
            <w:webHidden/>
          </w:rPr>
          <w:fldChar w:fldCharType="begin"/>
        </w:r>
        <w:r w:rsidR="0018524A">
          <w:rPr>
            <w:noProof/>
            <w:webHidden/>
          </w:rPr>
          <w:instrText xml:space="preserve"> PAGEREF _Toc78839432 \h </w:instrText>
        </w:r>
        <w:r w:rsidR="0018524A">
          <w:rPr>
            <w:noProof/>
            <w:webHidden/>
          </w:rPr>
        </w:r>
        <w:r w:rsidR="0018524A">
          <w:rPr>
            <w:noProof/>
            <w:webHidden/>
          </w:rPr>
          <w:fldChar w:fldCharType="separate"/>
        </w:r>
        <w:r w:rsidR="0018524A">
          <w:rPr>
            <w:noProof/>
            <w:webHidden/>
          </w:rPr>
          <w:t>7</w:t>
        </w:r>
        <w:r w:rsidR="0018524A">
          <w:rPr>
            <w:noProof/>
            <w:webHidden/>
          </w:rPr>
          <w:fldChar w:fldCharType="end"/>
        </w:r>
      </w:hyperlink>
    </w:p>
    <w:p w14:paraId="61133182" w14:textId="55643FBF" w:rsidR="0018524A" w:rsidRDefault="007C4285">
      <w:pPr>
        <w:pStyle w:val="TOC2"/>
        <w:tabs>
          <w:tab w:val="left" w:pos="1100"/>
        </w:tabs>
        <w:rPr>
          <w:rFonts w:eastAsiaTheme="minorEastAsia"/>
          <w:color w:val="auto"/>
          <w:lang w:eastAsia="en-AU"/>
        </w:rPr>
      </w:pPr>
      <w:hyperlink w:anchor="_Toc78839433" w:history="1">
        <w:r w:rsidR="0018524A" w:rsidRPr="001032D2">
          <w:rPr>
            <w:rStyle w:val="Hyperlink"/>
          </w:rPr>
          <w:t>2.1</w:t>
        </w:r>
        <w:r w:rsidR="0018524A">
          <w:rPr>
            <w:rFonts w:eastAsiaTheme="minorEastAsia"/>
            <w:color w:val="auto"/>
            <w:lang w:eastAsia="en-AU"/>
          </w:rPr>
          <w:tab/>
        </w:r>
        <w:r w:rsidR="0018524A" w:rsidRPr="001032D2">
          <w:rPr>
            <w:rStyle w:val="Hyperlink"/>
          </w:rPr>
          <w:t>Sample preparation and measurement</w:t>
        </w:r>
        <w:r w:rsidR="0018524A">
          <w:rPr>
            <w:webHidden/>
          </w:rPr>
          <w:tab/>
        </w:r>
        <w:r w:rsidR="0018524A">
          <w:rPr>
            <w:webHidden/>
          </w:rPr>
          <w:fldChar w:fldCharType="begin"/>
        </w:r>
        <w:r w:rsidR="0018524A">
          <w:rPr>
            <w:webHidden/>
          </w:rPr>
          <w:instrText xml:space="preserve"> PAGEREF _Toc78839433 \h </w:instrText>
        </w:r>
        <w:r w:rsidR="0018524A">
          <w:rPr>
            <w:webHidden/>
          </w:rPr>
        </w:r>
        <w:r w:rsidR="0018524A">
          <w:rPr>
            <w:webHidden/>
          </w:rPr>
          <w:fldChar w:fldCharType="separate"/>
        </w:r>
        <w:r w:rsidR="0018524A">
          <w:rPr>
            <w:webHidden/>
          </w:rPr>
          <w:t>8</w:t>
        </w:r>
        <w:r w:rsidR="0018524A">
          <w:rPr>
            <w:webHidden/>
          </w:rPr>
          <w:fldChar w:fldCharType="end"/>
        </w:r>
      </w:hyperlink>
    </w:p>
    <w:p w14:paraId="385F2510" w14:textId="01171398" w:rsidR="0018524A" w:rsidRDefault="007C4285">
      <w:pPr>
        <w:pStyle w:val="TOC1"/>
        <w:tabs>
          <w:tab w:val="left" w:pos="567"/>
        </w:tabs>
        <w:rPr>
          <w:rFonts w:eastAsiaTheme="minorEastAsia"/>
          <w:b w:val="0"/>
          <w:noProof/>
          <w:color w:val="auto"/>
          <w:lang w:eastAsia="en-AU"/>
        </w:rPr>
      </w:pPr>
      <w:hyperlink w:anchor="_Toc78839434" w:history="1">
        <w:r w:rsidR="0018524A" w:rsidRPr="001032D2">
          <w:rPr>
            <w:rStyle w:val="Hyperlink"/>
            <w:noProof/>
          </w:rPr>
          <w:t>3.</w:t>
        </w:r>
        <w:r w:rsidR="0018524A">
          <w:rPr>
            <w:rFonts w:eastAsiaTheme="minorEastAsia"/>
            <w:b w:val="0"/>
            <w:noProof/>
            <w:color w:val="auto"/>
            <w:lang w:eastAsia="en-AU"/>
          </w:rPr>
          <w:tab/>
        </w:r>
        <w:r w:rsidR="0018524A" w:rsidRPr="001032D2">
          <w:rPr>
            <w:rStyle w:val="Hyperlink"/>
            <w:noProof/>
          </w:rPr>
          <w:t>Analysis of results</w:t>
        </w:r>
        <w:r w:rsidR="0018524A">
          <w:rPr>
            <w:noProof/>
            <w:webHidden/>
          </w:rPr>
          <w:tab/>
        </w:r>
        <w:r w:rsidR="0018524A">
          <w:rPr>
            <w:noProof/>
            <w:webHidden/>
          </w:rPr>
          <w:fldChar w:fldCharType="begin"/>
        </w:r>
        <w:r w:rsidR="0018524A">
          <w:rPr>
            <w:noProof/>
            <w:webHidden/>
          </w:rPr>
          <w:instrText xml:space="preserve"> PAGEREF _Toc78839434 \h </w:instrText>
        </w:r>
        <w:r w:rsidR="0018524A">
          <w:rPr>
            <w:noProof/>
            <w:webHidden/>
          </w:rPr>
        </w:r>
        <w:r w:rsidR="0018524A">
          <w:rPr>
            <w:noProof/>
            <w:webHidden/>
          </w:rPr>
          <w:fldChar w:fldCharType="separate"/>
        </w:r>
        <w:r w:rsidR="0018524A">
          <w:rPr>
            <w:noProof/>
            <w:webHidden/>
          </w:rPr>
          <w:t>8</w:t>
        </w:r>
        <w:r w:rsidR="0018524A">
          <w:rPr>
            <w:noProof/>
            <w:webHidden/>
          </w:rPr>
          <w:fldChar w:fldCharType="end"/>
        </w:r>
      </w:hyperlink>
    </w:p>
    <w:p w14:paraId="351DB2AD" w14:textId="27FCC35B" w:rsidR="0018524A" w:rsidRDefault="007C4285">
      <w:pPr>
        <w:pStyle w:val="TOC1"/>
        <w:tabs>
          <w:tab w:val="left" w:pos="567"/>
        </w:tabs>
        <w:rPr>
          <w:rFonts w:eastAsiaTheme="minorEastAsia"/>
          <w:b w:val="0"/>
          <w:noProof/>
          <w:color w:val="auto"/>
          <w:lang w:eastAsia="en-AU"/>
        </w:rPr>
      </w:pPr>
      <w:hyperlink w:anchor="_Toc78839435" w:history="1">
        <w:r w:rsidR="0018524A" w:rsidRPr="001032D2">
          <w:rPr>
            <w:rStyle w:val="Hyperlink"/>
            <w:rFonts w:eastAsia="Times New Roman"/>
            <w:noProof/>
          </w:rPr>
          <w:t>4.</w:t>
        </w:r>
        <w:r w:rsidR="0018524A">
          <w:rPr>
            <w:rFonts w:eastAsiaTheme="minorEastAsia"/>
            <w:b w:val="0"/>
            <w:noProof/>
            <w:color w:val="auto"/>
            <w:lang w:eastAsia="en-AU"/>
          </w:rPr>
          <w:tab/>
        </w:r>
        <w:r w:rsidR="0018524A" w:rsidRPr="001032D2">
          <w:rPr>
            <w:rStyle w:val="Hyperlink"/>
            <w:rFonts w:eastAsia="Times New Roman"/>
            <w:noProof/>
          </w:rPr>
          <w:t>Results and discussion</w:t>
        </w:r>
        <w:r w:rsidR="0018524A">
          <w:rPr>
            <w:noProof/>
            <w:webHidden/>
          </w:rPr>
          <w:tab/>
        </w:r>
        <w:r w:rsidR="0018524A">
          <w:rPr>
            <w:noProof/>
            <w:webHidden/>
          </w:rPr>
          <w:fldChar w:fldCharType="begin"/>
        </w:r>
        <w:r w:rsidR="0018524A">
          <w:rPr>
            <w:noProof/>
            <w:webHidden/>
          </w:rPr>
          <w:instrText xml:space="preserve"> PAGEREF _Toc78839435 \h </w:instrText>
        </w:r>
        <w:r w:rsidR="0018524A">
          <w:rPr>
            <w:noProof/>
            <w:webHidden/>
          </w:rPr>
        </w:r>
        <w:r w:rsidR="0018524A">
          <w:rPr>
            <w:noProof/>
            <w:webHidden/>
          </w:rPr>
          <w:fldChar w:fldCharType="separate"/>
        </w:r>
        <w:r w:rsidR="0018524A">
          <w:rPr>
            <w:noProof/>
            <w:webHidden/>
          </w:rPr>
          <w:t>9</w:t>
        </w:r>
        <w:r w:rsidR="0018524A">
          <w:rPr>
            <w:noProof/>
            <w:webHidden/>
          </w:rPr>
          <w:fldChar w:fldCharType="end"/>
        </w:r>
      </w:hyperlink>
    </w:p>
    <w:p w14:paraId="4F5C64D9" w14:textId="59C8CFE2" w:rsidR="0018524A" w:rsidRDefault="007C4285">
      <w:pPr>
        <w:pStyle w:val="TOC2"/>
        <w:tabs>
          <w:tab w:val="left" w:pos="1100"/>
        </w:tabs>
        <w:rPr>
          <w:rFonts w:eastAsiaTheme="minorEastAsia"/>
          <w:color w:val="auto"/>
          <w:lang w:eastAsia="en-AU"/>
        </w:rPr>
      </w:pPr>
      <w:hyperlink w:anchor="_Toc78839436" w:history="1">
        <w:r w:rsidR="0018524A" w:rsidRPr="001032D2">
          <w:rPr>
            <w:rStyle w:val="Hyperlink"/>
          </w:rPr>
          <w:t>4.1</w:t>
        </w:r>
        <w:r w:rsidR="0018524A">
          <w:rPr>
            <w:rFonts w:eastAsiaTheme="minorEastAsia"/>
            <w:color w:val="auto"/>
            <w:lang w:eastAsia="en-AU"/>
          </w:rPr>
          <w:tab/>
        </w:r>
        <w:r w:rsidR="0018524A" w:rsidRPr="001032D2">
          <w:rPr>
            <w:rStyle w:val="Hyperlink"/>
          </w:rPr>
          <w:t>Performance relative to acceptance limits</w:t>
        </w:r>
        <w:r w:rsidR="0018524A">
          <w:rPr>
            <w:webHidden/>
          </w:rPr>
          <w:tab/>
        </w:r>
        <w:r w:rsidR="0018524A">
          <w:rPr>
            <w:webHidden/>
          </w:rPr>
          <w:fldChar w:fldCharType="begin"/>
        </w:r>
        <w:r w:rsidR="0018524A">
          <w:rPr>
            <w:webHidden/>
          </w:rPr>
          <w:instrText xml:space="preserve"> PAGEREF _Toc78839436 \h </w:instrText>
        </w:r>
        <w:r w:rsidR="0018524A">
          <w:rPr>
            <w:webHidden/>
          </w:rPr>
        </w:r>
        <w:r w:rsidR="0018524A">
          <w:rPr>
            <w:webHidden/>
          </w:rPr>
          <w:fldChar w:fldCharType="separate"/>
        </w:r>
        <w:r w:rsidR="0018524A">
          <w:rPr>
            <w:webHidden/>
          </w:rPr>
          <w:t>9</w:t>
        </w:r>
        <w:r w:rsidR="0018524A">
          <w:rPr>
            <w:webHidden/>
          </w:rPr>
          <w:fldChar w:fldCharType="end"/>
        </w:r>
      </w:hyperlink>
    </w:p>
    <w:p w14:paraId="2695B60B" w14:textId="223D8ADA" w:rsidR="0018524A" w:rsidRDefault="007C4285">
      <w:pPr>
        <w:pStyle w:val="TOC2"/>
        <w:tabs>
          <w:tab w:val="left" w:pos="1100"/>
        </w:tabs>
        <w:rPr>
          <w:rFonts w:eastAsiaTheme="minorEastAsia"/>
          <w:color w:val="auto"/>
          <w:lang w:eastAsia="en-AU"/>
        </w:rPr>
      </w:pPr>
      <w:hyperlink w:anchor="_Toc78839437" w:history="1">
        <w:r w:rsidR="0018524A" w:rsidRPr="001032D2">
          <w:rPr>
            <w:rStyle w:val="Hyperlink"/>
          </w:rPr>
          <w:t>4.2</w:t>
        </w:r>
        <w:r w:rsidR="0018524A">
          <w:rPr>
            <w:rFonts w:eastAsiaTheme="minorEastAsia"/>
            <w:color w:val="auto"/>
            <w:lang w:eastAsia="en-AU"/>
          </w:rPr>
          <w:tab/>
        </w:r>
        <w:r w:rsidR="0018524A" w:rsidRPr="001032D2">
          <w:rPr>
            <w:rStyle w:val="Hyperlink"/>
          </w:rPr>
          <w:t>Performance relative to the certified activity</w:t>
        </w:r>
        <w:r w:rsidR="0018524A">
          <w:rPr>
            <w:webHidden/>
          </w:rPr>
          <w:tab/>
        </w:r>
        <w:r w:rsidR="0018524A">
          <w:rPr>
            <w:webHidden/>
          </w:rPr>
          <w:fldChar w:fldCharType="begin"/>
        </w:r>
        <w:r w:rsidR="0018524A">
          <w:rPr>
            <w:webHidden/>
          </w:rPr>
          <w:instrText xml:space="preserve"> PAGEREF _Toc78839437 \h </w:instrText>
        </w:r>
        <w:r w:rsidR="0018524A">
          <w:rPr>
            <w:webHidden/>
          </w:rPr>
        </w:r>
        <w:r w:rsidR="0018524A">
          <w:rPr>
            <w:webHidden/>
          </w:rPr>
          <w:fldChar w:fldCharType="separate"/>
        </w:r>
        <w:r w:rsidR="0018524A">
          <w:rPr>
            <w:webHidden/>
          </w:rPr>
          <w:t>9</w:t>
        </w:r>
        <w:r w:rsidR="0018524A">
          <w:rPr>
            <w:webHidden/>
          </w:rPr>
          <w:fldChar w:fldCharType="end"/>
        </w:r>
      </w:hyperlink>
    </w:p>
    <w:p w14:paraId="58759C56" w14:textId="720B4F99" w:rsidR="0018524A" w:rsidRDefault="007C4285">
      <w:pPr>
        <w:pStyle w:val="TOC2"/>
        <w:tabs>
          <w:tab w:val="left" w:pos="1100"/>
        </w:tabs>
        <w:rPr>
          <w:rFonts w:eastAsiaTheme="minorEastAsia"/>
          <w:color w:val="auto"/>
          <w:lang w:eastAsia="en-AU"/>
        </w:rPr>
      </w:pPr>
      <w:hyperlink w:anchor="_Toc78839438" w:history="1">
        <w:r w:rsidR="0018524A" w:rsidRPr="001032D2">
          <w:rPr>
            <w:rStyle w:val="Hyperlink"/>
          </w:rPr>
          <w:t>4.3</w:t>
        </w:r>
        <w:r w:rsidR="0018524A">
          <w:rPr>
            <w:rFonts w:eastAsiaTheme="minorEastAsia"/>
            <w:color w:val="auto"/>
            <w:lang w:eastAsia="en-AU"/>
          </w:rPr>
          <w:tab/>
        </w:r>
        <w:r w:rsidR="0018524A" w:rsidRPr="001032D2">
          <w:rPr>
            <w:rStyle w:val="Hyperlink"/>
          </w:rPr>
          <w:t>Gross alpha</w:t>
        </w:r>
        <w:r w:rsidR="0018524A">
          <w:rPr>
            <w:webHidden/>
          </w:rPr>
          <w:tab/>
        </w:r>
        <w:r w:rsidR="0018524A">
          <w:rPr>
            <w:webHidden/>
          </w:rPr>
          <w:fldChar w:fldCharType="begin"/>
        </w:r>
        <w:r w:rsidR="0018524A">
          <w:rPr>
            <w:webHidden/>
          </w:rPr>
          <w:instrText xml:space="preserve"> PAGEREF _Toc78839438 \h </w:instrText>
        </w:r>
        <w:r w:rsidR="0018524A">
          <w:rPr>
            <w:webHidden/>
          </w:rPr>
        </w:r>
        <w:r w:rsidR="0018524A">
          <w:rPr>
            <w:webHidden/>
          </w:rPr>
          <w:fldChar w:fldCharType="separate"/>
        </w:r>
        <w:r w:rsidR="0018524A">
          <w:rPr>
            <w:webHidden/>
          </w:rPr>
          <w:t>10</w:t>
        </w:r>
        <w:r w:rsidR="0018524A">
          <w:rPr>
            <w:webHidden/>
          </w:rPr>
          <w:fldChar w:fldCharType="end"/>
        </w:r>
      </w:hyperlink>
    </w:p>
    <w:p w14:paraId="32FB6F00" w14:textId="19D70F07" w:rsidR="0018524A" w:rsidRDefault="007C4285">
      <w:pPr>
        <w:pStyle w:val="TOC2"/>
        <w:tabs>
          <w:tab w:val="left" w:pos="1100"/>
        </w:tabs>
        <w:rPr>
          <w:rFonts w:eastAsiaTheme="minorEastAsia"/>
          <w:color w:val="auto"/>
          <w:lang w:eastAsia="en-AU"/>
        </w:rPr>
      </w:pPr>
      <w:hyperlink w:anchor="_Toc78839439" w:history="1">
        <w:r w:rsidR="0018524A" w:rsidRPr="001032D2">
          <w:rPr>
            <w:rStyle w:val="Hyperlink"/>
          </w:rPr>
          <w:t>4.4</w:t>
        </w:r>
        <w:r w:rsidR="0018524A">
          <w:rPr>
            <w:rFonts w:eastAsiaTheme="minorEastAsia"/>
            <w:color w:val="auto"/>
            <w:lang w:eastAsia="en-AU"/>
          </w:rPr>
          <w:tab/>
        </w:r>
        <w:r w:rsidR="0018524A" w:rsidRPr="001032D2">
          <w:rPr>
            <w:rStyle w:val="Hyperlink"/>
          </w:rPr>
          <w:t>Gross beta</w:t>
        </w:r>
        <w:r w:rsidR="0018524A">
          <w:rPr>
            <w:webHidden/>
          </w:rPr>
          <w:tab/>
        </w:r>
        <w:r w:rsidR="0018524A">
          <w:rPr>
            <w:webHidden/>
          </w:rPr>
          <w:fldChar w:fldCharType="begin"/>
        </w:r>
        <w:r w:rsidR="0018524A">
          <w:rPr>
            <w:webHidden/>
          </w:rPr>
          <w:instrText xml:space="preserve"> PAGEREF _Toc78839439 \h </w:instrText>
        </w:r>
        <w:r w:rsidR="0018524A">
          <w:rPr>
            <w:webHidden/>
          </w:rPr>
        </w:r>
        <w:r w:rsidR="0018524A">
          <w:rPr>
            <w:webHidden/>
          </w:rPr>
          <w:fldChar w:fldCharType="separate"/>
        </w:r>
        <w:r w:rsidR="0018524A">
          <w:rPr>
            <w:webHidden/>
          </w:rPr>
          <w:t>11</w:t>
        </w:r>
        <w:r w:rsidR="0018524A">
          <w:rPr>
            <w:webHidden/>
          </w:rPr>
          <w:fldChar w:fldCharType="end"/>
        </w:r>
      </w:hyperlink>
    </w:p>
    <w:p w14:paraId="72DE3215" w14:textId="24BA56E7" w:rsidR="0018524A" w:rsidRDefault="007C4285">
      <w:pPr>
        <w:pStyle w:val="TOC2"/>
        <w:tabs>
          <w:tab w:val="left" w:pos="1100"/>
        </w:tabs>
        <w:rPr>
          <w:rFonts w:eastAsiaTheme="minorEastAsia"/>
          <w:color w:val="auto"/>
          <w:lang w:eastAsia="en-AU"/>
        </w:rPr>
      </w:pPr>
      <w:hyperlink w:anchor="_Toc78839440" w:history="1">
        <w:r w:rsidR="0018524A" w:rsidRPr="001032D2">
          <w:rPr>
            <w:rStyle w:val="Hyperlink"/>
          </w:rPr>
          <w:t>4.5</w:t>
        </w:r>
        <w:r w:rsidR="0018524A">
          <w:rPr>
            <w:rFonts w:eastAsiaTheme="minorEastAsia"/>
            <w:color w:val="auto"/>
            <w:lang w:eastAsia="en-AU"/>
          </w:rPr>
          <w:tab/>
        </w:r>
        <w:r w:rsidR="0018524A" w:rsidRPr="001032D2">
          <w:rPr>
            <w:rStyle w:val="Hyperlink"/>
          </w:rPr>
          <w:t>Variations in analysis techniques and sample matrices</w:t>
        </w:r>
        <w:r w:rsidR="0018524A">
          <w:rPr>
            <w:webHidden/>
          </w:rPr>
          <w:tab/>
        </w:r>
        <w:r w:rsidR="0018524A">
          <w:rPr>
            <w:webHidden/>
          </w:rPr>
          <w:fldChar w:fldCharType="begin"/>
        </w:r>
        <w:r w:rsidR="0018524A">
          <w:rPr>
            <w:webHidden/>
          </w:rPr>
          <w:instrText xml:space="preserve"> PAGEREF _Toc78839440 \h </w:instrText>
        </w:r>
        <w:r w:rsidR="0018524A">
          <w:rPr>
            <w:webHidden/>
          </w:rPr>
        </w:r>
        <w:r w:rsidR="0018524A">
          <w:rPr>
            <w:webHidden/>
          </w:rPr>
          <w:fldChar w:fldCharType="separate"/>
        </w:r>
        <w:r w:rsidR="0018524A">
          <w:rPr>
            <w:webHidden/>
          </w:rPr>
          <w:t>12</w:t>
        </w:r>
        <w:r w:rsidR="0018524A">
          <w:rPr>
            <w:webHidden/>
          </w:rPr>
          <w:fldChar w:fldCharType="end"/>
        </w:r>
      </w:hyperlink>
    </w:p>
    <w:p w14:paraId="51343CB9" w14:textId="59AB91BB" w:rsidR="0018524A" w:rsidRDefault="007C4285">
      <w:pPr>
        <w:pStyle w:val="TOC2"/>
        <w:tabs>
          <w:tab w:val="left" w:pos="1100"/>
        </w:tabs>
        <w:rPr>
          <w:rFonts w:eastAsiaTheme="minorEastAsia"/>
          <w:color w:val="auto"/>
          <w:lang w:eastAsia="en-AU"/>
        </w:rPr>
      </w:pPr>
      <w:hyperlink w:anchor="_Toc78839441" w:history="1">
        <w:r w:rsidR="0018524A" w:rsidRPr="001032D2">
          <w:rPr>
            <w:rStyle w:val="Hyperlink"/>
          </w:rPr>
          <w:t>4.6</w:t>
        </w:r>
        <w:r w:rsidR="0018524A">
          <w:rPr>
            <w:rFonts w:eastAsiaTheme="minorEastAsia"/>
            <w:color w:val="auto"/>
            <w:lang w:eastAsia="en-AU"/>
          </w:rPr>
          <w:tab/>
        </w:r>
        <w:r w:rsidR="0018524A" w:rsidRPr="001032D2">
          <w:rPr>
            <w:rStyle w:val="Hyperlink"/>
          </w:rPr>
          <w:t>Variations in calibration sources used</w:t>
        </w:r>
        <w:r w:rsidR="0018524A">
          <w:rPr>
            <w:webHidden/>
          </w:rPr>
          <w:tab/>
        </w:r>
        <w:r w:rsidR="0018524A">
          <w:rPr>
            <w:webHidden/>
          </w:rPr>
          <w:fldChar w:fldCharType="begin"/>
        </w:r>
        <w:r w:rsidR="0018524A">
          <w:rPr>
            <w:webHidden/>
          </w:rPr>
          <w:instrText xml:space="preserve"> PAGEREF _Toc78839441 \h </w:instrText>
        </w:r>
        <w:r w:rsidR="0018524A">
          <w:rPr>
            <w:webHidden/>
          </w:rPr>
        </w:r>
        <w:r w:rsidR="0018524A">
          <w:rPr>
            <w:webHidden/>
          </w:rPr>
          <w:fldChar w:fldCharType="separate"/>
        </w:r>
        <w:r w:rsidR="0018524A">
          <w:rPr>
            <w:webHidden/>
          </w:rPr>
          <w:t>12</w:t>
        </w:r>
        <w:r w:rsidR="0018524A">
          <w:rPr>
            <w:webHidden/>
          </w:rPr>
          <w:fldChar w:fldCharType="end"/>
        </w:r>
      </w:hyperlink>
    </w:p>
    <w:p w14:paraId="5C0A7107" w14:textId="53D50067" w:rsidR="0018524A" w:rsidRDefault="007C4285">
      <w:pPr>
        <w:pStyle w:val="TOC1"/>
        <w:tabs>
          <w:tab w:val="left" w:pos="567"/>
        </w:tabs>
        <w:rPr>
          <w:rFonts w:eastAsiaTheme="minorEastAsia"/>
          <w:b w:val="0"/>
          <w:noProof/>
          <w:color w:val="auto"/>
          <w:lang w:eastAsia="en-AU"/>
        </w:rPr>
      </w:pPr>
      <w:hyperlink w:anchor="_Toc78839442" w:history="1">
        <w:r w:rsidR="0018524A" w:rsidRPr="001032D2">
          <w:rPr>
            <w:rStyle w:val="Hyperlink"/>
            <w:rFonts w:eastAsia="Times New Roman"/>
            <w:noProof/>
          </w:rPr>
          <w:t>5.</w:t>
        </w:r>
        <w:r w:rsidR="0018524A">
          <w:rPr>
            <w:rFonts w:eastAsiaTheme="minorEastAsia"/>
            <w:b w:val="0"/>
            <w:noProof/>
            <w:color w:val="auto"/>
            <w:lang w:eastAsia="en-AU"/>
          </w:rPr>
          <w:tab/>
        </w:r>
        <w:r w:rsidR="0018524A" w:rsidRPr="001032D2">
          <w:rPr>
            <w:rStyle w:val="Hyperlink"/>
            <w:rFonts w:eastAsia="Times New Roman"/>
            <w:noProof/>
          </w:rPr>
          <w:t>Conclusion</w:t>
        </w:r>
        <w:r w:rsidR="0018524A">
          <w:rPr>
            <w:noProof/>
            <w:webHidden/>
          </w:rPr>
          <w:tab/>
        </w:r>
        <w:r w:rsidR="0018524A">
          <w:rPr>
            <w:noProof/>
            <w:webHidden/>
          </w:rPr>
          <w:fldChar w:fldCharType="begin"/>
        </w:r>
        <w:r w:rsidR="0018524A">
          <w:rPr>
            <w:noProof/>
            <w:webHidden/>
          </w:rPr>
          <w:instrText xml:space="preserve"> PAGEREF _Toc78839442 \h </w:instrText>
        </w:r>
        <w:r w:rsidR="0018524A">
          <w:rPr>
            <w:noProof/>
            <w:webHidden/>
          </w:rPr>
        </w:r>
        <w:r w:rsidR="0018524A">
          <w:rPr>
            <w:noProof/>
            <w:webHidden/>
          </w:rPr>
          <w:fldChar w:fldCharType="separate"/>
        </w:r>
        <w:r w:rsidR="0018524A">
          <w:rPr>
            <w:noProof/>
            <w:webHidden/>
          </w:rPr>
          <w:t>13</w:t>
        </w:r>
        <w:r w:rsidR="0018524A">
          <w:rPr>
            <w:noProof/>
            <w:webHidden/>
          </w:rPr>
          <w:fldChar w:fldCharType="end"/>
        </w:r>
      </w:hyperlink>
    </w:p>
    <w:p w14:paraId="179F01FF" w14:textId="299AA895" w:rsidR="0018524A" w:rsidRDefault="007C4285">
      <w:pPr>
        <w:pStyle w:val="TOC1"/>
        <w:tabs>
          <w:tab w:val="left" w:pos="567"/>
        </w:tabs>
        <w:rPr>
          <w:rFonts w:eastAsiaTheme="minorEastAsia"/>
          <w:b w:val="0"/>
          <w:noProof/>
          <w:color w:val="auto"/>
          <w:lang w:eastAsia="en-AU"/>
        </w:rPr>
      </w:pPr>
      <w:hyperlink w:anchor="_Toc78839443" w:history="1">
        <w:r w:rsidR="0018524A" w:rsidRPr="001032D2">
          <w:rPr>
            <w:rStyle w:val="Hyperlink"/>
            <w:rFonts w:eastAsia="Times New Roman"/>
            <w:noProof/>
          </w:rPr>
          <w:t>6.</w:t>
        </w:r>
        <w:r w:rsidR="0018524A">
          <w:rPr>
            <w:rFonts w:eastAsiaTheme="minorEastAsia"/>
            <w:b w:val="0"/>
            <w:noProof/>
            <w:color w:val="auto"/>
            <w:lang w:eastAsia="en-AU"/>
          </w:rPr>
          <w:tab/>
        </w:r>
        <w:r w:rsidR="0018524A" w:rsidRPr="001032D2">
          <w:rPr>
            <w:rStyle w:val="Hyperlink"/>
            <w:rFonts w:eastAsia="Times New Roman"/>
            <w:noProof/>
          </w:rPr>
          <w:t>References</w:t>
        </w:r>
        <w:r w:rsidR="0018524A">
          <w:rPr>
            <w:noProof/>
            <w:webHidden/>
          </w:rPr>
          <w:tab/>
        </w:r>
        <w:r w:rsidR="0018524A">
          <w:rPr>
            <w:noProof/>
            <w:webHidden/>
          </w:rPr>
          <w:fldChar w:fldCharType="begin"/>
        </w:r>
        <w:r w:rsidR="0018524A">
          <w:rPr>
            <w:noProof/>
            <w:webHidden/>
          </w:rPr>
          <w:instrText xml:space="preserve"> PAGEREF _Toc78839443 \h </w:instrText>
        </w:r>
        <w:r w:rsidR="0018524A">
          <w:rPr>
            <w:noProof/>
            <w:webHidden/>
          </w:rPr>
        </w:r>
        <w:r w:rsidR="0018524A">
          <w:rPr>
            <w:noProof/>
            <w:webHidden/>
          </w:rPr>
          <w:fldChar w:fldCharType="separate"/>
        </w:r>
        <w:r w:rsidR="0018524A">
          <w:rPr>
            <w:noProof/>
            <w:webHidden/>
          </w:rPr>
          <w:t>14</w:t>
        </w:r>
        <w:r w:rsidR="0018524A">
          <w:rPr>
            <w:noProof/>
            <w:webHidden/>
          </w:rPr>
          <w:fldChar w:fldCharType="end"/>
        </w:r>
      </w:hyperlink>
    </w:p>
    <w:p w14:paraId="014D6E1B" w14:textId="4A1C4F0E" w:rsidR="00937076" w:rsidRDefault="00773742" w:rsidP="00AD297B">
      <w:r>
        <w:rPr>
          <w:b/>
          <w:bCs/>
          <w:color w:val="4E1A74"/>
        </w:rPr>
        <w:fldChar w:fldCharType="end"/>
      </w:r>
    </w:p>
    <w:p w14:paraId="1285ADCB" w14:textId="77777777" w:rsidR="00DC23A8" w:rsidRDefault="00937076">
      <w:r>
        <w:br w:type="page"/>
      </w:r>
    </w:p>
    <w:p w14:paraId="311ED6A2" w14:textId="77777777" w:rsidR="003B57B4" w:rsidRDefault="00DC23A8" w:rsidP="00AD297B">
      <w:pPr>
        <w:pStyle w:val="Heading1Nonumber"/>
      </w:pPr>
      <w:bookmarkStart w:id="1" w:name="_Toc78839429"/>
      <w:r>
        <w:lastRenderedPageBreak/>
        <w:t>Acknowledgements</w:t>
      </w:r>
      <w:bookmarkEnd w:id="1"/>
    </w:p>
    <w:p w14:paraId="071CC91D" w14:textId="6858F26A" w:rsidR="003B57B4" w:rsidRDefault="003B57B4" w:rsidP="003B57B4">
      <w:r w:rsidRPr="00DE2A1D">
        <w:t>The author wishes to thank all the laboratories that participated in the exercise.</w:t>
      </w:r>
    </w:p>
    <w:p w14:paraId="3758BEA0" w14:textId="77777777" w:rsidR="003B57B4" w:rsidRDefault="003B57B4">
      <w:r>
        <w:br w:type="page"/>
      </w:r>
    </w:p>
    <w:p w14:paraId="25E34D03" w14:textId="77777777" w:rsidR="003B57B4" w:rsidRDefault="003B57B4" w:rsidP="003B57B4">
      <w:pPr>
        <w:pStyle w:val="Heading1Nonumber"/>
      </w:pPr>
      <w:bookmarkStart w:id="2" w:name="_Toc75342734"/>
      <w:bookmarkStart w:id="3" w:name="_Toc78839430"/>
      <w:r>
        <w:lastRenderedPageBreak/>
        <w:t>Executive summary</w:t>
      </w:r>
      <w:bookmarkEnd w:id="2"/>
      <w:bookmarkEnd w:id="3"/>
    </w:p>
    <w:p w14:paraId="654B0A6E" w14:textId="102DC114" w:rsidR="003B57B4" w:rsidRDefault="003B57B4" w:rsidP="003B57B4">
      <w:pPr>
        <w:autoSpaceDE w:val="0"/>
        <w:autoSpaceDN w:val="0"/>
        <w:adjustRightInd w:val="0"/>
      </w:pPr>
      <w:r>
        <w:t>International experience with significant radiological incidents has shown that extensive measurement of environmental samples is required</w:t>
      </w:r>
      <w:sdt>
        <w:sdtPr>
          <w:id w:val="1510870738"/>
          <w:citation/>
        </w:sdtPr>
        <w:sdtEndPr/>
        <w:sdtContent>
          <w:r>
            <w:fldChar w:fldCharType="begin"/>
          </w:r>
          <w:r>
            <w:instrText xml:space="preserve">CITATION JMHLW13 \l 3081 </w:instrText>
          </w:r>
          <w:r>
            <w:fldChar w:fldCharType="separate"/>
          </w:r>
          <w:r>
            <w:rPr>
              <w:noProof/>
            </w:rPr>
            <w:t xml:space="preserve"> </w:t>
          </w:r>
          <w:r w:rsidRPr="00930229">
            <w:rPr>
              <w:noProof/>
            </w:rPr>
            <w:t>(Japanese Ministry of Health, Labour and Welfare, 2015)</w:t>
          </w:r>
          <w:r>
            <w:fldChar w:fldCharType="end"/>
          </w:r>
        </w:sdtContent>
      </w:sdt>
      <w:sdt>
        <w:sdtPr>
          <w:id w:val="-2023771172"/>
          <w:citation/>
        </w:sdtPr>
        <w:sdtEndPr/>
        <w:sdtContent>
          <w:r>
            <w:fldChar w:fldCharType="begin"/>
          </w:r>
          <w:r>
            <w:instrText xml:space="preserve"> CITATION IAEA88 \l 3081 </w:instrText>
          </w:r>
          <w:r>
            <w:fldChar w:fldCharType="separate"/>
          </w:r>
          <w:r>
            <w:rPr>
              <w:noProof/>
            </w:rPr>
            <w:t xml:space="preserve"> </w:t>
          </w:r>
          <w:r w:rsidRPr="002F41EB">
            <w:rPr>
              <w:noProof/>
            </w:rPr>
            <w:t>(IAEA, 1988)</w:t>
          </w:r>
          <w:r>
            <w:fldChar w:fldCharType="end"/>
          </w:r>
        </w:sdtContent>
      </w:sdt>
      <w:r>
        <w:t xml:space="preserve">. </w:t>
      </w:r>
      <w:r w:rsidRPr="00300E05">
        <w:t>Initial screening of samples via gross alpha and gross beta measurements can reduce the number of samples that require more accurate analyses</w:t>
      </w:r>
      <w:r w:rsidR="0026045A">
        <w:t>. This approach</w:t>
      </w:r>
      <w:r w:rsidRPr="00300E05">
        <w:t xml:space="preserve"> improv</w:t>
      </w:r>
      <w:r w:rsidR="0026045A">
        <w:t>es</w:t>
      </w:r>
      <w:r w:rsidRPr="00300E05">
        <w:t xml:space="preserve"> the throughput of laboratories following an incident.</w:t>
      </w:r>
      <w:r>
        <w:t xml:space="preserve"> </w:t>
      </w:r>
      <w:r w:rsidRPr="00AF7721">
        <w:t>ARPANSA</w:t>
      </w:r>
      <w:r>
        <w:t>’s</w:t>
      </w:r>
      <w:r w:rsidRPr="00AF7721">
        <w:t xml:space="preserve"> capacity </w:t>
      </w:r>
      <w:r>
        <w:t>to analyse samples c</w:t>
      </w:r>
      <w:r w:rsidRPr="00AF7721">
        <w:t xml:space="preserve">ould be overwhelmed by the response required by a significant radiological incident. Therefore, assistance from other laboratories </w:t>
      </w:r>
      <w:r>
        <w:t>might</w:t>
      </w:r>
      <w:r w:rsidRPr="00AF7721">
        <w:t xml:space="preserve"> be required to respond to a significant radiological incident.</w:t>
      </w:r>
    </w:p>
    <w:p w14:paraId="0ADC1A92" w14:textId="77777777" w:rsidR="003B57B4" w:rsidRDefault="003B57B4" w:rsidP="003B57B4">
      <w:r>
        <w:t xml:space="preserve">This exercise was conducted to ascertain </w:t>
      </w:r>
      <w:r w:rsidRPr="00736D52">
        <w:t>the capability of participa</w:t>
      </w:r>
      <w:r>
        <w:t xml:space="preserve">ting laboratories </w:t>
      </w:r>
      <w:r w:rsidRPr="00736D52">
        <w:t xml:space="preserve">with respect to </w:t>
      </w:r>
      <w:r>
        <w:t>the measurement of total alpha and beta activity by</w:t>
      </w:r>
      <w:r w:rsidRPr="00736D52">
        <w:t xml:space="preserve"> </w:t>
      </w:r>
      <w:r>
        <w:t xml:space="preserve">gross alpha/gross beta analysis. The main purpose for this exercise was to establish how different laboratories perform gross alpha/beta measurements (i.e. gas-flow proportional counting or Liquid Scintillation Counting (LSC)), what sources they use for calibration and </w:t>
      </w:r>
      <w:r w:rsidRPr="00300E05">
        <w:t>whether the diverse procedures used by the laboratories produce acceptable results</w:t>
      </w:r>
      <w:r>
        <w:t>.</w:t>
      </w:r>
    </w:p>
    <w:p w14:paraId="38F40923" w14:textId="6378290F" w:rsidR="003B57B4" w:rsidRDefault="003B57B4" w:rsidP="003B57B4">
      <w:r>
        <w:t>Five of the radioanalytical laboratories identified as having gross alpha/gross beta capabilities participated in this exercise</w:t>
      </w:r>
      <w:r w:rsidR="00762A37">
        <w:t>.</w:t>
      </w:r>
      <w:r w:rsidR="00BD34E0">
        <w:t xml:space="preserve"> </w:t>
      </w:r>
      <w:r w:rsidR="00762A37">
        <w:t>T</w:t>
      </w:r>
      <w:r>
        <w:t>hese laboratories form part of the Australasian Radionuclide Laboratory Network (ARLN).</w:t>
      </w:r>
      <w:r w:rsidRPr="0074162A">
        <w:t xml:space="preserve"> </w:t>
      </w:r>
      <w:r>
        <w:t>Participants were asked to analyse 500</w:t>
      </w:r>
      <w:r w:rsidR="00762A37">
        <w:t xml:space="preserve"> </w:t>
      </w:r>
      <w:r>
        <w:t xml:space="preserve">ml of water, containing known amounts of alpha and beta activity, obtained from an accredited supplier of </w:t>
      </w:r>
      <w:r w:rsidRPr="00A069A4">
        <w:t xml:space="preserve">Certified Reference Materials and </w:t>
      </w:r>
      <w:r w:rsidR="0026045A">
        <w:t>p</w:t>
      </w:r>
      <w:r w:rsidRPr="00A069A4">
        <w:t xml:space="preserve">roficiency </w:t>
      </w:r>
      <w:r w:rsidR="0026045A">
        <w:t>t</w:t>
      </w:r>
      <w:r w:rsidRPr="00A069A4">
        <w:t>esting products</w:t>
      </w:r>
      <w:r>
        <w:t>. The sample required preparation by the participating laboratories prior to analysis, as described in the Instruction to Participants letter, and noted further on in this report.</w:t>
      </w:r>
    </w:p>
    <w:p w14:paraId="050F631A" w14:textId="6AD26A9D" w:rsidR="003B57B4" w:rsidRDefault="003B57B4" w:rsidP="003B57B4">
      <w:r>
        <w:t xml:space="preserve">Apart from one laboratory, the participants reported gross alpha results that would be considered acceptable by the supplier of the samples. That is, 4 of the 5 reported gross alpha results were within the </w:t>
      </w:r>
      <w:r w:rsidR="0017028E">
        <w:t>p</w:t>
      </w:r>
      <w:r w:rsidRPr="00701448">
        <w:t xml:space="preserve">erformance </w:t>
      </w:r>
      <w:r w:rsidR="0017028E">
        <w:t>a</w:t>
      </w:r>
      <w:r w:rsidRPr="00701448">
        <w:t xml:space="preserve">cceptance </w:t>
      </w:r>
      <w:r w:rsidR="0017028E">
        <w:t>l</w:t>
      </w:r>
      <w:r w:rsidRPr="00701448">
        <w:t>imits</w:t>
      </w:r>
      <w:r>
        <w:t xml:space="preserve"> defined by the supplier. With regards to the gross beta results, the reported results were a lot more variable with only 3 of the 5 reported gross beta results being considered acceptable as defined by the supplier.</w:t>
      </w:r>
    </w:p>
    <w:p w14:paraId="3A5998B0" w14:textId="2550F216" w:rsidR="003B57B4" w:rsidRDefault="003B57B4" w:rsidP="003B57B4">
      <w:r>
        <w:t>This exercise showed there is a lot of variability in both the procedures used by the laboratories and the sources used to calibrate for gross alpha/beta measurements. Work will now be undertaken to establish a standard procedure for gross alpha/beta measurement that all ARLN laboratories can undertake to improve the reliability of determining gross alpha/beta activities. A future capability exercise will be undertaken once this procedure has been implemented to see how the newly implemented procedure has improved gross alpha/beta measurement.</w:t>
      </w:r>
    </w:p>
    <w:p w14:paraId="1A437347" w14:textId="77777777" w:rsidR="003B57B4" w:rsidRDefault="003B57B4" w:rsidP="003B57B4">
      <w:r>
        <w:br w:type="page"/>
      </w:r>
    </w:p>
    <w:p w14:paraId="28AA2E61" w14:textId="77777777" w:rsidR="003B57B4" w:rsidRDefault="003B57B4" w:rsidP="003B57B4">
      <w:pPr>
        <w:pStyle w:val="Heading1"/>
      </w:pPr>
      <w:bookmarkStart w:id="4" w:name="_Toc75342735"/>
      <w:bookmarkStart w:id="5" w:name="_Toc78839431"/>
      <w:r>
        <w:lastRenderedPageBreak/>
        <w:t>Introduction</w:t>
      </w:r>
      <w:bookmarkEnd w:id="4"/>
      <w:bookmarkEnd w:id="5"/>
    </w:p>
    <w:p w14:paraId="23C212EF" w14:textId="77777777" w:rsidR="003B57B4" w:rsidRDefault="003B57B4" w:rsidP="003B57B4">
      <w:r w:rsidRPr="00AF7721">
        <w:t>ARPANSA maintains a radio</w:t>
      </w:r>
      <w:r>
        <w:t>analytical</w:t>
      </w:r>
      <w:r w:rsidRPr="00AF7721">
        <w:t xml:space="preserve"> laboratory, in part, to respond to radiological incidents. Theoretically, this laboratory has the capacity to measure about </w:t>
      </w:r>
      <w:r>
        <w:t>48</w:t>
      </w:r>
      <w:r w:rsidRPr="00AF7721">
        <w:t xml:space="preserve"> samples </w:t>
      </w:r>
      <w:r>
        <w:t>over a week</w:t>
      </w:r>
      <w:r w:rsidRPr="00AF7721">
        <w:t xml:space="preserve"> </w:t>
      </w:r>
      <w:r>
        <w:t>for gross alpha/beta measurements</w:t>
      </w:r>
      <w:r w:rsidRPr="00AF7721">
        <w:t xml:space="preserve">. However, this capacity </w:t>
      </w:r>
      <w:r>
        <w:t>c</w:t>
      </w:r>
      <w:r w:rsidRPr="00AF7721">
        <w:t xml:space="preserve">ould be overwhelmed by the response required by a significant radiological incident. Therefore, assistance from other laboratories </w:t>
      </w:r>
      <w:r>
        <w:t>might</w:t>
      </w:r>
      <w:r w:rsidRPr="00AF7721">
        <w:t xml:space="preserve"> be required to respond to </w:t>
      </w:r>
      <w:r>
        <w:t>such an</w:t>
      </w:r>
      <w:r w:rsidRPr="00AF7721">
        <w:t xml:space="preserve"> incident.</w:t>
      </w:r>
    </w:p>
    <w:p w14:paraId="675D308A" w14:textId="7FF67F2D" w:rsidR="003B57B4" w:rsidRDefault="003B57B4" w:rsidP="003B57B4">
      <w:r>
        <w:t xml:space="preserve">ARPANSA has identified </w:t>
      </w:r>
      <w:r w:rsidR="00762A37">
        <w:t>9</w:t>
      </w:r>
      <w:r>
        <w:t xml:space="preserve"> radioanalytical laboratories in Australia and New Zealand. This includes </w:t>
      </w:r>
      <w:r w:rsidR="00976239">
        <w:t>3</w:t>
      </w:r>
      <w:r>
        <w:t xml:space="preserve"> laboratories run by the Australian Nuclear Science and Technology Organisation (ANSTO), ARPANSA’s own laboratory, </w:t>
      </w:r>
      <w:r w:rsidR="00976239">
        <w:t>2</w:t>
      </w:r>
      <w:r>
        <w:t xml:space="preserve"> university laboratories as well as </w:t>
      </w:r>
      <w:r w:rsidR="00976239">
        <w:t>3</w:t>
      </w:r>
      <w:r>
        <w:t xml:space="preserve"> other state or national laboratories. However, there is c</w:t>
      </w:r>
      <w:r w:rsidRPr="00E36BF0">
        <w:t xml:space="preserve">onsiderable specialisation in the radionuclides analysed </w:t>
      </w:r>
      <w:r>
        <w:t xml:space="preserve">by these laboratories. This is because many </w:t>
      </w:r>
      <w:r w:rsidRPr="00A32D44">
        <w:t>of these laboratories exist to fulfil specific needs and are</w:t>
      </w:r>
      <w:r>
        <w:t xml:space="preserve"> </w:t>
      </w:r>
      <w:r w:rsidRPr="00A32D44">
        <w:t>not funded or specifically tasked with providing analyses in the event of general radiological incident</w:t>
      </w:r>
      <w:r>
        <w:t xml:space="preserve">. Therefore, some laboratories may not be able to </w:t>
      </w:r>
      <w:proofErr w:type="gramStart"/>
      <w:r>
        <w:t>provide assistance for</w:t>
      </w:r>
      <w:proofErr w:type="gramEnd"/>
      <w:r>
        <w:t xml:space="preserve"> </w:t>
      </w:r>
      <w:r w:rsidR="00976239">
        <w:t>certain</w:t>
      </w:r>
      <w:r>
        <w:t xml:space="preserve"> radiological incidents.</w:t>
      </w:r>
    </w:p>
    <w:p w14:paraId="7D1C168A" w14:textId="77777777" w:rsidR="003B57B4" w:rsidRDefault="003B57B4" w:rsidP="003B57B4">
      <w:r>
        <w:t xml:space="preserve">This exercise was conducted to ascertain </w:t>
      </w:r>
      <w:r w:rsidRPr="00736D52">
        <w:t>the capability of participa</w:t>
      </w:r>
      <w:r>
        <w:t xml:space="preserve">ting laboratories </w:t>
      </w:r>
      <w:r w:rsidRPr="00736D52">
        <w:t xml:space="preserve">with respect to </w:t>
      </w:r>
      <w:r>
        <w:t xml:space="preserve">the measurement of gross alpha/beta activity in water and was the first capability study to ascertain the performance of the participating laboratories’ procedures for accuracy in determining gross alpha/beta activities. </w:t>
      </w:r>
    </w:p>
    <w:p w14:paraId="3999A85D" w14:textId="1D630ECE" w:rsidR="003B57B4" w:rsidRDefault="003B57B4" w:rsidP="003B57B4">
      <w:r>
        <w:t xml:space="preserve">It should be noted that this was not a </w:t>
      </w:r>
      <w:r w:rsidR="00976239">
        <w:t>p</w:t>
      </w:r>
      <w:r>
        <w:t xml:space="preserve">roficiency </w:t>
      </w:r>
      <w:r w:rsidR="00976239">
        <w:t>t</w:t>
      </w:r>
      <w:r>
        <w:t xml:space="preserve">est </w:t>
      </w:r>
      <w:r w:rsidR="00976239">
        <w:t>e</w:t>
      </w:r>
      <w:r>
        <w:t xml:space="preserve">xercise because </w:t>
      </w:r>
      <w:r w:rsidRPr="00736D52">
        <w:t xml:space="preserve">participants </w:t>
      </w:r>
      <w:r>
        <w:t>were</w:t>
      </w:r>
      <w:r w:rsidRPr="00736D52">
        <w:t xml:space="preserve"> not judged as to the acceptability of their procedures</w:t>
      </w:r>
      <w:r>
        <w:t xml:space="preserve">. The procedures used by each laboratory are appropriate to their </w:t>
      </w:r>
      <w:proofErr w:type="gramStart"/>
      <w:r>
        <w:t>particular objectives</w:t>
      </w:r>
      <w:proofErr w:type="gramEnd"/>
      <w:r>
        <w:t>. Rather, the purpose of the exercise was simply to determine whether the methods currently used by each participating laboratory produced acceptable results when used for another purpose.</w:t>
      </w:r>
    </w:p>
    <w:p w14:paraId="56DCD7EB" w14:textId="77777777" w:rsidR="003B57B4" w:rsidRPr="001B27A6" w:rsidRDefault="003B57B4" w:rsidP="003B57B4">
      <w:pPr>
        <w:pStyle w:val="Heading1"/>
      </w:pPr>
      <w:bookmarkStart w:id="6" w:name="_Toc75342736"/>
      <w:bookmarkStart w:id="7" w:name="_Toc78839432"/>
      <w:r w:rsidRPr="001B27A6">
        <w:t> </w:t>
      </w:r>
      <w:r w:rsidRPr="001B27A6">
        <w:rPr>
          <w:rStyle w:val="Heading1Char"/>
          <w:b/>
          <w:bCs/>
        </w:rPr>
        <w:t>Methods</w:t>
      </w:r>
      <w:bookmarkEnd w:id="6"/>
      <w:bookmarkEnd w:id="7"/>
    </w:p>
    <w:p w14:paraId="71542DEE" w14:textId="77777777" w:rsidR="003B57B4" w:rsidRDefault="003B57B4" w:rsidP="003B57B4">
      <w:r>
        <w:t xml:space="preserve">Five of the Australasian radioanalytical laboratories (including ARPANSA) agreed to participate in the exercise. </w:t>
      </w:r>
    </w:p>
    <w:p w14:paraId="45730251" w14:textId="5BFB8E1A" w:rsidR="003B57B4" w:rsidRDefault="003B57B4" w:rsidP="003B57B4">
      <w:r>
        <w:t>ARPANSA distributed screw-top glass vials containing at least 10</w:t>
      </w:r>
      <w:r w:rsidR="00976239">
        <w:t xml:space="preserve"> </w:t>
      </w:r>
      <w:r>
        <w:t xml:space="preserve">ml of standard concentrate to all </w:t>
      </w:r>
      <w:r w:rsidR="00976239">
        <w:t>5</w:t>
      </w:r>
      <w:r>
        <w:t xml:space="preserve"> participating laboratories. The concentrate was preserved with </w:t>
      </w:r>
      <w:r w:rsidR="0017028E">
        <w:t>n</w:t>
      </w:r>
      <w:r>
        <w:t>itric acid to pH &lt; 2. The sample also contained added dissolved nitrates of magnesium, calcium, manganese, and iron. The remaining nitrate residues of the diluted standard, after evaporation, should range between 5 and 70</w:t>
      </w:r>
      <w:r w:rsidR="00976239">
        <w:t xml:space="preserve"> </w:t>
      </w:r>
      <w:r>
        <w:t>mg per 100</w:t>
      </w:r>
      <w:r w:rsidR="00976239">
        <w:t xml:space="preserve"> </w:t>
      </w:r>
      <w:r>
        <w:t>ml aliquot.</w:t>
      </w:r>
    </w:p>
    <w:p w14:paraId="682CA4D5" w14:textId="77777777" w:rsidR="003B57B4" w:rsidRDefault="003B57B4" w:rsidP="003B57B4">
      <w:r>
        <w:t>The sample was supplied as a concentrate and was diluted at the participating laboratories before use and represented the minimum suggested sample size for the sample. The diluted standard contained the following analytes in the activity ranges shown:</w:t>
      </w:r>
    </w:p>
    <w:p w14:paraId="13BC5D31" w14:textId="4EC5C45B" w:rsidR="003B57B4" w:rsidRDefault="003B57B4" w:rsidP="003B57B4">
      <w:pPr>
        <w:pStyle w:val="ListParagraph"/>
        <w:numPr>
          <w:ilvl w:val="0"/>
          <w:numId w:val="19"/>
        </w:numPr>
      </w:pPr>
      <w:r>
        <w:t xml:space="preserve">Gross </w:t>
      </w:r>
      <w:r w:rsidR="00976239">
        <w:t>a</w:t>
      </w:r>
      <w:r>
        <w:t xml:space="preserve">lpha (as </w:t>
      </w:r>
      <w:r w:rsidR="0017028E">
        <w:t>t</w:t>
      </w:r>
      <w:r>
        <w:t xml:space="preserve">horium-230) – 0.25 – 2.8 </w:t>
      </w:r>
      <w:proofErr w:type="spellStart"/>
      <w:r>
        <w:t>Bq</w:t>
      </w:r>
      <w:proofErr w:type="spellEnd"/>
      <w:r>
        <w:t>/L</w:t>
      </w:r>
    </w:p>
    <w:p w14:paraId="3C4FE429" w14:textId="78EF1C33" w:rsidR="003B57B4" w:rsidRDefault="003B57B4" w:rsidP="003B57B4">
      <w:pPr>
        <w:pStyle w:val="ListParagraph"/>
        <w:numPr>
          <w:ilvl w:val="0"/>
          <w:numId w:val="19"/>
        </w:numPr>
      </w:pPr>
      <w:r>
        <w:t xml:space="preserve">Gross </w:t>
      </w:r>
      <w:r w:rsidR="00976239">
        <w:t>b</w:t>
      </w:r>
      <w:r>
        <w:t xml:space="preserve">eta (as </w:t>
      </w:r>
      <w:r w:rsidR="0017028E">
        <w:t>c</w:t>
      </w:r>
      <w:r>
        <w:t xml:space="preserve">aesium-137) – 0.25 – 2.8 </w:t>
      </w:r>
      <w:proofErr w:type="spellStart"/>
      <w:r>
        <w:t>Bq</w:t>
      </w:r>
      <w:proofErr w:type="spellEnd"/>
      <w:r>
        <w:t>/L</w:t>
      </w:r>
    </w:p>
    <w:p w14:paraId="5FF0DE0C" w14:textId="518DAABA" w:rsidR="003B57B4" w:rsidRDefault="003B57B4" w:rsidP="003B57B4">
      <w:r w:rsidRPr="00267F32">
        <w:t xml:space="preserve">The supplier also provided a certificate of analysis stating the certified values of the </w:t>
      </w:r>
      <w:r>
        <w:t xml:space="preserve">gross alpha and beta </w:t>
      </w:r>
      <w:r w:rsidRPr="00267F32">
        <w:t xml:space="preserve">activity in the vials. The certificate of analysis also included </w:t>
      </w:r>
      <w:r w:rsidR="00976239">
        <w:t>p</w:t>
      </w:r>
      <w:r w:rsidRPr="00267F32">
        <w:t xml:space="preserve">erformance </w:t>
      </w:r>
      <w:r w:rsidR="00976239">
        <w:t>a</w:t>
      </w:r>
      <w:r w:rsidRPr="00267F32">
        <w:t xml:space="preserve">cceptance </w:t>
      </w:r>
      <w:r w:rsidR="00976239">
        <w:t>l</w:t>
      </w:r>
      <w:r w:rsidRPr="00267F32">
        <w:t>imits (PALs) approximating 95% confidence intervals of the performance that an experienced laboratory should achieve.</w:t>
      </w:r>
    </w:p>
    <w:p w14:paraId="36835471" w14:textId="77777777" w:rsidR="003B57B4" w:rsidRDefault="003B57B4" w:rsidP="003B57B4">
      <w:r>
        <w:lastRenderedPageBreak/>
        <w:t>The dilution instructions provided to all participants are detailed at 2.1 below.</w:t>
      </w:r>
    </w:p>
    <w:p w14:paraId="674B43F9" w14:textId="77D28B8E" w:rsidR="003B57B4" w:rsidRPr="008469A5" w:rsidRDefault="003B57B4" w:rsidP="003B57B4">
      <w:pPr>
        <w:pStyle w:val="Heading2"/>
      </w:pPr>
      <w:bookmarkStart w:id="8" w:name="_Toc75342737"/>
      <w:bookmarkStart w:id="9" w:name="_Toc78839433"/>
      <w:r>
        <w:t>S</w:t>
      </w:r>
      <w:r w:rsidRPr="008469A5">
        <w:t xml:space="preserve">ample </w:t>
      </w:r>
      <w:r w:rsidR="00D229F5">
        <w:t>p</w:t>
      </w:r>
      <w:r w:rsidRPr="008469A5">
        <w:t xml:space="preserve">reparation and </w:t>
      </w:r>
      <w:r w:rsidR="00D229F5">
        <w:t>m</w:t>
      </w:r>
      <w:r w:rsidRPr="008469A5">
        <w:t>easurement</w:t>
      </w:r>
      <w:bookmarkEnd w:id="8"/>
      <w:bookmarkEnd w:id="9"/>
      <w:r w:rsidRPr="008469A5">
        <w:t xml:space="preserve"> </w:t>
      </w:r>
    </w:p>
    <w:tbl>
      <w:tblPr>
        <w:tblStyle w:val="GridTable2-Accent1"/>
        <w:tblW w:w="0" w:type="auto"/>
        <w:tblLook w:val="04A0" w:firstRow="1" w:lastRow="0" w:firstColumn="1" w:lastColumn="0" w:noHBand="0" w:noVBand="1"/>
      </w:tblPr>
      <w:tblGrid>
        <w:gridCol w:w="9628"/>
      </w:tblGrid>
      <w:tr w:rsidR="003B57B4" w:rsidRPr="008469A5" w14:paraId="171906E7" w14:textId="77777777" w:rsidTr="00DA7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4D7B87E4" w14:textId="77777777" w:rsidR="003B57B4" w:rsidRPr="00BD34E0" w:rsidRDefault="003B57B4" w:rsidP="003B57B4">
            <w:pPr>
              <w:numPr>
                <w:ilvl w:val="0"/>
                <w:numId w:val="18"/>
              </w:numPr>
              <w:spacing w:before="120"/>
              <w:ind w:left="462" w:hanging="425"/>
              <w:rPr>
                <w:b w:val="0"/>
                <w:bCs w:val="0"/>
              </w:rPr>
            </w:pPr>
            <w:r w:rsidRPr="00BD34E0">
              <w:rPr>
                <w:b w:val="0"/>
                <w:bCs w:val="0"/>
              </w:rPr>
              <w:t>Shake the jar well prior to opening.</w:t>
            </w:r>
          </w:p>
        </w:tc>
      </w:tr>
      <w:tr w:rsidR="003B57B4" w:rsidRPr="008469A5" w14:paraId="1A79B3EE" w14:textId="77777777" w:rsidTr="00DA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362A93ED" w14:textId="05232419" w:rsidR="003B57B4" w:rsidRPr="00BD34E0" w:rsidRDefault="003B57B4" w:rsidP="003B57B4">
            <w:pPr>
              <w:numPr>
                <w:ilvl w:val="0"/>
                <w:numId w:val="18"/>
              </w:numPr>
              <w:spacing w:before="120"/>
              <w:ind w:left="462" w:hanging="425"/>
              <w:rPr>
                <w:b w:val="0"/>
                <w:bCs w:val="0"/>
              </w:rPr>
            </w:pPr>
            <w:r w:rsidRPr="00BD34E0">
              <w:rPr>
                <w:b w:val="0"/>
                <w:bCs w:val="0"/>
              </w:rPr>
              <w:t xml:space="preserve">Using clean, dry, class A volumetric glassware, transfer 5.0 mL of the concentrate and dilute to a final volume of 500 mL with 0.1 M nitric acid solution </w:t>
            </w:r>
          </w:p>
        </w:tc>
      </w:tr>
      <w:tr w:rsidR="003B57B4" w:rsidRPr="008469A5" w14:paraId="5C757821" w14:textId="77777777" w:rsidTr="00DA7339">
        <w:tc>
          <w:tcPr>
            <w:cnfStyle w:val="001000000000" w:firstRow="0" w:lastRow="0" w:firstColumn="1" w:lastColumn="0" w:oddVBand="0" w:evenVBand="0" w:oddHBand="0" w:evenHBand="0" w:firstRowFirstColumn="0" w:firstRowLastColumn="0" w:lastRowFirstColumn="0" w:lastRowLastColumn="0"/>
            <w:tcW w:w="9628" w:type="dxa"/>
          </w:tcPr>
          <w:p w14:paraId="49F87A37" w14:textId="77777777" w:rsidR="003B57B4" w:rsidRPr="00BD34E0" w:rsidRDefault="003B57B4" w:rsidP="003B57B4">
            <w:pPr>
              <w:numPr>
                <w:ilvl w:val="0"/>
                <w:numId w:val="18"/>
              </w:numPr>
              <w:spacing w:before="120"/>
              <w:ind w:left="462" w:hanging="425"/>
              <w:rPr>
                <w:b w:val="0"/>
                <w:bCs w:val="0"/>
              </w:rPr>
            </w:pPr>
            <w:r w:rsidRPr="00BD34E0">
              <w:rPr>
                <w:b w:val="0"/>
                <w:bCs w:val="0"/>
              </w:rPr>
              <w:t xml:space="preserve">If necessary, prepare a second 500 mL portion by following steps 1 and 2 above </w:t>
            </w:r>
          </w:p>
        </w:tc>
      </w:tr>
      <w:tr w:rsidR="003B57B4" w:rsidRPr="008469A5" w14:paraId="715BADDF" w14:textId="77777777" w:rsidTr="00DA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218E7643" w14:textId="77777777" w:rsidR="003B57B4" w:rsidRPr="00BD34E0" w:rsidRDefault="003B57B4" w:rsidP="003B57B4">
            <w:pPr>
              <w:numPr>
                <w:ilvl w:val="0"/>
                <w:numId w:val="18"/>
              </w:numPr>
              <w:spacing w:before="120"/>
              <w:ind w:left="462" w:hanging="425"/>
              <w:rPr>
                <w:b w:val="0"/>
                <w:bCs w:val="0"/>
              </w:rPr>
            </w:pPr>
            <w:r w:rsidRPr="00BD34E0">
              <w:rPr>
                <w:b w:val="0"/>
                <w:bCs w:val="0"/>
              </w:rPr>
              <w:t xml:space="preserve">Mix or shake the diluted sample well prior to analysis </w:t>
            </w:r>
          </w:p>
        </w:tc>
      </w:tr>
      <w:tr w:rsidR="003B57B4" w:rsidRPr="008469A5" w14:paraId="1F03E0B3" w14:textId="77777777" w:rsidTr="00DA7339">
        <w:tc>
          <w:tcPr>
            <w:cnfStyle w:val="001000000000" w:firstRow="0" w:lastRow="0" w:firstColumn="1" w:lastColumn="0" w:oddVBand="0" w:evenVBand="0" w:oddHBand="0" w:evenHBand="0" w:firstRowFirstColumn="0" w:firstRowLastColumn="0" w:lastRowFirstColumn="0" w:lastRowLastColumn="0"/>
            <w:tcW w:w="9628" w:type="dxa"/>
          </w:tcPr>
          <w:p w14:paraId="652A336E" w14:textId="77777777" w:rsidR="003B57B4" w:rsidRPr="00BD34E0" w:rsidRDefault="003B57B4" w:rsidP="003B57B4">
            <w:pPr>
              <w:numPr>
                <w:ilvl w:val="0"/>
                <w:numId w:val="18"/>
              </w:numPr>
              <w:spacing w:before="120"/>
              <w:ind w:left="462" w:hanging="425"/>
              <w:rPr>
                <w:b w:val="0"/>
                <w:bCs w:val="0"/>
              </w:rPr>
            </w:pPr>
            <w:r w:rsidRPr="00BD34E0">
              <w:rPr>
                <w:b w:val="0"/>
                <w:bCs w:val="0"/>
              </w:rPr>
              <w:t xml:space="preserve">Use your regular preparation and analytical procedures </w:t>
            </w:r>
          </w:p>
        </w:tc>
      </w:tr>
      <w:tr w:rsidR="003B57B4" w:rsidRPr="008469A5" w14:paraId="2E20C526" w14:textId="77777777" w:rsidTr="00DA7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Pr>
          <w:p w14:paraId="72CFEF6B" w14:textId="77777777" w:rsidR="003B57B4" w:rsidRPr="00BD34E0" w:rsidRDefault="003B57B4" w:rsidP="003B57B4">
            <w:pPr>
              <w:numPr>
                <w:ilvl w:val="0"/>
                <w:numId w:val="18"/>
              </w:numPr>
              <w:spacing w:before="120"/>
              <w:ind w:left="462" w:hanging="425"/>
              <w:rPr>
                <w:b w:val="0"/>
                <w:bCs w:val="0"/>
              </w:rPr>
            </w:pPr>
            <w:r w:rsidRPr="00BD34E0">
              <w:rPr>
                <w:b w:val="0"/>
                <w:bCs w:val="0"/>
              </w:rPr>
              <w:t>There is no decay correction performed for the measured results</w:t>
            </w:r>
          </w:p>
        </w:tc>
      </w:tr>
      <w:tr w:rsidR="003B57B4" w:rsidRPr="008469A5" w14:paraId="1120AC1F" w14:textId="77777777" w:rsidTr="00DA7339">
        <w:tc>
          <w:tcPr>
            <w:cnfStyle w:val="001000000000" w:firstRow="0" w:lastRow="0" w:firstColumn="1" w:lastColumn="0" w:oddVBand="0" w:evenVBand="0" w:oddHBand="0" w:evenHBand="0" w:firstRowFirstColumn="0" w:firstRowLastColumn="0" w:lastRowFirstColumn="0" w:lastRowLastColumn="0"/>
            <w:tcW w:w="9628" w:type="dxa"/>
          </w:tcPr>
          <w:p w14:paraId="3A37FE39" w14:textId="302C8A28" w:rsidR="003B57B4" w:rsidRPr="00BD34E0" w:rsidRDefault="003B57B4" w:rsidP="003B57B4">
            <w:pPr>
              <w:numPr>
                <w:ilvl w:val="0"/>
                <w:numId w:val="18"/>
              </w:numPr>
              <w:spacing w:before="120"/>
              <w:ind w:left="462" w:hanging="425"/>
              <w:rPr>
                <w:b w:val="0"/>
                <w:bCs w:val="0"/>
              </w:rPr>
            </w:pPr>
            <w:r w:rsidRPr="00BD34E0">
              <w:rPr>
                <w:b w:val="0"/>
                <w:bCs w:val="0"/>
              </w:rPr>
              <w:t xml:space="preserve">There is no correction for </w:t>
            </w:r>
            <w:r w:rsidR="00D229F5" w:rsidRPr="00BD34E0">
              <w:rPr>
                <w:b w:val="0"/>
                <w:bCs w:val="0"/>
              </w:rPr>
              <w:t>p</w:t>
            </w:r>
            <w:r w:rsidRPr="00BD34E0">
              <w:rPr>
                <w:b w:val="0"/>
                <w:bCs w:val="0"/>
              </w:rPr>
              <w:t>otassium-40 for the measured results</w:t>
            </w:r>
          </w:p>
        </w:tc>
      </w:tr>
    </w:tbl>
    <w:p w14:paraId="2D77EBD1" w14:textId="77777777" w:rsidR="003B57B4" w:rsidRDefault="003B57B4" w:rsidP="003B57B4">
      <w:r>
        <w:t>The diluent should have an acidic composition comparable to that of the concentrate to ensure analyte stability and should be analysed as soon as possible after dilution.</w:t>
      </w:r>
    </w:p>
    <w:p w14:paraId="17B48498" w14:textId="2250C5E3" w:rsidR="003B57B4" w:rsidRDefault="003B57B4" w:rsidP="003B57B4">
      <w:r>
        <w:t>All participating laboratories confirmed the samples were prepared in accordance with the instructions supplied above, prior to analysis.</w:t>
      </w:r>
      <w:bookmarkStart w:id="10" w:name="_Hlk74649208"/>
    </w:p>
    <w:p w14:paraId="034F89D3" w14:textId="37BCE76A" w:rsidR="003B57B4" w:rsidRPr="00971F22" w:rsidRDefault="003B57B4" w:rsidP="003B57B4">
      <w:pPr>
        <w:pStyle w:val="Heading1"/>
      </w:pPr>
      <w:bookmarkStart w:id="11" w:name="_Toc379296977"/>
      <w:bookmarkStart w:id="12" w:name="_Toc379966437"/>
      <w:bookmarkStart w:id="13" w:name="_Toc380048011"/>
      <w:bookmarkStart w:id="14" w:name="_Toc380136667"/>
      <w:bookmarkStart w:id="15" w:name="_Toc380480395"/>
      <w:bookmarkStart w:id="16" w:name="_Toc380482630"/>
      <w:bookmarkStart w:id="17" w:name="_Toc380482766"/>
      <w:bookmarkStart w:id="18" w:name="_Toc441132144"/>
      <w:bookmarkStart w:id="19" w:name="_Toc441242618"/>
      <w:bookmarkStart w:id="20" w:name="_Toc441242927"/>
      <w:bookmarkStart w:id="21" w:name="_Toc444090071"/>
      <w:bookmarkStart w:id="22" w:name="_Toc447097360"/>
      <w:bookmarkStart w:id="23" w:name="_Toc379966440"/>
      <w:bookmarkStart w:id="24" w:name="_Toc380048014"/>
      <w:bookmarkStart w:id="25" w:name="_Toc380136670"/>
      <w:bookmarkStart w:id="26" w:name="_Toc380480398"/>
      <w:bookmarkStart w:id="27" w:name="_Toc380482633"/>
      <w:bookmarkStart w:id="28" w:name="_Toc380482769"/>
      <w:bookmarkStart w:id="29" w:name="_Toc441132147"/>
      <w:bookmarkStart w:id="30" w:name="_Toc441242621"/>
      <w:bookmarkStart w:id="31" w:name="_Toc441242930"/>
      <w:bookmarkStart w:id="32" w:name="_Toc444090074"/>
      <w:bookmarkStart w:id="33" w:name="_Toc447097363"/>
      <w:bookmarkStart w:id="34" w:name="_Toc453335325"/>
      <w:bookmarkStart w:id="35" w:name="_Toc75342738"/>
      <w:bookmarkStart w:id="36" w:name="_Toc7883943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971F22">
        <w:t xml:space="preserve">Analysis of </w:t>
      </w:r>
      <w:r w:rsidR="00D229F5">
        <w:t>r</w:t>
      </w:r>
      <w:r w:rsidRPr="00971F22">
        <w:t>esults</w:t>
      </w:r>
      <w:bookmarkEnd w:id="34"/>
      <w:bookmarkEnd w:id="35"/>
      <w:bookmarkEnd w:id="36"/>
    </w:p>
    <w:p w14:paraId="1D670586" w14:textId="4C8DC472" w:rsidR="003B57B4" w:rsidRDefault="003B57B4" w:rsidP="003B57B4">
      <w:r>
        <w:t xml:space="preserve">For each radionuclide, ARPANSA calculated the </w:t>
      </w:r>
      <w:r w:rsidR="00D229F5">
        <w:t>r</w:t>
      </w:r>
      <w:r>
        <w:t xml:space="preserve">elative </w:t>
      </w:r>
      <w:r w:rsidR="00D229F5">
        <w:t>b</w:t>
      </w:r>
      <w:r>
        <w:t>ias (</w:t>
      </w:r>
      <w:r w:rsidRPr="0039061D">
        <w:rPr>
          <w:i/>
        </w:rPr>
        <w:t>R</w:t>
      </w:r>
      <w:r>
        <w:t>) of the measured activity concentration (</w:t>
      </w:r>
      <w:r w:rsidRPr="0039061D">
        <w:rPr>
          <w:i/>
        </w:rPr>
        <w:t>M</w:t>
      </w:r>
      <w:r>
        <w:t>), relative to the certified activity concentration supplied by the manufacturer (</w:t>
      </w:r>
      <w:r w:rsidRPr="0039061D">
        <w:rPr>
          <w:i/>
        </w:rPr>
        <w:t>C</w:t>
      </w:r>
      <w:r>
        <w:t>):</w:t>
      </w:r>
    </w:p>
    <w:p w14:paraId="144B9D0F" w14:textId="77777777" w:rsidR="003B57B4" w:rsidRPr="00457A5D" w:rsidRDefault="003B57B4" w:rsidP="003B57B4">
      <w:pPr>
        <w:pStyle w:val="Caption"/>
      </w:pPr>
      <w:r w:rsidRPr="00267F32">
        <w:t xml:space="preserve">Equation </w:t>
      </w:r>
      <w:r w:rsidR="007C4285">
        <w:fldChar w:fldCharType="begin"/>
      </w:r>
      <w:r w:rsidR="007C4285">
        <w:instrText xml:space="preserve"> SEQ Equation \* ARABIC </w:instrText>
      </w:r>
      <w:r w:rsidR="007C4285">
        <w:fldChar w:fldCharType="separate"/>
      </w:r>
      <w:r w:rsidRPr="00267F32">
        <w:t>1</w:t>
      </w:r>
      <w:r w:rsidR="007C4285">
        <w:fldChar w:fldCharType="end"/>
      </w:r>
      <w:r w:rsidRPr="00267F32">
        <w:t>:</w:t>
      </w:r>
      <w:r w:rsidRPr="00457A5D">
        <w:tab/>
      </w:r>
      <w:r w:rsidRPr="00457A5D">
        <w:tab/>
      </w:r>
      <w:r w:rsidRPr="00457A5D">
        <w:tab/>
      </w:r>
      <m:oMath>
        <m:r>
          <m:rPr>
            <m:sty m:val="b"/>
          </m:rPr>
          <w:rPr>
            <w:rFonts w:ascii="Cambria Math" w:hAnsi="Cambria Math"/>
          </w:rPr>
          <m:t xml:space="preserve">R= </m:t>
        </m:r>
        <m:f>
          <m:fPr>
            <m:ctrlPr>
              <w:rPr>
                <w:rFonts w:ascii="Cambria Math" w:hAnsi="Cambria Math"/>
              </w:rPr>
            </m:ctrlPr>
          </m:fPr>
          <m:num>
            <m:r>
              <m:rPr>
                <m:sty m:val="b"/>
              </m:rPr>
              <w:rPr>
                <w:rFonts w:ascii="Cambria Math" w:hAnsi="Cambria Math"/>
              </w:rPr>
              <m:t>M-C</m:t>
            </m:r>
          </m:num>
          <m:den>
            <m:r>
              <m:rPr>
                <m:sty m:val="b"/>
              </m:rPr>
              <w:rPr>
                <w:rFonts w:ascii="Cambria Math" w:hAnsi="Cambria Math"/>
              </w:rPr>
              <m:t>C</m:t>
            </m:r>
          </m:den>
        </m:f>
        <m:r>
          <m:rPr>
            <m:sty m:val="b"/>
          </m:rPr>
          <w:rPr>
            <w:rFonts w:ascii="Cambria Math" w:hAnsi="Cambria Math"/>
          </w:rPr>
          <m:t xml:space="preserve"> ×100</m:t>
        </m:r>
      </m:oMath>
    </w:p>
    <w:p w14:paraId="33D4F57B" w14:textId="6916F367" w:rsidR="003B57B4" w:rsidRDefault="003B57B4" w:rsidP="003B57B4">
      <w:r>
        <w:t>Due to the uncertainties in both the certified value (</w:t>
      </w:r>
      <w:proofErr w:type="spellStart"/>
      <w:r w:rsidRPr="0039061D">
        <w:rPr>
          <w:i/>
        </w:rPr>
        <w:t>u</w:t>
      </w:r>
      <w:r w:rsidRPr="0039061D">
        <w:rPr>
          <w:i/>
          <w:vertAlign w:val="subscript"/>
        </w:rPr>
        <w:t>c</w:t>
      </w:r>
      <w:proofErr w:type="spellEnd"/>
      <w:r>
        <w:t>) and the measured value (</w:t>
      </w:r>
      <w:r w:rsidRPr="0039061D">
        <w:rPr>
          <w:i/>
        </w:rPr>
        <w:t>u</w:t>
      </w:r>
      <w:r w:rsidRPr="0039061D">
        <w:rPr>
          <w:i/>
          <w:vertAlign w:val="subscript"/>
        </w:rPr>
        <w:t>m</w:t>
      </w:r>
      <w:r>
        <w:t xml:space="preserve">), the </w:t>
      </w:r>
      <w:r w:rsidR="00D229F5">
        <w:t>r</w:t>
      </w:r>
      <w:r>
        <w:t xml:space="preserve">elative </w:t>
      </w:r>
      <w:r w:rsidR="00D229F5">
        <w:t>b</w:t>
      </w:r>
      <w:r>
        <w:t>ias for an individual radionuclide may not be statistically significant. Therefore, ARPANSA also calculated the U</w:t>
      </w:r>
      <w:r w:rsidR="00D229F5">
        <w:noBreakHyphen/>
      </w:r>
      <w:r>
        <w:t>test value (</w:t>
      </w:r>
      <w:r w:rsidRPr="0039061D">
        <w:rPr>
          <w:i/>
        </w:rPr>
        <w:t>U</w:t>
      </w:r>
      <w:r>
        <w:t>):</w:t>
      </w:r>
    </w:p>
    <w:p w14:paraId="0BDA4FE5" w14:textId="77777777" w:rsidR="003B57B4" w:rsidRPr="00457A5D" w:rsidRDefault="003B57B4" w:rsidP="003B57B4">
      <w:pPr>
        <w:pStyle w:val="Caption"/>
      </w:pPr>
      <w:r w:rsidRPr="00457A5D">
        <w:t xml:space="preserve">Equation </w:t>
      </w:r>
      <w:r w:rsidR="007C4285">
        <w:fldChar w:fldCharType="begin"/>
      </w:r>
      <w:r w:rsidR="007C4285">
        <w:instrText xml:space="preserve"> SEQ Equation \* ARABIC </w:instrText>
      </w:r>
      <w:r w:rsidR="007C4285">
        <w:fldChar w:fldCharType="separate"/>
      </w:r>
      <w:r>
        <w:rPr>
          <w:noProof/>
        </w:rPr>
        <w:t>2</w:t>
      </w:r>
      <w:r w:rsidR="007C4285">
        <w:rPr>
          <w:noProof/>
        </w:rPr>
        <w:fldChar w:fldCharType="end"/>
      </w:r>
      <w:r w:rsidRPr="00457A5D">
        <w:t>:</w:t>
      </w:r>
      <w:r w:rsidRPr="00457A5D">
        <w:tab/>
      </w:r>
      <w:r w:rsidRPr="00457A5D">
        <w:tab/>
      </w:r>
      <w:r w:rsidRPr="00457A5D">
        <w:tab/>
      </w:r>
      <m:oMath>
        <m:r>
          <m:rPr>
            <m:sty m:val="b"/>
          </m:rPr>
          <w:rPr>
            <w:rFonts w:ascii="Cambria Math" w:hAnsi="Cambria Math"/>
          </w:rPr>
          <m:t xml:space="preserve">U= </m:t>
        </m:r>
        <m:f>
          <m:fPr>
            <m:ctrlPr>
              <w:rPr>
                <w:rFonts w:ascii="Cambria Math" w:hAnsi="Cambria Math"/>
              </w:rPr>
            </m:ctrlPr>
          </m:fPr>
          <m:num>
            <m:rad>
              <m:radPr>
                <m:degHide m:val="1"/>
                <m:ctrlPr>
                  <w:rPr>
                    <w:rFonts w:ascii="Cambria Math" w:hAnsi="Cambria Math"/>
                  </w:rPr>
                </m:ctrlPr>
              </m:radPr>
              <m:deg/>
              <m:e>
                <m:sSup>
                  <m:sSupPr>
                    <m:ctrlPr>
                      <w:rPr>
                        <w:rFonts w:ascii="Cambria Math" w:hAnsi="Cambria Math"/>
                      </w:rPr>
                    </m:ctrlPr>
                  </m:sSupPr>
                  <m:e>
                    <m:r>
                      <m:rPr>
                        <m:sty m:val="b"/>
                      </m:rPr>
                      <w:rPr>
                        <w:rFonts w:ascii="Cambria Math" w:hAnsi="Cambria Math"/>
                      </w:rPr>
                      <m:t>(M-C)</m:t>
                    </m:r>
                  </m:e>
                  <m:sup>
                    <m:r>
                      <m:rPr>
                        <m:sty m:val="b"/>
                      </m:rPr>
                      <w:rPr>
                        <w:rFonts w:ascii="Cambria Math" w:hAnsi="Cambria Math"/>
                      </w:rPr>
                      <m:t>2</m:t>
                    </m:r>
                  </m:sup>
                </m:sSup>
              </m:e>
            </m:rad>
          </m:num>
          <m:den>
            <m:rad>
              <m:radPr>
                <m:degHide m:val="1"/>
                <m:ctrlPr>
                  <w:rPr>
                    <w:rFonts w:ascii="Cambria Math" w:hAnsi="Cambria Math"/>
                  </w:rPr>
                </m:ctrlPr>
              </m:radPr>
              <m:deg/>
              <m:e>
                <m:sSubSup>
                  <m:sSubSupPr>
                    <m:ctrlPr>
                      <w:rPr>
                        <w:rFonts w:ascii="Cambria Math" w:hAnsi="Cambria Math"/>
                      </w:rPr>
                    </m:ctrlPr>
                  </m:sSubSupPr>
                  <m:e>
                    <m:r>
                      <m:rPr>
                        <m:sty m:val="b"/>
                      </m:rPr>
                      <w:rPr>
                        <w:rFonts w:ascii="Cambria Math" w:hAnsi="Cambria Math"/>
                      </w:rPr>
                      <m:t>u</m:t>
                    </m:r>
                  </m:e>
                  <m:sub>
                    <m:r>
                      <m:rPr>
                        <m:sty m:val="b"/>
                      </m:rPr>
                      <w:rPr>
                        <w:rFonts w:ascii="Cambria Math" w:hAnsi="Cambria Math"/>
                      </w:rPr>
                      <m:t>m</m:t>
                    </m:r>
                  </m:sub>
                  <m:sup>
                    <m:r>
                      <m:rPr>
                        <m:sty m:val="b"/>
                      </m:rPr>
                      <w:rPr>
                        <w:rFonts w:ascii="Cambria Math" w:hAnsi="Cambria Math"/>
                      </w:rPr>
                      <m:t>2</m:t>
                    </m:r>
                  </m:sup>
                </m:sSubSup>
                <m:r>
                  <m:rPr>
                    <m:sty m:val="b"/>
                  </m:rPr>
                  <w:rPr>
                    <w:rFonts w:ascii="Cambria Math" w:hAnsi="Cambria Math"/>
                  </w:rPr>
                  <m:t xml:space="preserve">+ </m:t>
                </m:r>
                <m:sSubSup>
                  <m:sSubSupPr>
                    <m:ctrlPr>
                      <w:rPr>
                        <w:rFonts w:ascii="Cambria Math" w:hAnsi="Cambria Math"/>
                      </w:rPr>
                    </m:ctrlPr>
                  </m:sSubSupPr>
                  <m:e>
                    <m:r>
                      <m:rPr>
                        <m:sty m:val="b"/>
                      </m:rPr>
                      <w:rPr>
                        <w:rFonts w:ascii="Cambria Math" w:hAnsi="Cambria Math"/>
                      </w:rPr>
                      <m:t>u</m:t>
                    </m:r>
                  </m:e>
                  <m:sub>
                    <m:r>
                      <m:rPr>
                        <m:sty m:val="b"/>
                      </m:rPr>
                      <w:rPr>
                        <w:rFonts w:ascii="Cambria Math" w:hAnsi="Cambria Math"/>
                      </w:rPr>
                      <m:t>c</m:t>
                    </m:r>
                  </m:sub>
                  <m:sup>
                    <m:r>
                      <m:rPr>
                        <m:sty m:val="b"/>
                      </m:rPr>
                      <w:rPr>
                        <w:rFonts w:ascii="Cambria Math" w:hAnsi="Cambria Math"/>
                      </w:rPr>
                      <m:t>2</m:t>
                    </m:r>
                  </m:sup>
                </m:sSubSup>
              </m:e>
            </m:rad>
          </m:den>
        </m:f>
      </m:oMath>
      <w:r w:rsidRPr="00457A5D">
        <w:tab/>
      </w:r>
    </w:p>
    <w:p w14:paraId="5137C05C" w14:textId="6A5F7179" w:rsidR="003B57B4" w:rsidRDefault="003B57B4" w:rsidP="003B57B4">
      <w:r>
        <w:t xml:space="preserve">The </w:t>
      </w:r>
      <w:r w:rsidR="00D229F5">
        <w:t>r</w:t>
      </w:r>
      <w:r>
        <w:t xml:space="preserve">elative </w:t>
      </w:r>
      <w:r w:rsidR="00D229F5">
        <w:t>b</w:t>
      </w:r>
      <w:r>
        <w:t>ias for an individual radionuclide is statistically significant if U &gt; 2.58 and may be statistically significant if U &gt; 1.64.</w:t>
      </w:r>
    </w:p>
    <w:p w14:paraId="62DB5DCA" w14:textId="5A5E7C85" w:rsidR="003B57B4" w:rsidRDefault="003B57B4" w:rsidP="003B57B4">
      <w:r>
        <w:t xml:space="preserve">If a participant under- or over-estimated the uncertainty associated with a measurement, the U-test value will over- or underestimate the statistical significance of the </w:t>
      </w:r>
      <w:r w:rsidR="00D229F5">
        <w:t>r</w:t>
      </w:r>
      <w:r>
        <w:t xml:space="preserve">elative </w:t>
      </w:r>
      <w:r w:rsidR="00D229F5">
        <w:t>b</w:t>
      </w:r>
      <w:r>
        <w:t>ias. Therefore, ARPANSA also compared the measured value to the PALs provided by the supplier of the sample.</w:t>
      </w:r>
    </w:p>
    <w:p w14:paraId="14A9FC75" w14:textId="0F32BF84" w:rsidR="003B57B4" w:rsidRDefault="003B57B4" w:rsidP="003B57B4">
      <w:pPr>
        <w:keepLines/>
      </w:pPr>
      <w:r w:rsidRPr="0039061D">
        <w:t xml:space="preserve">Each participant </w:t>
      </w:r>
      <w:r>
        <w:t>was</w:t>
      </w:r>
      <w:r w:rsidRPr="0039061D">
        <w:t xml:space="preserve"> provided with an individual report detailing the </w:t>
      </w:r>
      <w:r w:rsidR="00D229F5">
        <w:t>r</w:t>
      </w:r>
      <w:r w:rsidRPr="0039061D">
        <w:t xml:space="preserve">elative </w:t>
      </w:r>
      <w:r w:rsidR="00D229F5">
        <w:t>b</w:t>
      </w:r>
      <w:r w:rsidRPr="0039061D">
        <w:t xml:space="preserve">ias, U-test </w:t>
      </w:r>
      <w:proofErr w:type="gramStart"/>
      <w:r w:rsidRPr="0039061D">
        <w:t>value</w:t>
      </w:r>
      <w:proofErr w:type="gramEnd"/>
      <w:r w:rsidRPr="0039061D">
        <w:t xml:space="preserve"> and comparison with t</w:t>
      </w:r>
      <w:r>
        <w:t>he PALs</w:t>
      </w:r>
      <w:r w:rsidRPr="0039061D">
        <w:t xml:space="preserve"> for each radionuclide. This report also indicate</w:t>
      </w:r>
      <w:r>
        <w:t>d</w:t>
      </w:r>
      <w:r w:rsidRPr="0039061D">
        <w:t xml:space="preserve"> if there appear</w:t>
      </w:r>
      <w:r>
        <w:t>ed</w:t>
      </w:r>
      <w:r w:rsidRPr="0039061D">
        <w:t xml:space="preserve"> to be systematic errors in the laboratory’s measured values and indicate</w:t>
      </w:r>
      <w:r>
        <w:t>d</w:t>
      </w:r>
      <w:r w:rsidRPr="0039061D">
        <w:t xml:space="preserve"> the potential sources of these errors, based on the </w:t>
      </w:r>
      <w:r>
        <w:t>results and responses from the report f</w:t>
      </w:r>
      <w:r w:rsidRPr="0039061D">
        <w:t>orm.</w:t>
      </w:r>
    </w:p>
    <w:p w14:paraId="5846C176" w14:textId="253C0A2D" w:rsidR="003B57B4" w:rsidRDefault="003B57B4" w:rsidP="003B57B4">
      <w:r>
        <w:lastRenderedPageBreak/>
        <w:t>The laboratories were randomly designated a number to be used throughout this report. Laboratory 3 returned</w:t>
      </w:r>
      <w:r w:rsidR="00D229F5">
        <w:t xml:space="preserve"> 2</w:t>
      </w:r>
      <w:r>
        <w:t xml:space="preserve"> results, based on different analysis techniques and these results are displayed in the following report as laboratory 3 and 3.1.</w:t>
      </w:r>
    </w:p>
    <w:p w14:paraId="2D78A51C" w14:textId="0B5F2F7A" w:rsidR="003B57B4" w:rsidRPr="0008487F" w:rsidRDefault="003B57B4" w:rsidP="003B57B4">
      <w:pPr>
        <w:pStyle w:val="Heading1"/>
        <w:rPr>
          <w:rFonts w:eastAsia="Times New Roman"/>
        </w:rPr>
      </w:pPr>
      <w:bookmarkStart w:id="37" w:name="_Toc453335326"/>
      <w:bookmarkStart w:id="38" w:name="_Toc75342739"/>
      <w:bookmarkStart w:id="39" w:name="_Toc78839435"/>
      <w:r w:rsidRPr="0008487F">
        <w:rPr>
          <w:rFonts w:eastAsia="Times New Roman"/>
        </w:rPr>
        <w:t xml:space="preserve">Results and </w:t>
      </w:r>
      <w:r w:rsidR="00D229F5">
        <w:rPr>
          <w:rFonts w:eastAsia="Times New Roman"/>
        </w:rPr>
        <w:t>d</w:t>
      </w:r>
      <w:r w:rsidRPr="0008487F">
        <w:rPr>
          <w:rFonts w:eastAsia="Times New Roman"/>
        </w:rPr>
        <w:t>iscussion</w:t>
      </w:r>
      <w:bookmarkEnd w:id="37"/>
      <w:bookmarkEnd w:id="38"/>
      <w:bookmarkEnd w:id="39"/>
    </w:p>
    <w:p w14:paraId="0862E377" w14:textId="05F32B58" w:rsidR="003B57B4" w:rsidRDefault="003B57B4" w:rsidP="003B57B4">
      <w:pPr>
        <w:pStyle w:val="Heading2"/>
      </w:pPr>
      <w:bookmarkStart w:id="40" w:name="_Toc379966443"/>
      <w:bookmarkStart w:id="41" w:name="_Toc380048017"/>
      <w:bookmarkStart w:id="42" w:name="_Toc380136673"/>
      <w:bookmarkStart w:id="43" w:name="_Toc380480401"/>
      <w:bookmarkStart w:id="44" w:name="_Toc380482636"/>
      <w:bookmarkStart w:id="45" w:name="_Toc380482772"/>
      <w:bookmarkStart w:id="46" w:name="_Toc441132150"/>
      <w:bookmarkStart w:id="47" w:name="_Toc441242624"/>
      <w:bookmarkStart w:id="48" w:name="_Toc441242933"/>
      <w:bookmarkStart w:id="49" w:name="_Toc444090077"/>
      <w:bookmarkStart w:id="50" w:name="_Toc447097366"/>
      <w:bookmarkStart w:id="51" w:name="_Toc453335328"/>
      <w:bookmarkStart w:id="52" w:name="_Toc75342740"/>
      <w:bookmarkStart w:id="53" w:name="_Toc78839436"/>
      <w:bookmarkEnd w:id="40"/>
      <w:bookmarkEnd w:id="41"/>
      <w:bookmarkEnd w:id="42"/>
      <w:bookmarkEnd w:id="43"/>
      <w:bookmarkEnd w:id="44"/>
      <w:bookmarkEnd w:id="45"/>
      <w:bookmarkEnd w:id="46"/>
      <w:bookmarkEnd w:id="47"/>
      <w:bookmarkEnd w:id="48"/>
      <w:bookmarkEnd w:id="49"/>
      <w:bookmarkEnd w:id="50"/>
      <w:r>
        <w:t xml:space="preserve">Performance </w:t>
      </w:r>
      <w:r w:rsidR="00D229F5">
        <w:t>r</w:t>
      </w:r>
      <w:r>
        <w:t xml:space="preserve">elative to </w:t>
      </w:r>
      <w:r w:rsidR="00D229F5">
        <w:t>a</w:t>
      </w:r>
      <w:r>
        <w:t xml:space="preserve">cceptance </w:t>
      </w:r>
      <w:r w:rsidR="00D229F5">
        <w:t>l</w:t>
      </w:r>
      <w:r>
        <w:t>imits</w:t>
      </w:r>
      <w:bookmarkEnd w:id="51"/>
      <w:bookmarkEnd w:id="52"/>
      <w:bookmarkEnd w:id="53"/>
    </w:p>
    <w:p w14:paraId="54BCF9DC" w14:textId="77777777" w:rsidR="003B57B4" w:rsidRDefault="003B57B4" w:rsidP="003B57B4">
      <w:pPr>
        <w:spacing w:before="0" w:line="240" w:lineRule="auto"/>
        <w:jc w:val="both"/>
      </w:pPr>
      <w:bookmarkStart w:id="54" w:name="_Ref441133273"/>
      <w:r>
        <w:t xml:space="preserve">As noted in section </w:t>
      </w:r>
      <w:r>
        <w:fldChar w:fldCharType="begin"/>
      </w:r>
      <w:r>
        <w:instrText xml:space="preserve"> REF _Ref441133247 \r \h </w:instrText>
      </w:r>
      <w:r>
        <w:fldChar w:fldCharType="separate"/>
      </w:r>
      <w:r>
        <w:t>2</w:t>
      </w:r>
      <w:r>
        <w:fldChar w:fldCharType="end"/>
      </w:r>
      <w:r>
        <w:t xml:space="preserve">, the certificate of analysis for each sample also included PALs approximating 95% confidence intervals of the performance that an experienced laboratory should achieve. The reported activity concentration for each radionuclide, for each laboratory, was compared to these acceptance limits. </w:t>
      </w:r>
      <w:r>
        <w:fldChar w:fldCharType="begin"/>
      </w:r>
      <w:r>
        <w:instrText xml:space="preserve"> REF _Ref453335257 \h </w:instrText>
      </w:r>
      <w:r>
        <w:fldChar w:fldCharType="separate"/>
      </w:r>
      <w:r w:rsidRPr="001B0691">
        <w:t xml:space="preserve">Table </w:t>
      </w:r>
      <w:r>
        <w:rPr>
          <w:noProof/>
        </w:rPr>
        <w:t>1</w:t>
      </w:r>
      <w:r>
        <w:fldChar w:fldCharType="end"/>
      </w:r>
      <w:r>
        <w:t xml:space="preserve"> details the number of laboratories taking part in the exercise, reporting results within these limits. </w:t>
      </w:r>
    </w:p>
    <w:p w14:paraId="70CA5E83" w14:textId="77777777" w:rsidR="003B57B4" w:rsidRDefault="003B57B4" w:rsidP="003B57B4">
      <w:pPr>
        <w:spacing w:before="0" w:line="240" w:lineRule="auto"/>
        <w:jc w:val="both"/>
        <w:rPr>
          <w:b/>
          <w:bCs/>
          <w:color w:val="E3CCF4" w:themeColor="accent1"/>
          <w:sz w:val="20"/>
          <w:szCs w:val="18"/>
        </w:rPr>
      </w:pPr>
      <w:bookmarkStart w:id="55" w:name="_Ref453332725"/>
    </w:p>
    <w:p w14:paraId="1E98AF85" w14:textId="77777777" w:rsidR="003B57B4" w:rsidRPr="000A59F1" w:rsidRDefault="003B57B4" w:rsidP="003B57B4">
      <w:pPr>
        <w:pStyle w:val="Caption"/>
      </w:pPr>
      <w:bookmarkStart w:id="56" w:name="_Ref453335257"/>
      <w:r w:rsidRPr="001B0691">
        <w:t xml:space="preserve">Table </w:t>
      </w:r>
      <w:r w:rsidR="007C4285">
        <w:fldChar w:fldCharType="begin"/>
      </w:r>
      <w:r w:rsidR="007C4285">
        <w:instrText xml:space="preserve"> SEQ Table \* ARABIC </w:instrText>
      </w:r>
      <w:r w:rsidR="007C4285">
        <w:fldChar w:fldCharType="separate"/>
      </w:r>
      <w:r>
        <w:rPr>
          <w:noProof/>
        </w:rPr>
        <w:t>1</w:t>
      </w:r>
      <w:r w:rsidR="007C4285">
        <w:rPr>
          <w:noProof/>
        </w:rPr>
        <w:fldChar w:fldCharType="end"/>
      </w:r>
      <w:bookmarkEnd w:id="54"/>
      <w:bookmarkEnd w:id="55"/>
      <w:bookmarkEnd w:id="56"/>
      <w:r w:rsidRPr="001B0691">
        <w:t>:</w:t>
      </w:r>
      <w:r>
        <w:tab/>
      </w:r>
      <w:r w:rsidRPr="001B0691">
        <w:t>Laboratories reporting acceptable results</w:t>
      </w:r>
    </w:p>
    <w:tbl>
      <w:tblPr>
        <w:tblStyle w:val="GenericARPANSA"/>
        <w:tblW w:w="3004" w:type="pct"/>
        <w:tblInd w:w="0" w:type="dxa"/>
        <w:tblLook w:val="0420" w:firstRow="1" w:lastRow="0" w:firstColumn="0" w:lastColumn="0" w:noHBand="0" w:noVBand="1"/>
      </w:tblPr>
      <w:tblGrid>
        <w:gridCol w:w="2594"/>
        <w:gridCol w:w="3191"/>
      </w:tblGrid>
      <w:tr w:rsidR="003B57B4" w:rsidRPr="00744A85" w14:paraId="3D41A2C3" w14:textId="77777777" w:rsidTr="004E4B0B">
        <w:trPr>
          <w:cnfStyle w:val="100000000000" w:firstRow="1" w:lastRow="0" w:firstColumn="0" w:lastColumn="0" w:oddVBand="0" w:evenVBand="0" w:oddHBand="0" w:evenHBand="0" w:firstRowFirstColumn="0" w:firstRowLastColumn="0" w:lastRowFirstColumn="0" w:lastRowLastColumn="0"/>
          <w:trHeight w:val="883"/>
        </w:trPr>
        <w:tc>
          <w:tcPr>
            <w:tcW w:w="2486" w:type="pct"/>
            <w:tcBorders>
              <w:top w:val="single" w:sz="4" w:space="0" w:color="auto"/>
              <w:left w:val="single" w:sz="4" w:space="0" w:color="auto"/>
              <w:bottom w:val="single" w:sz="4" w:space="0" w:color="auto"/>
              <w:right w:val="single" w:sz="4" w:space="0" w:color="auto"/>
            </w:tcBorders>
            <w:shd w:val="clear" w:color="auto" w:fill="4E1A74" w:themeFill="text2"/>
            <w:noWrap/>
            <w:hideMark/>
          </w:tcPr>
          <w:p w14:paraId="62923265" w14:textId="77777777" w:rsidR="003B57B4" w:rsidRPr="00044FA4" w:rsidRDefault="003B57B4" w:rsidP="00DA7339">
            <w:pPr>
              <w:rPr>
                <w:sz w:val="20"/>
              </w:rPr>
            </w:pPr>
            <w:r>
              <w:rPr>
                <w:sz w:val="20"/>
              </w:rPr>
              <w:t>Analyte</w:t>
            </w:r>
          </w:p>
        </w:tc>
        <w:tc>
          <w:tcPr>
            <w:tcW w:w="2514" w:type="pct"/>
            <w:tcBorders>
              <w:left w:val="single" w:sz="4" w:space="0" w:color="auto"/>
            </w:tcBorders>
            <w:noWrap/>
            <w:hideMark/>
          </w:tcPr>
          <w:p w14:paraId="1DA4258F" w14:textId="730CE055" w:rsidR="003B57B4" w:rsidRPr="00044FA4" w:rsidRDefault="003B57B4" w:rsidP="00DA7339">
            <w:pPr>
              <w:rPr>
                <w:sz w:val="20"/>
              </w:rPr>
            </w:pPr>
            <w:r w:rsidRPr="00044FA4">
              <w:rPr>
                <w:sz w:val="20"/>
              </w:rPr>
              <w:t>Number</w:t>
            </w:r>
            <w:r w:rsidR="005A0A7F">
              <w:rPr>
                <w:sz w:val="20"/>
              </w:rPr>
              <w:t xml:space="preserve"> of laboratories with results</w:t>
            </w:r>
            <w:r w:rsidR="0017028E">
              <w:rPr>
                <w:sz w:val="20"/>
              </w:rPr>
              <w:br/>
            </w:r>
            <w:r w:rsidR="005A0A7F">
              <w:rPr>
                <w:sz w:val="20"/>
              </w:rPr>
              <w:t xml:space="preserve"> within acceptance limits</w:t>
            </w:r>
          </w:p>
        </w:tc>
      </w:tr>
      <w:tr w:rsidR="003B57B4" w:rsidRPr="00744A85" w14:paraId="5DAD8BEE" w14:textId="77777777" w:rsidTr="004E4B0B">
        <w:trPr>
          <w:trHeight w:val="300"/>
        </w:trPr>
        <w:tc>
          <w:tcPr>
            <w:tcW w:w="2486" w:type="pct"/>
            <w:tcBorders>
              <w:top w:val="single" w:sz="4" w:space="0" w:color="auto"/>
            </w:tcBorders>
            <w:noWrap/>
            <w:hideMark/>
          </w:tcPr>
          <w:p w14:paraId="1A0DD514" w14:textId="4F6BDC60" w:rsidR="003B57B4" w:rsidRPr="00744A85" w:rsidRDefault="003B57B4" w:rsidP="00DA7339">
            <w:pPr>
              <w:rPr>
                <w:sz w:val="20"/>
              </w:rPr>
            </w:pPr>
            <w:r>
              <w:rPr>
                <w:sz w:val="20"/>
              </w:rPr>
              <w:t xml:space="preserve">Gross </w:t>
            </w:r>
            <w:r w:rsidR="005A0A7F">
              <w:rPr>
                <w:sz w:val="20"/>
              </w:rPr>
              <w:t>a</w:t>
            </w:r>
            <w:r>
              <w:rPr>
                <w:sz w:val="20"/>
              </w:rPr>
              <w:t>lpha</w:t>
            </w:r>
          </w:p>
        </w:tc>
        <w:tc>
          <w:tcPr>
            <w:tcW w:w="2514" w:type="pct"/>
            <w:noWrap/>
          </w:tcPr>
          <w:p w14:paraId="1FB4299F" w14:textId="77777777" w:rsidR="003B57B4" w:rsidRPr="00044FA4" w:rsidRDefault="003B57B4" w:rsidP="004E4B0B">
            <w:pPr>
              <w:jc w:val="right"/>
              <w:rPr>
                <w:sz w:val="20"/>
              </w:rPr>
            </w:pPr>
            <w:r>
              <w:rPr>
                <w:sz w:val="20"/>
              </w:rPr>
              <w:t>5</w:t>
            </w:r>
          </w:p>
        </w:tc>
      </w:tr>
      <w:tr w:rsidR="003B57B4" w:rsidRPr="00744A85" w14:paraId="2C7F8690" w14:textId="77777777" w:rsidTr="004E4B0B">
        <w:trPr>
          <w:cnfStyle w:val="000000010000" w:firstRow="0" w:lastRow="0" w:firstColumn="0" w:lastColumn="0" w:oddVBand="0" w:evenVBand="0" w:oddHBand="0" w:evenHBand="1" w:firstRowFirstColumn="0" w:firstRowLastColumn="0" w:lastRowFirstColumn="0" w:lastRowLastColumn="0"/>
          <w:trHeight w:val="300"/>
        </w:trPr>
        <w:tc>
          <w:tcPr>
            <w:tcW w:w="2486" w:type="pct"/>
            <w:noWrap/>
            <w:hideMark/>
          </w:tcPr>
          <w:p w14:paraId="65DE1B20" w14:textId="77F23F30" w:rsidR="003B57B4" w:rsidRPr="00744A85" w:rsidRDefault="003B57B4" w:rsidP="00DA7339">
            <w:pPr>
              <w:rPr>
                <w:sz w:val="20"/>
              </w:rPr>
            </w:pPr>
            <w:r>
              <w:rPr>
                <w:sz w:val="20"/>
              </w:rPr>
              <w:t xml:space="preserve">Gross </w:t>
            </w:r>
            <w:r w:rsidR="005A0A7F">
              <w:rPr>
                <w:sz w:val="20"/>
              </w:rPr>
              <w:t>b</w:t>
            </w:r>
            <w:r>
              <w:rPr>
                <w:sz w:val="20"/>
              </w:rPr>
              <w:t>eta</w:t>
            </w:r>
          </w:p>
        </w:tc>
        <w:tc>
          <w:tcPr>
            <w:tcW w:w="2514" w:type="pct"/>
            <w:noWrap/>
          </w:tcPr>
          <w:p w14:paraId="14C38986" w14:textId="77777777" w:rsidR="003B57B4" w:rsidRPr="00044FA4" w:rsidRDefault="003B57B4" w:rsidP="004E4B0B">
            <w:pPr>
              <w:jc w:val="right"/>
              <w:rPr>
                <w:sz w:val="20"/>
              </w:rPr>
            </w:pPr>
            <w:r>
              <w:rPr>
                <w:sz w:val="20"/>
              </w:rPr>
              <w:t>3</w:t>
            </w:r>
          </w:p>
        </w:tc>
      </w:tr>
    </w:tbl>
    <w:p w14:paraId="335A1496" w14:textId="23A1C892" w:rsidR="003B57B4" w:rsidRDefault="003B57B4" w:rsidP="003B57B4">
      <w:r>
        <w:t xml:space="preserve">Most laboratories reported acceptable results for </w:t>
      </w:r>
      <w:r w:rsidR="005A0A7F">
        <w:t>g</w:t>
      </w:r>
      <w:r>
        <w:t xml:space="preserve">ross </w:t>
      </w:r>
      <w:r w:rsidR="005A0A7F">
        <w:t>a</w:t>
      </w:r>
      <w:r>
        <w:t xml:space="preserve">lpha, however the results for </w:t>
      </w:r>
      <w:r w:rsidR="005A0A7F">
        <w:t>g</w:t>
      </w:r>
      <w:r>
        <w:t xml:space="preserve">ross </w:t>
      </w:r>
      <w:r w:rsidR="005A0A7F">
        <w:t>b</w:t>
      </w:r>
      <w:r>
        <w:t xml:space="preserve">eta were less accurate. This indicates that further work is required to investigate a more reliable procedure for analysing samples for </w:t>
      </w:r>
      <w:r w:rsidR="005A0A7F">
        <w:t>g</w:t>
      </w:r>
      <w:r>
        <w:t xml:space="preserve">ross </w:t>
      </w:r>
      <w:r w:rsidR="005A0A7F">
        <w:t>a</w:t>
      </w:r>
      <w:r>
        <w:t>lpha/</w:t>
      </w:r>
      <w:r w:rsidR="005A0A7F">
        <w:t>b</w:t>
      </w:r>
      <w:r>
        <w:t xml:space="preserve">eta determinations than what is currently used by each participating laboratory. </w:t>
      </w:r>
    </w:p>
    <w:p w14:paraId="21D482E7" w14:textId="77777777" w:rsidR="003B57B4" w:rsidRDefault="003B57B4" w:rsidP="003B57B4">
      <w:pPr>
        <w:pStyle w:val="Heading2"/>
      </w:pPr>
      <w:bookmarkStart w:id="57" w:name="_Toc453335329"/>
      <w:bookmarkStart w:id="58" w:name="_Toc75342741"/>
      <w:bookmarkStart w:id="59" w:name="_Toc78839437"/>
      <w:r>
        <w:t>Performance relative to the certified activity</w:t>
      </w:r>
      <w:bookmarkEnd w:id="57"/>
      <w:bookmarkEnd w:id="58"/>
      <w:bookmarkEnd w:id="59"/>
    </w:p>
    <w:p w14:paraId="70AEAB89" w14:textId="77777777" w:rsidR="003B57B4" w:rsidRDefault="003B57B4" w:rsidP="003B57B4">
      <w:r>
        <w:t>Highly capable laboratories should produce a result that is commensurate with the certified value. The usual method to test whether a reported result is not significantly different to a certified value is the U-test (see equation 2). This test compares the measured result with the certified result in a way that accounts for the uncertainty in both values.</w:t>
      </w:r>
    </w:p>
    <w:p w14:paraId="77F79BE1" w14:textId="77777777" w:rsidR="003B57B4" w:rsidRDefault="003B57B4" w:rsidP="003B57B4">
      <w:r>
        <w:t xml:space="preserve">The U-test values for each radionuclide and each laboratory are shown in </w:t>
      </w:r>
      <w:r>
        <w:fldChar w:fldCharType="begin"/>
      </w:r>
      <w:r>
        <w:instrText xml:space="preserve"> REF _Ref379899705 \h </w:instrText>
      </w:r>
      <w:r>
        <w:fldChar w:fldCharType="separate"/>
      </w:r>
      <w:r w:rsidRPr="00244871">
        <w:t xml:space="preserve">Figure </w:t>
      </w:r>
      <w:r>
        <w:rPr>
          <w:noProof/>
        </w:rPr>
        <w:t>2</w:t>
      </w:r>
      <w:r>
        <w:fldChar w:fldCharType="end"/>
      </w:r>
      <w:r>
        <w:t>. In the figure, the blue line indicates a U</w:t>
      </w:r>
      <w:r>
        <w:noBreakHyphen/>
        <w:t>test value of 1.64. Results with a U</w:t>
      </w:r>
      <w:r>
        <w:noBreakHyphen/>
        <w:t>test value below 1.64 are not statistically different from the certified value and are, therefore, consistent. The purple line in the figure indicates a U</w:t>
      </w:r>
      <w:r>
        <w:noBreakHyphen/>
        <w:t>test value of 2.58. Results with a U</w:t>
      </w:r>
      <w:r>
        <w:noBreakHyphen/>
        <w:t>test value greater than 2.58 are statistically different from the certified value. That is, those results with a U</w:t>
      </w:r>
      <w:r>
        <w:noBreakHyphen/>
        <w:t xml:space="preserve">test value greater than 2.58 are discrepant and indicate a significant error in the analysis. </w:t>
      </w:r>
    </w:p>
    <w:p w14:paraId="71240357" w14:textId="77777777" w:rsidR="003B57B4" w:rsidRDefault="003B57B4" w:rsidP="003B57B4"/>
    <w:p w14:paraId="0DA12382" w14:textId="77777777" w:rsidR="003B57B4" w:rsidRDefault="003B57B4" w:rsidP="003B57B4">
      <w:r>
        <w:rPr>
          <w:noProof/>
        </w:rPr>
        <w:lastRenderedPageBreak/>
        <w:drawing>
          <wp:inline distT="0" distB="0" distL="0" distR="0" wp14:anchorId="36621740" wp14:editId="6DEBC637">
            <wp:extent cx="6496050" cy="3409950"/>
            <wp:effectExtent l="0" t="0" r="0" b="0"/>
            <wp:docPr id="1" name="Chart 1">
              <a:extLst xmlns:a="http://schemas.openxmlformats.org/drawingml/2006/main">
                <a:ext uri="{FF2B5EF4-FFF2-40B4-BE49-F238E27FC236}">
                  <a16:creationId xmlns:a16="http://schemas.microsoft.com/office/drawing/2014/main" id="{6FE48C50-CD83-491E-AC96-1AC3831452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DBF249" w14:textId="16B018C8" w:rsidR="003B57B4" w:rsidRPr="00244871" w:rsidRDefault="003B57B4" w:rsidP="003B57B4">
      <w:pPr>
        <w:pStyle w:val="Caption"/>
      </w:pPr>
      <w:bookmarkStart w:id="60" w:name="_Ref379899705"/>
      <w:bookmarkStart w:id="61" w:name="_Ref441069976"/>
      <w:r w:rsidRPr="00244871">
        <w:t xml:space="preserve">Figure </w:t>
      </w:r>
      <w:r w:rsidR="007C4285">
        <w:fldChar w:fldCharType="begin"/>
      </w:r>
      <w:r w:rsidR="007C4285">
        <w:instrText xml:space="preserve"> SEQ Figure \* ARABIC </w:instrText>
      </w:r>
      <w:r w:rsidR="007C4285">
        <w:fldChar w:fldCharType="separate"/>
      </w:r>
      <w:r>
        <w:rPr>
          <w:noProof/>
        </w:rPr>
        <w:t>1</w:t>
      </w:r>
      <w:r w:rsidR="007C4285">
        <w:rPr>
          <w:noProof/>
        </w:rPr>
        <w:fldChar w:fldCharType="end"/>
      </w:r>
      <w:bookmarkEnd w:id="60"/>
      <w:r w:rsidRPr="00244871">
        <w:t>:</w:t>
      </w:r>
      <w:r w:rsidRPr="00244871">
        <w:tab/>
      </w:r>
      <w:r>
        <w:t xml:space="preserve"> </w:t>
      </w:r>
      <w:r w:rsidRPr="00244871">
        <w:t xml:space="preserve">U-test values for </w:t>
      </w:r>
      <w:r w:rsidR="005A0A7F">
        <w:t>g</w:t>
      </w:r>
      <w:r>
        <w:t xml:space="preserve">ross </w:t>
      </w:r>
      <w:r w:rsidR="005A0A7F">
        <w:t>a</w:t>
      </w:r>
      <w:r>
        <w:t xml:space="preserve">lpha and </w:t>
      </w:r>
      <w:r w:rsidR="005A0A7F">
        <w:t>g</w:t>
      </w:r>
      <w:r>
        <w:t xml:space="preserve">ross </w:t>
      </w:r>
      <w:r w:rsidR="005A0A7F">
        <w:t>b</w:t>
      </w:r>
      <w:r>
        <w:t>eta results</w:t>
      </w:r>
      <w:r w:rsidRPr="00244871">
        <w:t xml:space="preserve"> </w:t>
      </w:r>
      <w:r>
        <w:t>for</w:t>
      </w:r>
      <w:r w:rsidRPr="00244871">
        <w:t xml:space="preserve"> each laboratory.</w:t>
      </w:r>
      <w:bookmarkEnd w:id="61"/>
    </w:p>
    <w:p w14:paraId="05EAE657" w14:textId="681D20C2" w:rsidR="003B57B4" w:rsidRDefault="003B57B4" w:rsidP="003B57B4">
      <w:r>
        <w:fldChar w:fldCharType="begin"/>
      </w:r>
      <w:r w:rsidRPr="003F2630">
        <w:instrText xml:space="preserve"> REF _Ref379899705 \h </w:instrText>
      </w:r>
      <w:r>
        <w:instrText xml:space="preserve"> \* MERGEFORMAT </w:instrText>
      </w:r>
      <w:r>
        <w:fldChar w:fldCharType="separate"/>
      </w:r>
      <w:r w:rsidRPr="00244871">
        <w:t xml:space="preserve">Figure </w:t>
      </w:r>
      <w:r>
        <w:rPr>
          <w:noProof/>
        </w:rPr>
        <w:t>1</w:t>
      </w:r>
      <w:r>
        <w:fldChar w:fldCharType="end"/>
      </w:r>
      <w:r>
        <w:t xml:space="preserve"> indicates that laboratories 1, 3, 3.1 and 4 provided good results for </w:t>
      </w:r>
      <w:r w:rsidR="005A0A7F">
        <w:t>g</w:t>
      </w:r>
      <w:r>
        <w:t xml:space="preserve">ross </w:t>
      </w:r>
      <w:r w:rsidR="005A0A7F">
        <w:t>b</w:t>
      </w:r>
      <w:r>
        <w:t xml:space="preserve">eta as their reported values were consistent with the reference value. Laboratory 1 showed excellent results for their </w:t>
      </w:r>
      <w:r w:rsidR="005A0A7F">
        <w:t>g</w:t>
      </w:r>
      <w:r>
        <w:t xml:space="preserve">ross </w:t>
      </w:r>
      <w:r w:rsidR="005A0A7F">
        <w:t>a</w:t>
      </w:r>
      <w:r>
        <w:t xml:space="preserve">lpha result as it was almost the same result as the certified activity provided on the Certificate of Analysis. Laboratory 4 also returned good results for </w:t>
      </w:r>
      <w:r w:rsidR="005A0A7F">
        <w:t>g</w:t>
      </w:r>
      <w:r>
        <w:t xml:space="preserve">ross </w:t>
      </w:r>
      <w:r w:rsidR="005A0A7F">
        <w:t>a</w:t>
      </w:r>
      <w:r>
        <w:t>lpha.</w:t>
      </w:r>
    </w:p>
    <w:p w14:paraId="1F9348FC" w14:textId="681197F2" w:rsidR="003B57B4" w:rsidRDefault="003B57B4" w:rsidP="003B57B4">
      <w:r>
        <w:fldChar w:fldCharType="begin"/>
      </w:r>
      <w:r w:rsidRPr="003F2630">
        <w:instrText xml:space="preserve"> REF _Ref379899705 \h  \* MERGEFORMAT </w:instrText>
      </w:r>
      <w:r>
        <w:fldChar w:fldCharType="separate"/>
      </w:r>
      <w:r w:rsidRPr="00244871">
        <w:t xml:space="preserve">Figure </w:t>
      </w:r>
      <w:r>
        <w:rPr>
          <w:noProof/>
        </w:rPr>
        <w:t>1</w:t>
      </w:r>
      <w:r>
        <w:fldChar w:fldCharType="end"/>
      </w:r>
      <w:r>
        <w:t xml:space="preserve"> does show that laboratories 2, 3, 3.1 and 5 each produced a result with U</w:t>
      </w:r>
      <w:r>
        <w:noBreakHyphen/>
        <w:t xml:space="preserve">test values greater than 2.58 for </w:t>
      </w:r>
      <w:r w:rsidR="005A0A7F">
        <w:t>g</w:t>
      </w:r>
      <w:r>
        <w:t xml:space="preserve">ross </w:t>
      </w:r>
      <w:r w:rsidR="005A0A7F">
        <w:t>a</w:t>
      </w:r>
      <w:r>
        <w:t xml:space="preserve">lpha. This indicates that significant errors were made by each of these laboratories when analysing the sample for this analyte. Additionally, Laboratories 2 and 5 also produced discrepant results for </w:t>
      </w:r>
      <w:r w:rsidR="005A0A7F">
        <w:t>g</w:t>
      </w:r>
      <w:r>
        <w:t xml:space="preserve">ross </w:t>
      </w:r>
      <w:r w:rsidR="005A0A7F">
        <w:t>b</w:t>
      </w:r>
      <w:r>
        <w:t>eta.</w:t>
      </w:r>
    </w:p>
    <w:p w14:paraId="7063B9EB" w14:textId="77777777" w:rsidR="003B57B4" w:rsidRDefault="003B57B4" w:rsidP="003B57B4">
      <w:r>
        <w:t>Where results reported are above the 1.64 U-test value, this may indicate that an error in the analysis might have been made but could also be due t</w:t>
      </w:r>
      <w:bookmarkStart w:id="62" w:name="_Ref441070654"/>
      <w:bookmarkStart w:id="63" w:name="_Ref441070831"/>
      <w:bookmarkStart w:id="64" w:name="_Toc453335327"/>
      <w:r>
        <w:t>o simple statistical variation.</w:t>
      </w:r>
    </w:p>
    <w:p w14:paraId="3CE06C6D" w14:textId="05FF0F9D" w:rsidR="003B57B4" w:rsidRDefault="003B57B4" w:rsidP="003B57B4">
      <w:pPr>
        <w:pStyle w:val="Heading2"/>
      </w:pPr>
      <w:bookmarkStart w:id="65" w:name="_Toc75342742"/>
      <w:bookmarkStart w:id="66" w:name="_Toc78839438"/>
      <w:bookmarkEnd w:id="62"/>
      <w:bookmarkEnd w:id="63"/>
      <w:bookmarkEnd w:id="64"/>
      <w:r>
        <w:t xml:space="preserve">Gross </w:t>
      </w:r>
      <w:r w:rsidR="005A0A7F">
        <w:t>a</w:t>
      </w:r>
      <w:r>
        <w:t>lpha</w:t>
      </w:r>
      <w:bookmarkEnd w:id="65"/>
      <w:bookmarkEnd w:id="66"/>
    </w:p>
    <w:bookmarkStart w:id="67" w:name="_Hlk74916682"/>
    <w:p w14:paraId="08AC5569" w14:textId="77777777" w:rsidR="003B57B4" w:rsidRDefault="003B57B4" w:rsidP="003B57B4">
      <w:pPr>
        <w:keepNext/>
      </w:pPr>
      <w:r>
        <w:fldChar w:fldCharType="begin"/>
      </w:r>
      <w:r>
        <w:instrText xml:space="preserve"> REF _Ref17444283 \h </w:instrText>
      </w:r>
      <w:r>
        <w:fldChar w:fldCharType="separate"/>
      </w:r>
      <w:r>
        <w:t xml:space="preserve">Figure </w:t>
      </w:r>
      <w:r>
        <w:rPr>
          <w:noProof/>
        </w:rPr>
        <w:t>2</w:t>
      </w:r>
      <w:r>
        <w:fldChar w:fldCharType="end"/>
      </w:r>
      <w:r>
        <w:t xml:space="preserve"> shows some discrepancy with results achieved by the participating laboratories, it also indicates a large negative bias for </w:t>
      </w:r>
      <w:proofErr w:type="gramStart"/>
      <w:r>
        <w:t>the majority of</w:t>
      </w:r>
      <w:proofErr w:type="gramEnd"/>
      <w:r>
        <w:t xml:space="preserve"> laboratories when compared to the certified activity.</w:t>
      </w:r>
    </w:p>
    <w:p w14:paraId="56555F61" w14:textId="77777777" w:rsidR="003B57B4" w:rsidRDefault="003B57B4" w:rsidP="003B57B4">
      <w:r>
        <w:t xml:space="preserve">Another notable artefact is the very large uncertainty returned with the second analysis from laboratory 3. </w:t>
      </w:r>
    </w:p>
    <w:bookmarkEnd w:id="67"/>
    <w:p w14:paraId="2438FBF5" w14:textId="34DAA974" w:rsidR="003B57B4" w:rsidRDefault="007C4285" w:rsidP="003B57B4">
      <w:r>
        <w:rPr>
          <w:noProof/>
        </w:rPr>
        <w:lastRenderedPageBreak/>
        <w:drawing>
          <wp:inline distT="0" distB="0" distL="0" distR="0" wp14:anchorId="43A38FD2" wp14:editId="46768D21">
            <wp:extent cx="6120130" cy="3002280"/>
            <wp:effectExtent l="0" t="0" r="13970" b="7620"/>
            <wp:docPr id="7" name="Chart 7">
              <a:extLst xmlns:a="http://schemas.openxmlformats.org/drawingml/2006/main">
                <a:ext uri="{FF2B5EF4-FFF2-40B4-BE49-F238E27FC236}">
                  <a16:creationId xmlns:a16="http://schemas.microsoft.com/office/drawing/2014/main" id="{FCF249A7-7C1E-4A9C-B264-9F59D4490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26B92D" w14:textId="71FBF86C" w:rsidR="003B57B4" w:rsidRPr="00102F29" w:rsidRDefault="003B57B4" w:rsidP="003B57B4">
      <w:pPr>
        <w:pStyle w:val="Caption"/>
      </w:pPr>
      <w:bookmarkStart w:id="68" w:name="_Hlk74916650"/>
      <w:r>
        <w:t xml:space="preserve">Figure </w:t>
      </w:r>
      <w:r w:rsidR="007C4285">
        <w:fldChar w:fldCharType="begin"/>
      </w:r>
      <w:r w:rsidR="007C4285">
        <w:instrText xml:space="preserve"> SEQ Figure \* ARABIC </w:instrText>
      </w:r>
      <w:r w:rsidR="007C4285">
        <w:fldChar w:fldCharType="separate"/>
      </w:r>
      <w:r>
        <w:rPr>
          <w:noProof/>
        </w:rPr>
        <w:t>2</w:t>
      </w:r>
      <w:r w:rsidR="007C4285">
        <w:rPr>
          <w:noProof/>
        </w:rPr>
        <w:fldChar w:fldCharType="end"/>
      </w:r>
      <w:r>
        <w:t xml:space="preserve">: Gross </w:t>
      </w:r>
      <w:r w:rsidR="00DA7339">
        <w:t>a</w:t>
      </w:r>
      <w:r>
        <w:t>lpha</w:t>
      </w:r>
      <w:r>
        <w:rPr>
          <w:noProof/>
        </w:rPr>
        <w:t xml:space="preserve"> activity concentration</w:t>
      </w:r>
    </w:p>
    <w:p w14:paraId="1D9ABEA7" w14:textId="6A764E7A" w:rsidR="003B57B4" w:rsidRDefault="003B57B4" w:rsidP="003B57B4">
      <w:pPr>
        <w:pStyle w:val="Heading2"/>
      </w:pPr>
      <w:bookmarkStart w:id="69" w:name="_Toc75342743"/>
      <w:bookmarkStart w:id="70" w:name="_Toc78839439"/>
      <w:bookmarkEnd w:id="68"/>
      <w:r>
        <w:t xml:space="preserve">Gross </w:t>
      </w:r>
      <w:r w:rsidR="00DA7339">
        <w:t>b</w:t>
      </w:r>
      <w:r>
        <w:t>eta</w:t>
      </w:r>
      <w:bookmarkEnd w:id="69"/>
      <w:bookmarkEnd w:id="70"/>
    </w:p>
    <w:p w14:paraId="5490D533" w14:textId="77777777" w:rsidR="003B57B4" w:rsidRDefault="003B57B4" w:rsidP="003B57B4">
      <w:r>
        <w:t xml:space="preserve">Figure 3 shows a large discrepancy with results achieved by the participating laboratories, it also indicates a large result uncertainty for </w:t>
      </w:r>
      <w:proofErr w:type="gramStart"/>
      <w:r>
        <w:t>the majority of</w:t>
      </w:r>
      <w:proofErr w:type="gramEnd"/>
      <w:r>
        <w:t xml:space="preserve"> laboratories.</w:t>
      </w:r>
    </w:p>
    <w:p w14:paraId="534FD8C6" w14:textId="639FC044" w:rsidR="003B57B4" w:rsidRDefault="003B57B4" w:rsidP="003B57B4">
      <w:r>
        <w:t>The only laborator</w:t>
      </w:r>
      <w:r w:rsidR="00DA7339">
        <w:t>ies</w:t>
      </w:r>
      <w:r>
        <w:t xml:space="preserve"> to report acceptable results were 1, 2 and 4, although the gross beta result for laboratory 4 is borderline acceptable. </w:t>
      </w:r>
    </w:p>
    <w:p w14:paraId="393BF634" w14:textId="77777777" w:rsidR="003B57B4" w:rsidRPr="001631B2" w:rsidRDefault="003B57B4" w:rsidP="003B57B4">
      <w:r>
        <w:t xml:space="preserve">Again, there is a noticeable difference in the uncertainties reported for each result, with the biggest uncertainties being reported by laboratories 3, 4 and 5. </w:t>
      </w:r>
    </w:p>
    <w:p w14:paraId="4C60ED4D" w14:textId="77777777" w:rsidR="003B57B4" w:rsidRPr="00102F29" w:rsidRDefault="003B57B4" w:rsidP="003B57B4">
      <w:pPr>
        <w:pStyle w:val="Caption"/>
      </w:pPr>
      <w:bookmarkStart w:id="71" w:name="_Toc453335330"/>
      <w:r>
        <w:rPr>
          <w:noProof/>
        </w:rPr>
        <w:drawing>
          <wp:inline distT="0" distB="0" distL="0" distR="0" wp14:anchorId="33812D49" wp14:editId="5C9A2B62">
            <wp:extent cx="5915025" cy="3240000"/>
            <wp:effectExtent l="0" t="0" r="9525" b="17780"/>
            <wp:docPr id="3" name="Chart 3">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7C7698" w14:textId="029FD39D" w:rsidR="003B57B4" w:rsidRPr="00102F29" w:rsidRDefault="003B57B4" w:rsidP="003B57B4">
      <w:pPr>
        <w:pStyle w:val="Caption"/>
      </w:pPr>
      <w:r>
        <w:t xml:space="preserve">Figure 3: Gross </w:t>
      </w:r>
      <w:r w:rsidR="00DA7339">
        <w:t>b</w:t>
      </w:r>
      <w:r>
        <w:t>eta</w:t>
      </w:r>
      <w:r>
        <w:rPr>
          <w:noProof/>
        </w:rPr>
        <w:t xml:space="preserve"> activity concentration</w:t>
      </w:r>
    </w:p>
    <w:p w14:paraId="6ADE73F7" w14:textId="77777777" w:rsidR="003B57B4" w:rsidRDefault="003B57B4" w:rsidP="003B57B4"/>
    <w:p w14:paraId="7313C742" w14:textId="766ED338" w:rsidR="003B57B4" w:rsidRPr="004733AE" w:rsidRDefault="003B57B4" w:rsidP="003B57B4">
      <w:r w:rsidRPr="004733AE">
        <w:t>In attempting to understand the variability of the results received, further information was requested from the laboratories, including</w:t>
      </w:r>
      <w:r w:rsidR="00DA7339">
        <w:t xml:space="preserve"> the</w:t>
      </w:r>
      <w:r w:rsidRPr="004733AE">
        <w:t>:</w:t>
      </w:r>
    </w:p>
    <w:p w14:paraId="58D02AFB" w14:textId="3D2BC7DA" w:rsidR="003B57B4" w:rsidRPr="004733AE" w:rsidRDefault="003B57B4" w:rsidP="003B57B4">
      <w:pPr>
        <w:numPr>
          <w:ilvl w:val="0"/>
          <w:numId w:val="20"/>
        </w:numPr>
        <w:spacing w:before="120"/>
      </w:pPr>
      <w:r w:rsidRPr="004733AE">
        <w:t xml:space="preserve"> analysis techniques/procedures and sample matrices used</w:t>
      </w:r>
    </w:p>
    <w:p w14:paraId="450DD0B3" w14:textId="104927CE" w:rsidR="003B57B4" w:rsidRPr="004733AE" w:rsidRDefault="003B57B4" w:rsidP="003B57B4">
      <w:pPr>
        <w:numPr>
          <w:ilvl w:val="0"/>
          <w:numId w:val="20"/>
        </w:numPr>
        <w:spacing w:before="120"/>
      </w:pPr>
      <w:r w:rsidRPr="004733AE">
        <w:t>calibration sources used.</w:t>
      </w:r>
    </w:p>
    <w:p w14:paraId="3E0C43FC" w14:textId="6188C0C2" w:rsidR="003B57B4" w:rsidRPr="004733AE" w:rsidRDefault="003B57B4" w:rsidP="003B57B4">
      <w:r w:rsidRPr="004733AE">
        <w:t xml:space="preserve">Further discussion on these topics is shown below </w:t>
      </w:r>
    </w:p>
    <w:p w14:paraId="7798F608" w14:textId="77777777" w:rsidR="003B57B4" w:rsidRPr="004733AE" w:rsidRDefault="003B57B4" w:rsidP="003B57B4">
      <w:pPr>
        <w:pStyle w:val="Heading2"/>
      </w:pPr>
      <w:bookmarkStart w:id="72" w:name="_Toc75342744"/>
      <w:bookmarkStart w:id="73" w:name="_Toc78839440"/>
      <w:r w:rsidRPr="004733AE">
        <w:t>Variations in analysis techniques and sample matrices</w:t>
      </w:r>
      <w:bookmarkEnd w:id="72"/>
      <w:bookmarkEnd w:id="73"/>
    </w:p>
    <w:p w14:paraId="422388CB" w14:textId="5657B1C9" w:rsidR="003B57B4" w:rsidRPr="004733AE" w:rsidRDefault="003B57B4" w:rsidP="003B57B4">
      <w:r w:rsidRPr="004733AE">
        <w:t>The results received</w:t>
      </w:r>
      <w:r>
        <w:t xml:space="preserve"> from</w:t>
      </w:r>
      <w:r w:rsidRPr="004733AE">
        <w:t xml:space="preserve"> the participating laboratories were achieved using various techniques including liquid scintillation counting (LSC), gas-flow proportional counting (GFPC), and the use of solid</w:t>
      </w:r>
      <w:r w:rsidR="00DA7339">
        <w:t>-</w:t>
      </w:r>
      <w:r w:rsidRPr="004733AE">
        <w:t>state detectors</w:t>
      </w:r>
      <w:r>
        <w:t xml:space="preserve"> (SSD)</w:t>
      </w:r>
      <w:r w:rsidRPr="004733AE">
        <w:t xml:space="preserve"> and different sample matrices.</w:t>
      </w:r>
    </w:p>
    <w:p w14:paraId="68439F32" w14:textId="77777777" w:rsidR="003B57B4" w:rsidRPr="004733AE" w:rsidRDefault="003B57B4" w:rsidP="003B57B4">
      <w:r w:rsidRPr="004733AE">
        <w:t>The matrices included suspension of sample within scintillant (LSC), evaporation of a sample aliquot on stainless steel/aluminium planchets and evaporation on filter paper (</w:t>
      </w:r>
      <w:r>
        <w:t>GFPC and SSD</w:t>
      </w:r>
      <w:r w:rsidRPr="004733AE">
        <w:t>).</w:t>
      </w:r>
    </w:p>
    <w:p w14:paraId="053F3E00" w14:textId="7D4C47A7" w:rsidR="003B57B4" w:rsidRPr="004733AE" w:rsidRDefault="003B57B4" w:rsidP="003B57B4">
      <w:r w:rsidRPr="004733AE">
        <w:t>Table 2 shows the analysis techniques used by each participating laboratory:</w:t>
      </w:r>
    </w:p>
    <w:p w14:paraId="15E97C15" w14:textId="77777777" w:rsidR="0018524A" w:rsidRPr="004733AE" w:rsidRDefault="0018524A" w:rsidP="0018524A">
      <w:pPr>
        <w:spacing w:before="120" w:line="240" w:lineRule="auto"/>
        <w:rPr>
          <w:b/>
          <w:bCs/>
          <w:color w:val="4E1A74"/>
          <w:sz w:val="20"/>
          <w:szCs w:val="18"/>
        </w:rPr>
      </w:pPr>
      <w:r w:rsidRPr="004733AE">
        <w:rPr>
          <w:b/>
          <w:bCs/>
          <w:color w:val="4E1A74"/>
          <w:sz w:val="20"/>
          <w:szCs w:val="18"/>
        </w:rPr>
        <w:t>Table 2 – analysis techniques/matrices used by each laboratory.</w:t>
      </w:r>
    </w:p>
    <w:tbl>
      <w:tblPr>
        <w:tblStyle w:val="GenericARPANSA1"/>
        <w:tblW w:w="5000" w:type="pct"/>
        <w:tblLook w:val="04A0" w:firstRow="1" w:lastRow="0" w:firstColumn="1" w:lastColumn="0" w:noHBand="0" w:noVBand="1"/>
      </w:tblPr>
      <w:tblGrid>
        <w:gridCol w:w="2149"/>
        <w:gridCol w:w="2290"/>
        <w:gridCol w:w="2167"/>
        <w:gridCol w:w="3022"/>
      </w:tblGrid>
      <w:tr w:rsidR="003B57B4" w:rsidRPr="004733AE" w14:paraId="4F4D0379" w14:textId="77777777" w:rsidTr="004E4B0B">
        <w:trPr>
          <w:cnfStyle w:val="100000000000" w:firstRow="1" w:lastRow="0" w:firstColumn="0" w:lastColumn="0" w:oddVBand="0" w:evenVBand="0" w:oddHBand="0" w:evenHBand="0" w:firstRowFirstColumn="0" w:firstRowLastColumn="0" w:lastRowFirstColumn="0" w:lastRowLastColumn="0"/>
        </w:trPr>
        <w:tc>
          <w:tcPr>
            <w:tcW w:w="0" w:type="dxa"/>
          </w:tcPr>
          <w:p w14:paraId="6082A899" w14:textId="77777777" w:rsidR="003B57B4" w:rsidRPr="004733AE" w:rsidRDefault="003B57B4" w:rsidP="00DA7339">
            <w:r w:rsidRPr="004733AE">
              <w:t>Laboratory</w:t>
            </w:r>
          </w:p>
        </w:tc>
        <w:tc>
          <w:tcPr>
            <w:tcW w:w="0" w:type="dxa"/>
          </w:tcPr>
          <w:p w14:paraId="0F8AD951" w14:textId="7265D77D" w:rsidR="003B57B4" w:rsidRPr="004733AE" w:rsidRDefault="003B57B4" w:rsidP="00DA7339">
            <w:r w:rsidRPr="004733AE">
              <w:t xml:space="preserve">Analysis </w:t>
            </w:r>
            <w:r w:rsidR="00DA7339">
              <w:t>t</w:t>
            </w:r>
            <w:r w:rsidRPr="004733AE">
              <w:t>echnique</w:t>
            </w:r>
          </w:p>
        </w:tc>
        <w:tc>
          <w:tcPr>
            <w:tcW w:w="0" w:type="dxa"/>
          </w:tcPr>
          <w:p w14:paraId="5CBFA2D5" w14:textId="4808C022" w:rsidR="003B57B4" w:rsidRPr="004733AE" w:rsidRDefault="003B57B4" w:rsidP="00DA7339">
            <w:r w:rsidRPr="004733AE">
              <w:t xml:space="preserve">Sample </w:t>
            </w:r>
            <w:r w:rsidR="00DA7339">
              <w:t>m</w:t>
            </w:r>
            <w:r w:rsidRPr="004733AE">
              <w:t>atrix</w:t>
            </w:r>
          </w:p>
        </w:tc>
        <w:tc>
          <w:tcPr>
            <w:tcW w:w="0" w:type="dxa"/>
          </w:tcPr>
          <w:p w14:paraId="3ED6BE3D" w14:textId="77777777" w:rsidR="003B57B4" w:rsidRPr="004733AE" w:rsidRDefault="003B57B4" w:rsidP="00DA7339">
            <w:r w:rsidRPr="004733AE">
              <w:t>Instrumentation</w:t>
            </w:r>
          </w:p>
        </w:tc>
      </w:tr>
      <w:tr w:rsidR="003B57B4" w:rsidRPr="004733AE" w14:paraId="13CFB489" w14:textId="77777777" w:rsidTr="004E4B0B">
        <w:tc>
          <w:tcPr>
            <w:tcW w:w="0" w:type="dxa"/>
          </w:tcPr>
          <w:p w14:paraId="588B2693" w14:textId="77777777" w:rsidR="003B57B4" w:rsidRPr="004733AE" w:rsidRDefault="003B57B4" w:rsidP="00DA7339">
            <w:r w:rsidRPr="004733AE">
              <w:t>1</w:t>
            </w:r>
          </w:p>
        </w:tc>
        <w:tc>
          <w:tcPr>
            <w:tcW w:w="0" w:type="dxa"/>
          </w:tcPr>
          <w:p w14:paraId="6D53CBA3" w14:textId="77777777" w:rsidR="003B57B4" w:rsidRPr="004733AE" w:rsidRDefault="003B57B4" w:rsidP="00DA7339">
            <w:r w:rsidRPr="004733AE">
              <w:t>Evaporation and low-level LSC</w:t>
            </w:r>
          </w:p>
        </w:tc>
        <w:tc>
          <w:tcPr>
            <w:tcW w:w="0" w:type="dxa"/>
          </w:tcPr>
          <w:p w14:paraId="42B81E2E" w14:textId="77777777" w:rsidR="003B57B4" w:rsidRPr="004733AE" w:rsidRDefault="003B57B4" w:rsidP="00DA7339">
            <w:r w:rsidRPr="004733AE">
              <w:t>Suspension in scintillant</w:t>
            </w:r>
          </w:p>
        </w:tc>
        <w:tc>
          <w:tcPr>
            <w:tcW w:w="0" w:type="dxa"/>
          </w:tcPr>
          <w:p w14:paraId="2C6AAF31" w14:textId="77777777" w:rsidR="003B57B4" w:rsidRPr="004733AE" w:rsidRDefault="003B57B4" w:rsidP="00DA7339">
            <w:proofErr w:type="spellStart"/>
            <w:r w:rsidRPr="004733AE">
              <w:t>Quantalus</w:t>
            </w:r>
            <w:proofErr w:type="spellEnd"/>
          </w:p>
        </w:tc>
      </w:tr>
      <w:tr w:rsidR="003B57B4" w:rsidRPr="004733AE" w14:paraId="46B33FF3" w14:textId="77777777" w:rsidTr="004E4B0B">
        <w:trPr>
          <w:cnfStyle w:val="000000010000" w:firstRow="0" w:lastRow="0" w:firstColumn="0" w:lastColumn="0" w:oddVBand="0" w:evenVBand="0" w:oddHBand="0" w:evenHBand="1" w:firstRowFirstColumn="0" w:firstRowLastColumn="0" w:lastRowFirstColumn="0" w:lastRowLastColumn="0"/>
        </w:trPr>
        <w:tc>
          <w:tcPr>
            <w:tcW w:w="0" w:type="dxa"/>
          </w:tcPr>
          <w:p w14:paraId="224D950F" w14:textId="77777777" w:rsidR="003B57B4" w:rsidRPr="004733AE" w:rsidRDefault="003B57B4" w:rsidP="00DA7339">
            <w:r w:rsidRPr="004733AE">
              <w:t>2</w:t>
            </w:r>
          </w:p>
        </w:tc>
        <w:tc>
          <w:tcPr>
            <w:tcW w:w="0" w:type="dxa"/>
          </w:tcPr>
          <w:p w14:paraId="155C1726" w14:textId="77777777" w:rsidR="003B57B4" w:rsidRPr="004733AE" w:rsidRDefault="003B57B4" w:rsidP="00DA7339">
            <w:r w:rsidRPr="004733AE">
              <w:t>Evaporation and deposition on 50mm stainless steel planchet - GFPC</w:t>
            </w:r>
          </w:p>
        </w:tc>
        <w:tc>
          <w:tcPr>
            <w:tcW w:w="0" w:type="dxa"/>
          </w:tcPr>
          <w:p w14:paraId="08F0D736" w14:textId="77777777" w:rsidR="003B57B4" w:rsidRPr="004733AE" w:rsidRDefault="003B57B4" w:rsidP="00DA7339">
            <w:r w:rsidRPr="004733AE">
              <w:t>Stainless steel planchet</w:t>
            </w:r>
          </w:p>
        </w:tc>
        <w:tc>
          <w:tcPr>
            <w:tcW w:w="0" w:type="dxa"/>
          </w:tcPr>
          <w:p w14:paraId="1A7CF442" w14:textId="77777777" w:rsidR="003B57B4" w:rsidRPr="004733AE" w:rsidRDefault="003B57B4" w:rsidP="00DA7339">
            <w:proofErr w:type="spellStart"/>
            <w:r w:rsidRPr="004733AE">
              <w:t>Tennelec</w:t>
            </w:r>
            <w:proofErr w:type="spellEnd"/>
            <w:r w:rsidRPr="004733AE">
              <w:t xml:space="preserve"> 5XLB</w:t>
            </w:r>
          </w:p>
        </w:tc>
      </w:tr>
      <w:tr w:rsidR="003B57B4" w:rsidRPr="004733AE" w14:paraId="45C2DDDB" w14:textId="77777777" w:rsidTr="004E4B0B">
        <w:tc>
          <w:tcPr>
            <w:tcW w:w="0" w:type="dxa"/>
          </w:tcPr>
          <w:p w14:paraId="65A91B0D" w14:textId="77777777" w:rsidR="003B57B4" w:rsidRPr="004733AE" w:rsidRDefault="003B57B4" w:rsidP="00DA7339">
            <w:r w:rsidRPr="004733AE">
              <w:t>3</w:t>
            </w:r>
          </w:p>
        </w:tc>
        <w:tc>
          <w:tcPr>
            <w:tcW w:w="0" w:type="dxa"/>
          </w:tcPr>
          <w:p w14:paraId="237FB065" w14:textId="77777777" w:rsidR="003B57B4" w:rsidRPr="004733AE" w:rsidRDefault="003B57B4" w:rsidP="00DA7339">
            <w:r w:rsidRPr="004733AE">
              <w:t xml:space="preserve">Evaporation on filter paper </w:t>
            </w:r>
            <w:r>
              <w:t>- SSD</w:t>
            </w:r>
          </w:p>
        </w:tc>
        <w:tc>
          <w:tcPr>
            <w:tcW w:w="0" w:type="dxa"/>
          </w:tcPr>
          <w:p w14:paraId="749ED107" w14:textId="77777777" w:rsidR="003B57B4" w:rsidRPr="004733AE" w:rsidRDefault="003B57B4" w:rsidP="00DA7339">
            <w:r w:rsidRPr="004733AE">
              <w:t>Filter paper</w:t>
            </w:r>
          </w:p>
        </w:tc>
        <w:tc>
          <w:tcPr>
            <w:tcW w:w="0" w:type="dxa"/>
          </w:tcPr>
          <w:p w14:paraId="0BC5FE8B" w14:textId="77777777" w:rsidR="003B57B4" w:rsidRPr="004733AE" w:rsidRDefault="003B57B4" w:rsidP="00DA7339">
            <w:r w:rsidRPr="004733AE">
              <w:t>Ludlum 3030P</w:t>
            </w:r>
          </w:p>
        </w:tc>
      </w:tr>
      <w:tr w:rsidR="003B57B4" w:rsidRPr="004733AE" w14:paraId="2EE4E8B1" w14:textId="77777777" w:rsidTr="004E4B0B">
        <w:trPr>
          <w:cnfStyle w:val="000000010000" w:firstRow="0" w:lastRow="0" w:firstColumn="0" w:lastColumn="0" w:oddVBand="0" w:evenVBand="0" w:oddHBand="0" w:evenHBand="1" w:firstRowFirstColumn="0" w:firstRowLastColumn="0" w:lastRowFirstColumn="0" w:lastRowLastColumn="0"/>
        </w:trPr>
        <w:tc>
          <w:tcPr>
            <w:tcW w:w="0" w:type="dxa"/>
          </w:tcPr>
          <w:p w14:paraId="5FC5FFB6" w14:textId="77777777" w:rsidR="003B57B4" w:rsidRPr="004733AE" w:rsidRDefault="003B57B4" w:rsidP="00DA7339">
            <w:r w:rsidRPr="004733AE">
              <w:t>3.1</w:t>
            </w:r>
          </w:p>
        </w:tc>
        <w:tc>
          <w:tcPr>
            <w:tcW w:w="0" w:type="dxa"/>
          </w:tcPr>
          <w:p w14:paraId="49EFCB33" w14:textId="77777777" w:rsidR="003B57B4" w:rsidRPr="004733AE" w:rsidRDefault="003B57B4" w:rsidP="00DA7339">
            <w:r w:rsidRPr="004733AE">
              <w:t xml:space="preserve">Evaporation on aluminium planchet </w:t>
            </w:r>
            <w:r>
              <w:t>- SSD</w:t>
            </w:r>
          </w:p>
        </w:tc>
        <w:tc>
          <w:tcPr>
            <w:tcW w:w="0" w:type="dxa"/>
          </w:tcPr>
          <w:p w14:paraId="0F533474" w14:textId="77777777" w:rsidR="003B57B4" w:rsidRPr="004733AE" w:rsidRDefault="003B57B4" w:rsidP="00DA7339">
            <w:r w:rsidRPr="004733AE">
              <w:t>Aluminium planchet</w:t>
            </w:r>
          </w:p>
        </w:tc>
        <w:tc>
          <w:tcPr>
            <w:tcW w:w="0" w:type="dxa"/>
          </w:tcPr>
          <w:p w14:paraId="06100037" w14:textId="77777777" w:rsidR="003B57B4" w:rsidRPr="004733AE" w:rsidRDefault="003B57B4" w:rsidP="00DA7339">
            <w:r w:rsidRPr="004733AE">
              <w:t>Ludlum 3030P</w:t>
            </w:r>
          </w:p>
        </w:tc>
      </w:tr>
      <w:tr w:rsidR="003B57B4" w:rsidRPr="004733AE" w14:paraId="246AD645" w14:textId="77777777" w:rsidTr="004E4B0B">
        <w:tc>
          <w:tcPr>
            <w:tcW w:w="0" w:type="dxa"/>
          </w:tcPr>
          <w:p w14:paraId="1EBF964F" w14:textId="77777777" w:rsidR="003B57B4" w:rsidRPr="004733AE" w:rsidRDefault="003B57B4" w:rsidP="00DA7339">
            <w:r w:rsidRPr="004733AE">
              <w:t>4</w:t>
            </w:r>
          </w:p>
        </w:tc>
        <w:tc>
          <w:tcPr>
            <w:tcW w:w="0" w:type="dxa"/>
          </w:tcPr>
          <w:p w14:paraId="36F61D88" w14:textId="77777777" w:rsidR="003B57B4" w:rsidRPr="004733AE" w:rsidRDefault="003B57B4" w:rsidP="00DA7339">
            <w:r w:rsidRPr="004733AE">
              <w:t>Evaporation and low-level LSC</w:t>
            </w:r>
          </w:p>
        </w:tc>
        <w:tc>
          <w:tcPr>
            <w:tcW w:w="0" w:type="dxa"/>
          </w:tcPr>
          <w:p w14:paraId="1AD7B32A" w14:textId="77777777" w:rsidR="003B57B4" w:rsidRPr="004733AE" w:rsidRDefault="003B57B4" w:rsidP="00DA7339">
            <w:r w:rsidRPr="004733AE">
              <w:t>Suspension in scintillant</w:t>
            </w:r>
          </w:p>
        </w:tc>
        <w:tc>
          <w:tcPr>
            <w:tcW w:w="0" w:type="dxa"/>
          </w:tcPr>
          <w:p w14:paraId="6001140B" w14:textId="77777777" w:rsidR="003B57B4" w:rsidRPr="004733AE" w:rsidRDefault="003B57B4" w:rsidP="00DA7339">
            <w:proofErr w:type="spellStart"/>
            <w:r w:rsidRPr="004733AE">
              <w:t>Quantalus</w:t>
            </w:r>
            <w:proofErr w:type="spellEnd"/>
          </w:p>
        </w:tc>
      </w:tr>
      <w:tr w:rsidR="003B57B4" w:rsidRPr="004733AE" w14:paraId="7FBCCC1B" w14:textId="77777777" w:rsidTr="004E4B0B">
        <w:trPr>
          <w:cnfStyle w:val="000000010000" w:firstRow="0" w:lastRow="0" w:firstColumn="0" w:lastColumn="0" w:oddVBand="0" w:evenVBand="0" w:oddHBand="0" w:evenHBand="1" w:firstRowFirstColumn="0" w:firstRowLastColumn="0" w:lastRowFirstColumn="0" w:lastRowLastColumn="0"/>
        </w:trPr>
        <w:tc>
          <w:tcPr>
            <w:tcW w:w="0" w:type="dxa"/>
          </w:tcPr>
          <w:p w14:paraId="31AADA9A" w14:textId="77777777" w:rsidR="003B57B4" w:rsidRPr="004733AE" w:rsidRDefault="003B57B4" w:rsidP="00DA7339">
            <w:r w:rsidRPr="004733AE">
              <w:t>5</w:t>
            </w:r>
          </w:p>
        </w:tc>
        <w:tc>
          <w:tcPr>
            <w:tcW w:w="0" w:type="dxa"/>
          </w:tcPr>
          <w:p w14:paraId="02910F01" w14:textId="77777777" w:rsidR="003B57B4" w:rsidRPr="004733AE" w:rsidRDefault="003B57B4" w:rsidP="00DA7339">
            <w:r w:rsidRPr="004733AE">
              <w:t>Evaporation and low-level LSC</w:t>
            </w:r>
          </w:p>
        </w:tc>
        <w:tc>
          <w:tcPr>
            <w:tcW w:w="0" w:type="dxa"/>
          </w:tcPr>
          <w:p w14:paraId="11F950AA" w14:textId="77777777" w:rsidR="003B57B4" w:rsidRPr="004733AE" w:rsidRDefault="003B57B4" w:rsidP="00DA7339">
            <w:r w:rsidRPr="004733AE">
              <w:t>Suspension in scintillant</w:t>
            </w:r>
          </w:p>
        </w:tc>
        <w:tc>
          <w:tcPr>
            <w:tcW w:w="0" w:type="dxa"/>
          </w:tcPr>
          <w:p w14:paraId="24983F30" w14:textId="77777777" w:rsidR="003B57B4" w:rsidRPr="004733AE" w:rsidRDefault="003B57B4" w:rsidP="00DA7339">
            <w:proofErr w:type="spellStart"/>
            <w:r w:rsidRPr="004733AE">
              <w:t>Quantalus</w:t>
            </w:r>
            <w:proofErr w:type="spellEnd"/>
          </w:p>
        </w:tc>
      </w:tr>
    </w:tbl>
    <w:p w14:paraId="59A26FA0" w14:textId="77777777" w:rsidR="003B57B4" w:rsidRPr="004733AE" w:rsidRDefault="003B57B4" w:rsidP="003B57B4">
      <w:r w:rsidRPr="004733AE">
        <w:t>Unfortunately, understanding the analysis techniques/matrices used by the laboratories does not provide a reliable insight into the variations in results provided for this capability exercise. As such, information on calibration sources used was also investigated.</w:t>
      </w:r>
    </w:p>
    <w:p w14:paraId="47A13E44" w14:textId="77777777" w:rsidR="003B57B4" w:rsidRPr="004733AE" w:rsidRDefault="003B57B4" w:rsidP="003B57B4">
      <w:pPr>
        <w:pStyle w:val="Heading2"/>
      </w:pPr>
      <w:bookmarkStart w:id="74" w:name="_Toc75342745"/>
      <w:bookmarkStart w:id="75" w:name="_Toc78839441"/>
      <w:r w:rsidRPr="004733AE">
        <w:t>Variations in calibration sources used</w:t>
      </w:r>
      <w:bookmarkEnd w:id="74"/>
      <w:bookmarkEnd w:id="75"/>
    </w:p>
    <w:p w14:paraId="0FDE9B2F" w14:textId="12BFBD95" w:rsidR="003B57B4" w:rsidRDefault="003B57B4" w:rsidP="003B57B4">
      <w:r w:rsidRPr="004733AE">
        <w:t>Table 3 shows the sources laboratories used for calibration of their instrumentation for gross alpha and gross beta determinations.</w:t>
      </w:r>
    </w:p>
    <w:p w14:paraId="57FE9FE2" w14:textId="77777777" w:rsidR="0018524A" w:rsidRPr="004733AE" w:rsidRDefault="0018524A" w:rsidP="0018524A">
      <w:pPr>
        <w:spacing w:before="120" w:line="240" w:lineRule="auto"/>
        <w:rPr>
          <w:b/>
          <w:bCs/>
          <w:color w:val="4E1A74"/>
          <w:sz w:val="20"/>
          <w:szCs w:val="18"/>
        </w:rPr>
      </w:pPr>
      <w:r w:rsidRPr="004733AE">
        <w:rPr>
          <w:b/>
          <w:bCs/>
          <w:color w:val="4E1A74"/>
          <w:sz w:val="20"/>
          <w:szCs w:val="18"/>
        </w:rPr>
        <w:t>Table 3 – calibration sources used by each laboratory.</w:t>
      </w:r>
    </w:p>
    <w:tbl>
      <w:tblPr>
        <w:tblStyle w:val="GenericARPANSA1"/>
        <w:tblW w:w="5000" w:type="pct"/>
        <w:tblLook w:val="04A0" w:firstRow="1" w:lastRow="0" w:firstColumn="1" w:lastColumn="0" w:noHBand="0" w:noVBand="1"/>
      </w:tblPr>
      <w:tblGrid>
        <w:gridCol w:w="3246"/>
        <w:gridCol w:w="3191"/>
        <w:gridCol w:w="3191"/>
      </w:tblGrid>
      <w:tr w:rsidR="003B57B4" w:rsidRPr="004733AE" w14:paraId="2D47B394" w14:textId="77777777" w:rsidTr="004E4B0B">
        <w:trPr>
          <w:cnfStyle w:val="100000000000" w:firstRow="1" w:lastRow="0" w:firstColumn="0" w:lastColumn="0" w:oddVBand="0" w:evenVBand="0" w:oddHBand="0" w:evenHBand="0" w:firstRowFirstColumn="0" w:firstRowLastColumn="0" w:lastRowFirstColumn="0" w:lastRowLastColumn="0"/>
        </w:trPr>
        <w:tc>
          <w:tcPr>
            <w:tcW w:w="0" w:type="dxa"/>
          </w:tcPr>
          <w:p w14:paraId="69F423CD" w14:textId="77777777" w:rsidR="003B57B4" w:rsidRPr="004733AE" w:rsidRDefault="003B57B4" w:rsidP="00DA7339">
            <w:r w:rsidRPr="004733AE">
              <w:lastRenderedPageBreak/>
              <w:t>Laboratory</w:t>
            </w:r>
          </w:p>
        </w:tc>
        <w:tc>
          <w:tcPr>
            <w:tcW w:w="0" w:type="dxa"/>
          </w:tcPr>
          <w:p w14:paraId="560E657C" w14:textId="16D49D61" w:rsidR="003B57B4" w:rsidRPr="004733AE" w:rsidRDefault="003B57B4" w:rsidP="00DA7339">
            <w:r w:rsidRPr="004733AE">
              <w:t xml:space="preserve">Gross </w:t>
            </w:r>
            <w:r w:rsidR="00DA7339">
              <w:t>a</w:t>
            </w:r>
            <w:r w:rsidRPr="004733AE">
              <w:t xml:space="preserve">lpha </w:t>
            </w:r>
            <w:r w:rsidR="00DA7339">
              <w:t>c</w:t>
            </w:r>
            <w:r w:rsidRPr="004733AE">
              <w:t xml:space="preserve">alibration </w:t>
            </w:r>
            <w:r w:rsidR="00DA7339">
              <w:t>s</w:t>
            </w:r>
            <w:r w:rsidRPr="004733AE">
              <w:t>ource</w:t>
            </w:r>
          </w:p>
        </w:tc>
        <w:tc>
          <w:tcPr>
            <w:tcW w:w="0" w:type="dxa"/>
          </w:tcPr>
          <w:p w14:paraId="0158231D" w14:textId="751A56A8" w:rsidR="003B57B4" w:rsidRPr="004733AE" w:rsidRDefault="003B57B4" w:rsidP="00DA7339">
            <w:r w:rsidRPr="004733AE">
              <w:t xml:space="preserve">Gross </w:t>
            </w:r>
            <w:r w:rsidR="00DA7339">
              <w:t>b</w:t>
            </w:r>
            <w:r w:rsidRPr="004733AE">
              <w:t xml:space="preserve">eta </w:t>
            </w:r>
            <w:r w:rsidR="00DA7339">
              <w:t>c</w:t>
            </w:r>
            <w:r w:rsidRPr="004733AE">
              <w:t xml:space="preserve">alibration </w:t>
            </w:r>
            <w:r w:rsidR="00DA7339">
              <w:t>s</w:t>
            </w:r>
            <w:r w:rsidRPr="004733AE">
              <w:t>ource</w:t>
            </w:r>
          </w:p>
        </w:tc>
      </w:tr>
      <w:tr w:rsidR="003B57B4" w:rsidRPr="004733AE" w14:paraId="6B0BE959" w14:textId="77777777" w:rsidTr="004E4B0B">
        <w:tc>
          <w:tcPr>
            <w:tcW w:w="0" w:type="dxa"/>
          </w:tcPr>
          <w:p w14:paraId="32C0F668" w14:textId="77777777" w:rsidR="003B57B4" w:rsidRPr="004733AE" w:rsidRDefault="003B57B4" w:rsidP="00DA7339">
            <w:r w:rsidRPr="004733AE">
              <w:t>1</w:t>
            </w:r>
          </w:p>
        </w:tc>
        <w:tc>
          <w:tcPr>
            <w:tcW w:w="0" w:type="dxa"/>
          </w:tcPr>
          <w:p w14:paraId="2FB9B741" w14:textId="77777777" w:rsidR="003B57B4" w:rsidRPr="004733AE" w:rsidRDefault="003B57B4" w:rsidP="00DA7339">
            <w:r w:rsidRPr="004733AE">
              <w:t>Pu-242</w:t>
            </w:r>
          </w:p>
        </w:tc>
        <w:tc>
          <w:tcPr>
            <w:tcW w:w="0" w:type="dxa"/>
          </w:tcPr>
          <w:p w14:paraId="02B8150B" w14:textId="77777777" w:rsidR="003B57B4" w:rsidRPr="004733AE" w:rsidRDefault="003B57B4" w:rsidP="00DA7339">
            <w:r w:rsidRPr="004733AE">
              <w:t>Sr-90</w:t>
            </w:r>
          </w:p>
        </w:tc>
      </w:tr>
      <w:tr w:rsidR="003B57B4" w:rsidRPr="004733AE" w14:paraId="33CCD9F0" w14:textId="77777777" w:rsidTr="004E4B0B">
        <w:trPr>
          <w:cnfStyle w:val="000000010000" w:firstRow="0" w:lastRow="0" w:firstColumn="0" w:lastColumn="0" w:oddVBand="0" w:evenVBand="0" w:oddHBand="0" w:evenHBand="1" w:firstRowFirstColumn="0" w:firstRowLastColumn="0" w:lastRowFirstColumn="0" w:lastRowLastColumn="0"/>
        </w:trPr>
        <w:tc>
          <w:tcPr>
            <w:tcW w:w="0" w:type="dxa"/>
          </w:tcPr>
          <w:p w14:paraId="4303F32F" w14:textId="77777777" w:rsidR="003B57B4" w:rsidRPr="004733AE" w:rsidRDefault="003B57B4" w:rsidP="00DA7339">
            <w:r w:rsidRPr="004733AE">
              <w:t>2</w:t>
            </w:r>
          </w:p>
        </w:tc>
        <w:tc>
          <w:tcPr>
            <w:tcW w:w="0" w:type="dxa"/>
          </w:tcPr>
          <w:p w14:paraId="09951DFB" w14:textId="77777777" w:rsidR="003B57B4" w:rsidRPr="004733AE" w:rsidRDefault="003B57B4" w:rsidP="00DA7339">
            <w:r w:rsidRPr="004733AE">
              <w:t>Am-241</w:t>
            </w:r>
          </w:p>
        </w:tc>
        <w:tc>
          <w:tcPr>
            <w:tcW w:w="0" w:type="dxa"/>
          </w:tcPr>
          <w:p w14:paraId="38ABD9BC" w14:textId="77777777" w:rsidR="003B57B4" w:rsidRPr="004733AE" w:rsidRDefault="003B57B4" w:rsidP="00DA7339">
            <w:r w:rsidRPr="004733AE">
              <w:t>K-40</w:t>
            </w:r>
          </w:p>
        </w:tc>
      </w:tr>
      <w:tr w:rsidR="003B57B4" w:rsidRPr="004733AE" w14:paraId="2A90D55F" w14:textId="77777777" w:rsidTr="004E4B0B">
        <w:tc>
          <w:tcPr>
            <w:tcW w:w="0" w:type="dxa"/>
          </w:tcPr>
          <w:p w14:paraId="54D1A174" w14:textId="77777777" w:rsidR="003B57B4" w:rsidRPr="004733AE" w:rsidRDefault="003B57B4" w:rsidP="00DA7339">
            <w:r w:rsidRPr="004733AE">
              <w:t>3</w:t>
            </w:r>
          </w:p>
        </w:tc>
        <w:tc>
          <w:tcPr>
            <w:tcW w:w="0" w:type="dxa"/>
          </w:tcPr>
          <w:p w14:paraId="092BD41B" w14:textId="77777777" w:rsidR="003B57B4" w:rsidRPr="004733AE" w:rsidRDefault="003B57B4" w:rsidP="00DA7339">
            <w:r w:rsidRPr="004733AE">
              <w:t>Po-209</w:t>
            </w:r>
          </w:p>
        </w:tc>
        <w:tc>
          <w:tcPr>
            <w:tcW w:w="0" w:type="dxa"/>
          </w:tcPr>
          <w:p w14:paraId="7174D809" w14:textId="77777777" w:rsidR="003B57B4" w:rsidRPr="004733AE" w:rsidRDefault="003B57B4" w:rsidP="00DA7339">
            <w:r w:rsidRPr="004733AE">
              <w:t>Cs-137</w:t>
            </w:r>
          </w:p>
        </w:tc>
      </w:tr>
      <w:tr w:rsidR="003B57B4" w:rsidRPr="004733AE" w14:paraId="446F10E0" w14:textId="77777777" w:rsidTr="004E4B0B">
        <w:trPr>
          <w:cnfStyle w:val="000000010000" w:firstRow="0" w:lastRow="0" w:firstColumn="0" w:lastColumn="0" w:oddVBand="0" w:evenVBand="0" w:oddHBand="0" w:evenHBand="1" w:firstRowFirstColumn="0" w:firstRowLastColumn="0" w:lastRowFirstColumn="0" w:lastRowLastColumn="0"/>
        </w:trPr>
        <w:tc>
          <w:tcPr>
            <w:tcW w:w="0" w:type="dxa"/>
          </w:tcPr>
          <w:p w14:paraId="115659FB" w14:textId="77777777" w:rsidR="003B57B4" w:rsidRPr="004733AE" w:rsidRDefault="003B57B4" w:rsidP="00DA7339">
            <w:r w:rsidRPr="004733AE">
              <w:t>4</w:t>
            </w:r>
          </w:p>
        </w:tc>
        <w:tc>
          <w:tcPr>
            <w:tcW w:w="0" w:type="dxa"/>
          </w:tcPr>
          <w:p w14:paraId="38C6BC10" w14:textId="77777777" w:rsidR="003B57B4" w:rsidRPr="004733AE" w:rsidRDefault="003B57B4" w:rsidP="00DA7339">
            <w:r w:rsidRPr="004733AE">
              <w:t>Am-241</w:t>
            </w:r>
          </w:p>
        </w:tc>
        <w:tc>
          <w:tcPr>
            <w:tcW w:w="0" w:type="dxa"/>
          </w:tcPr>
          <w:p w14:paraId="3B298F66" w14:textId="77777777" w:rsidR="003B57B4" w:rsidRPr="004733AE" w:rsidRDefault="003B57B4" w:rsidP="00DA7339">
            <w:r w:rsidRPr="004733AE">
              <w:t>Sr-90</w:t>
            </w:r>
          </w:p>
        </w:tc>
      </w:tr>
      <w:tr w:rsidR="003B57B4" w:rsidRPr="004733AE" w14:paraId="1BE1B3AD" w14:textId="77777777" w:rsidTr="004E4B0B">
        <w:tc>
          <w:tcPr>
            <w:tcW w:w="0" w:type="dxa"/>
          </w:tcPr>
          <w:p w14:paraId="73E72C86" w14:textId="77777777" w:rsidR="003B57B4" w:rsidRPr="004733AE" w:rsidRDefault="003B57B4" w:rsidP="00DA7339">
            <w:r w:rsidRPr="004733AE">
              <w:t>5</w:t>
            </w:r>
          </w:p>
        </w:tc>
        <w:tc>
          <w:tcPr>
            <w:tcW w:w="0" w:type="dxa"/>
          </w:tcPr>
          <w:p w14:paraId="06A41801" w14:textId="77777777" w:rsidR="003B57B4" w:rsidRPr="004733AE" w:rsidRDefault="003B57B4" w:rsidP="00DA7339">
            <w:r w:rsidRPr="004733AE">
              <w:t>Am-241</w:t>
            </w:r>
          </w:p>
        </w:tc>
        <w:tc>
          <w:tcPr>
            <w:tcW w:w="0" w:type="dxa"/>
          </w:tcPr>
          <w:p w14:paraId="603993A3" w14:textId="77777777" w:rsidR="003B57B4" w:rsidRPr="004733AE" w:rsidRDefault="003B57B4" w:rsidP="00DA7339">
            <w:r w:rsidRPr="004733AE">
              <w:t>Sr-90</w:t>
            </w:r>
          </w:p>
        </w:tc>
      </w:tr>
    </w:tbl>
    <w:p w14:paraId="489991AA" w14:textId="77777777" w:rsidR="003B57B4" w:rsidRPr="004733AE" w:rsidRDefault="003B57B4" w:rsidP="003B57B4">
      <w:r w:rsidRPr="004733AE">
        <w:t>Am-241, Sr-90, Cs-137 and K-40 are the sources most regularly used for calibration for gross alpha/beta measurements and are also the most readily available and cost effective to purchase.</w:t>
      </w:r>
    </w:p>
    <w:p w14:paraId="46761115" w14:textId="2CB17271" w:rsidR="003B57B4" w:rsidRPr="004733AE" w:rsidRDefault="003B57B4" w:rsidP="003B57B4">
      <w:r w:rsidRPr="004733AE">
        <w:t>For laboratories that utilised difference calibration sources, the choice to do so w</w:t>
      </w:r>
      <w:r w:rsidR="00DA7339">
        <w:t>as</w:t>
      </w:r>
      <w:r w:rsidRPr="004733AE">
        <w:t xml:space="preserve"> based on the types of sources they had available to use at the time of this exercise and were also the sources usually used within their established procedures for gross alpha/beta.</w:t>
      </w:r>
    </w:p>
    <w:p w14:paraId="3A7A22CE" w14:textId="77777777" w:rsidR="003B57B4" w:rsidRPr="004733AE" w:rsidRDefault="003B57B4" w:rsidP="003B57B4">
      <w:r w:rsidRPr="004733AE">
        <w:t>Again, no direct correlation could be made between the calibration sources used and the inconsistent results reported.</w:t>
      </w:r>
    </w:p>
    <w:p w14:paraId="7A95F9F2" w14:textId="77777777" w:rsidR="003B57B4" w:rsidRPr="0008487F" w:rsidRDefault="003B57B4" w:rsidP="003B57B4">
      <w:pPr>
        <w:pStyle w:val="Heading1"/>
        <w:ind w:left="431" w:hanging="431"/>
        <w:rPr>
          <w:rFonts w:eastAsia="Times New Roman"/>
        </w:rPr>
      </w:pPr>
      <w:bookmarkStart w:id="76" w:name="_Toc75342746"/>
      <w:bookmarkStart w:id="77" w:name="_Toc78839442"/>
      <w:r w:rsidRPr="0008487F">
        <w:rPr>
          <w:rFonts w:eastAsia="Times New Roman"/>
        </w:rPr>
        <w:t>Conclusion</w:t>
      </w:r>
      <w:bookmarkEnd w:id="71"/>
      <w:bookmarkEnd w:id="76"/>
      <w:bookmarkEnd w:id="77"/>
    </w:p>
    <w:p w14:paraId="66A2B332" w14:textId="4685DC22" w:rsidR="003B57B4" w:rsidRDefault="003B57B4" w:rsidP="003B57B4">
      <w:r>
        <w:t xml:space="preserve">This exercise was conducted to ascertain </w:t>
      </w:r>
      <w:r w:rsidRPr="00736D52">
        <w:t>the capability of participa</w:t>
      </w:r>
      <w:r>
        <w:t xml:space="preserve">ting laboratories </w:t>
      </w:r>
      <w:r w:rsidRPr="00736D52">
        <w:t xml:space="preserve">with respect to </w:t>
      </w:r>
      <w:r>
        <w:t>the measurement of gross alpha and gross beta. It should be noted the purpose of the exercise was to determine whether the methods currently used by each participating laboratory produced acceptable results when applied to a sample which may be received in a radiological emergency.</w:t>
      </w:r>
    </w:p>
    <w:p w14:paraId="0AC16FCA" w14:textId="77777777" w:rsidR="003B57B4" w:rsidRDefault="003B57B4" w:rsidP="003B57B4">
      <w:r>
        <w:t>Five of radioanalytical laboratories in the Australasian Radionuclide Laboratory Network participated in this exercise. All laboratories undertook the gross alpha/beta measurements in accordance with their standard procedures, established for their core business requirements.</w:t>
      </w:r>
    </w:p>
    <w:p w14:paraId="39EA5E11" w14:textId="5086DCE1" w:rsidR="003B57B4" w:rsidRDefault="003B57B4" w:rsidP="003B57B4">
      <w:r>
        <w:t xml:space="preserve">In almost all cases, the participants reported gross alpha results that would be considered acceptable by the supplier of the samples. That is, 4 of the 5 reported results were within the </w:t>
      </w:r>
      <w:r w:rsidR="00DA7339">
        <w:t>p</w:t>
      </w:r>
      <w:r w:rsidRPr="00701448">
        <w:t xml:space="preserve">erformance </w:t>
      </w:r>
      <w:r w:rsidR="00DA7339">
        <w:t>a</w:t>
      </w:r>
      <w:r w:rsidRPr="00701448">
        <w:t xml:space="preserve">cceptance </w:t>
      </w:r>
      <w:r w:rsidR="00DA7339">
        <w:t>l</w:t>
      </w:r>
      <w:r w:rsidRPr="00701448">
        <w:t>imits</w:t>
      </w:r>
      <w:r>
        <w:t xml:space="preserve"> (PALs)</w:t>
      </w:r>
      <w:r w:rsidRPr="00701448">
        <w:t xml:space="preserve"> </w:t>
      </w:r>
      <w:r>
        <w:t>defined by the supplier.</w:t>
      </w:r>
    </w:p>
    <w:p w14:paraId="6F27892A" w14:textId="77777777" w:rsidR="003B57B4" w:rsidRDefault="003B57B4" w:rsidP="003B57B4">
      <w:r>
        <w:t>However, the results for gross beta showed that approximately half of the results returned would not be considered acceptable by the supplier of the samples.</w:t>
      </w:r>
    </w:p>
    <w:p w14:paraId="5AC60C0A" w14:textId="77777777" w:rsidR="003B57B4" w:rsidRDefault="003B57B4" w:rsidP="003B57B4">
      <w:r>
        <w:t>With the vastly varying results returned for this exercise, it is evident that a standard method for the determination of gross alpha/beta is required for use by the Australasian Radionuclide Laboratory Network.</w:t>
      </w:r>
    </w:p>
    <w:p w14:paraId="7AC8B82A" w14:textId="53F65C05" w:rsidR="003B57B4" w:rsidRDefault="003B57B4" w:rsidP="003B57B4">
      <w:r>
        <w:t xml:space="preserve">As such, work with all the participating laboratories will be undertaken to develop a standard method for the determination of gross alpha/beta measurements. Once a standard method has been implemented, a repeat of this ARLN </w:t>
      </w:r>
      <w:r w:rsidR="0018524A">
        <w:t>c</w:t>
      </w:r>
      <w:r>
        <w:t>apability study will be undertaken to determine if an improvement in results can be achieved using the standard method chosen.</w:t>
      </w:r>
    </w:p>
    <w:p w14:paraId="014E2FFA" w14:textId="77777777" w:rsidR="003B57B4" w:rsidRDefault="003B57B4" w:rsidP="003B57B4">
      <w:r>
        <w:t xml:space="preserve"> </w:t>
      </w:r>
    </w:p>
    <w:p w14:paraId="2F934218" w14:textId="77777777" w:rsidR="003B57B4" w:rsidRPr="0008487F" w:rsidRDefault="003B57B4" w:rsidP="003B57B4">
      <w:pPr>
        <w:pStyle w:val="Heading1"/>
        <w:ind w:left="431" w:hanging="431"/>
        <w:rPr>
          <w:rFonts w:eastAsia="Times New Roman"/>
        </w:rPr>
      </w:pPr>
      <w:bookmarkStart w:id="78" w:name="_Toc453335331"/>
      <w:bookmarkStart w:id="79" w:name="_Toc75342747"/>
      <w:bookmarkStart w:id="80" w:name="_Toc78839443"/>
      <w:r w:rsidRPr="0008487F">
        <w:rPr>
          <w:rFonts w:eastAsia="Times New Roman"/>
        </w:rPr>
        <w:lastRenderedPageBreak/>
        <w:t>References</w:t>
      </w:r>
      <w:bookmarkEnd w:id="78"/>
      <w:bookmarkEnd w:id="79"/>
      <w:bookmarkEnd w:id="80"/>
    </w:p>
    <w:p w14:paraId="3F5B5602" w14:textId="69599F0E" w:rsidR="003B57B4" w:rsidRPr="002B3DE1" w:rsidRDefault="003B57B4" w:rsidP="003B57B4">
      <w:pPr>
        <w:rPr>
          <w:noProof/>
          <w:sz w:val="24"/>
          <w:szCs w:val="24"/>
        </w:rPr>
      </w:pPr>
      <w:r w:rsidRPr="002B3DE1">
        <w:rPr>
          <w:b/>
          <w:bCs/>
          <w:noProof/>
        </w:rPr>
        <w:t>IAEA</w:t>
      </w:r>
      <w:r w:rsidRPr="002B3DE1">
        <w:rPr>
          <w:noProof/>
        </w:rPr>
        <w:t xml:space="preserve"> The Radiological Incident in Goiania [Report]. Vienna : International Atomic Energy Agency, 1988.</w:t>
      </w:r>
    </w:p>
    <w:p w14:paraId="010E67B3" w14:textId="5FFAC668" w:rsidR="00937076" w:rsidRDefault="003B57B4" w:rsidP="0018524A">
      <w:r w:rsidRPr="002B3DE1">
        <w:rPr>
          <w:b/>
          <w:bCs/>
          <w:noProof/>
        </w:rPr>
        <w:t>Japanese Ministry of Health, Labour and Welfare</w:t>
      </w:r>
      <w:r w:rsidRPr="002B3DE1">
        <w:rPr>
          <w:noProof/>
        </w:rPr>
        <w:t xml:space="preserve"> Levels of Radioactive Contaminants in Foods Tested in Respective Prefectures [Online]. 2015. 14 August</w:t>
      </w:r>
      <w:r w:rsidR="0018524A">
        <w:rPr>
          <w:noProof/>
        </w:rPr>
        <w:t xml:space="preserve"> </w:t>
      </w:r>
      <w:r w:rsidRPr="002B3DE1">
        <w:rPr>
          <w:noProof/>
        </w:rPr>
        <w:t>2015.</w:t>
      </w:r>
      <w:r w:rsidR="0018524A">
        <w:rPr>
          <w:noProof/>
        </w:rPr>
        <w:br/>
      </w:r>
      <w:r w:rsidRPr="002B3DE1">
        <w:rPr>
          <w:noProof/>
        </w:rPr>
        <w:t>http://www.mhlw.go.jp/english/topics/2011eq/index_food_radioactive.</w:t>
      </w:r>
    </w:p>
    <w:sectPr w:rsidR="00937076" w:rsidSect="001E2F4E">
      <w:footerReference w:type="default" r:id="rId17"/>
      <w:pgSz w:w="11906" w:h="16838"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55FFD" w14:textId="77777777" w:rsidR="00EE1667" w:rsidRDefault="00EE1667" w:rsidP="00037687">
      <w:r>
        <w:separator/>
      </w:r>
    </w:p>
  </w:endnote>
  <w:endnote w:type="continuationSeparator" w:id="0">
    <w:p w14:paraId="6A123E70" w14:textId="77777777" w:rsidR="00EE1667" w:rsidRDefault="00EE1667"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6C89" w14:textId="6E4002DA" w:rsidR="00DA7339" w:rsidRPr="00D93332" w:rsidRDefault="00DA7339" w:rsidP="00BD34E0">
    <w:pPr>
      <w:pStyle w:val="Footer"/>
      <w:tabs>
        <w:tab w:val="center" w:pos="4820"/>
        <w:tab w:val="right" w:pos="9639"/>
      </w:tabs>
      <w:spacing w:before="120"/>
      <w:rPr>
        <w:sz w:val="18"/>
      </w:rPr>
    </w:pPr>
    <w:r w:rsidRPr="00FF6AB9">
      <w:rPr>
        <w:noProof/>
        <w:sz w:val="18"/>
        <w:lang w:eastAsia="en-AU"/>
      </w:rPr>
      <w:drawing>
        <wp:anchor distT="0" distB="0" distL="114300" distR="114300" simplePos="0" relativeHeight="251664896" behindDoc="0" locked="0" layoutInCell="1" allowOverlap="1" wp14:anchorId="40B9F3D5" wp14:editId="38CC00FB">
          <wp:simplePos x="0" y="0"/>
          <wp:positionH relativeFrom="column">
            <wp:posOffset>0</wp:posOffset>
          </wp:positionH>
          <wp:positionV relativeFrom="paragraph">
            <wp:posOffset>175895</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18524A" w:rsidRPr="0018524A">
      <w:rPr>
        <w:noProof/>
        <w:sz w:val="18"/>
        <w:lang w:eastAsia="en-AU"/>
      </w:rPr>
      <w:t>Australasian Gross Alpha/Gross Beta</w:t>
    </w:r>
    <w:r w:rsidR="0018524A">
      <w:rPr>
        <w:noProof/>
        <w:sz w:val="18"/>
        <w:lang w:eastAsia="en-AU"/>
      </w:rPr>
      <w:t xml:space="preserve"> </w:t>
    </w:r>
    <w:r w:rsidR="0018524A" w:rsidRPr="0018524A">
      <w:rPr>
        <w:noProof/>
        <w:sz w:val="18"/>
        <w:lang w:eastAsia="en-AU"/>
      </w:rPr>
      <w:t>Capability Exercise – 2020</w:t>
    </w:r>
    <w:r w:rsidRPr="00FF6AB9">
      <w:rPr>
        <w:sz w:val="18"/>
      </w:rPr>
      <w:tab/>
    </w:r>
    <w:r>
      <w:rPr>
        <w:sz w:val="18"/>
      </w:rPr>
      <w:tab/>
    </w:r>
    <w:r>
      <w:rPr>
        <w:sz w:val="18"/>
      </w:rPr>
      <w:fldChar w:fldCharType="begin"/>
    </w:r>
    <w:r>
      <w:rPr>
        <w:sz w:val="18"/>
      </w:rPr>
      <w:instrText xml:space="preserve"> PAGE   \* MERGEFORMAT </w:instrText>
    </w:r>
    <w:r>
      <w:rPr>
        <w:sz w:val="18"/>
      </w:rPr>
      <w:fldChar w:fldCharType="separate"/>
    </w:r>
    <w:r>
      <w:rPr>
        <w:noProof/>
        <w:sz w:val="18"/>
      </w:rPr>
      <w:t>4</w:t>
    </w:r>
    <w:r>
      <w:rPr>
        <w:sz w:val="18"/>
      </w:rPr>
      <w:fldChar w:fldCharType="end"/>
    </w:r>
    <w:r>
      <w:rPr>
        <w:sz w:val="18"/>
      </w:rPr>
      <w:br/>
      <w:t xml:space="preserve">Technical Report </w:t>
    </w:r>
    <w:r w:rsidR="0018524A">
      <w:rPr>
        <w:sz w:val="18"/>
      </w:rPr>
      <w:t>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343E8" w14:textId="77777777" w:rsidR="00EE1667" w:rsidRDefault="00EE1667" w:rsidP="00037687">
      <w:r>
        <w:separator/>
      </w:r>
    </w:p>
  </w:footnote>
  <w:footnote w:type="continuationSeparator" w:id="0">
    <w:p w14:paraId="431774C6" w14:textId="77777777" w:rsidR="00EE1667" w:rsidRDefault="00EE1667" w:rsidP="0003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03F49"/>
    <w:multiLevelType w:val="hybridMultilevel"/>
    <w:tmpl w:val="9B90723C"/>
    <w:lvl w:ilvl="0" w:tplc="E3D628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7E0E4C"/>
    <w:multiLevelType w:val="hybridMultilevel"/>
    <w:tmpl w:val="6CB4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D7ABD"/>
    <w:multiLevelType w:val="multilevel"/>
    <w:tmpl w:val="06F646AE"/>
    <w:lvl w:ilvl="0">
      <w:numFmt w:val="bullet"/>
      <w:lvlText w:val="•"/>
      <w:lvlJc w:val="left"/>
      <w:pPr>
        <w:ind w:left="454" w:hanging="454"/>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10AA7"/>
    <w:multiLevelType w:val="hybridMultilevel"/>
    <w:tmpl w:val="D4FE9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23771"/>
    <w:multiLevelType w:val="hybridMultilevel"/>
    <w:tmpl w:val="73CA7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191928"/>
    <w:multiLevelType w:val="multilevel"/>
    <w:tmpl w:val="7E1096F8"/>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Appendix %4:"/>
      <w:lvlJc w:val="left"/>
      <w:pPr>
        <w:tabs>
          <w:tab w:val="num" w:pos="1701"/>
        </w:tabs>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5"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6"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747C1BC3"/>
    <w:multiLevelType w:val="hybridMultilevel"/>
    <w:tmpl w:val="645A3CB4"/>
    <w:lvl w:ilvl="0" w:tplc="23025DF8">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D6374B"/>
    <w:multiLevelType w:val="hybridMultilevel"/>
    <w:tmpl w:val="5F443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8"/>
  </w:num>
  <w:num w:numId="5">
    <w:abstractNumId w:val="10"/>
  </w:num>
  <w:num w:numId="6">
    <w:abstractNumId w:val="15"/>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5"/>
  </w:num>
  <w:num w:numId="8">
    <w:abstractNumId w:val="0"/>
  </w:num>
  <w:num w:numId="9">
    <w:abstractNumId w:val="16"/>
  </w:num>
  <w:num w:numId="10">
    <w:abstractNumId w:val="7"/>
  </w:num>
  <w:num w:numId="11">
    <w:abstractNumId w:val="13"/>
  </w:num>
  <w:num w:numId="12">
    <w:abstractNumId w:val="14"/>
  </w:num>
  <w:num w:numId="13">
    <w:abstractNumId w:val="4"/>
  </w:num>
  <w:num w:numId="14">
    <w:abstractNumId w:val="17"/>
  </w:num>
  <w:num w:numId="15">
    <w:abstractNumId w:val="3"/>
  </w:num>
  <w:num w:numId="16">
    <w:abstractNumId w:val="18"/>
  </w:num>
  <w:num w:numId="17">
    <w:abstractNumId w:val="12"/>
  </w:num>
  <w:num w:numId="18">
    <w:abstractNumId w:val="1"/>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8C"/>
    <w:rsid w:val="00012D6C"/>
    <w:rsid w:val="0002351B"/>
    <w:rsid w:val="00037687"/>
    <w:rsid w:val="00043F41"/>
    <w:rsid w:val="00051729"/>
    <w:rsid w:val="00066B27"/>
    <w:rsid w:val="00067C8C"/>
    <w:rsid w:val="00082E26"/>
    <w:rsid w:val="000917AA"/>
    <w:rsid w:val="000C509B"/>
    <w:rsid w:val="000D27C8"/>
    <w:rsid w:val="000F3AB1"/>
    <w:rsid w:val="000F73FB"/>
    <w:rsid w:val="0010348D"/>
    <w:rsid w:val="0016551D"/>
    <w:rsid w:val="001660B9"/>
    <w:rsid w:val="0017028E"/>
    <w:rsid w:val="001765AC"/>
    <w:rsid w:val="0018524A"/>
    <w:rsid w:val="00192A8D"/>
    <w:rsid w:val="001A11CB"/>
    <w:rsid w:val="001A4C9B"/>
    <w:rsid w:val="001D180B"/>
    <w:rsid w:val="001E2F4E"/>
    <w:rsid w:val="001E4B07"/>
    <w:rsid w:val="001F5B95"/>
    <w:rsid w:val="00211B48"/>
    <w:rsid w:val="002165DD"/>
    <w:rsid w:val="002356D6"/>
    <w:rsid w:val="00244A6C"/>
    <w:rsid w:val="00244EFF"/>
    <w:rsid w:val="0026045A"/>
    <w:rsid w:val="002E450D"/>
    <w:rsid w:val="003014F6"/>
    <w:rsid w:val="00310092"/>
    <w:rsid w:val="0031653E"/>
    <w:rsid w:val="00327077"/>
    <w:rsid w:val="00341853"/>
    <w:rsid w:val="003564D8"/>
    <w:rsid w:val="00362AB9"/>
    <w:rsid w:val="00370113"/>
    <w:rsid w:val="003939E0"/>
    <w:rsid w:val="003B0414"/>
    <w:rsid w:val="003B57B4"/>
    <w:rsid w:val="003D2646"/>
    <w:rsid w:val="003D265D"/>
    <w:rsid w:val="0041095A"/>
    <w:rsid w:val="00412CF8"/>
    <w:rsid w:val="004219C4"/>
    <w:rsid w:val="00425F03"/>
    <w:rsid w:val="00434381"/>
    <w:rsid w:val="004577AE"/>
    <w:rsid w:val="004909EF"/>
    <w:rsid w:val="004E4746"/>
    <w:rsid w:val="004E4B0B"/>
    <w:rsid w:val="00526CCB"/>
    <w:rsid w:val="0054455D"/>
    <w:rsid w:val="005507E9"/>
    <w:rsid w:val="00561136"/>
    <w:rsid w:val="00570B3E"/>
    <w:rsid w:val="00586DAE"/>
    <w:rsid w:val="005A0A7F"/>
    <w:rsid w:val="005A1CAF"/>
    <w:rsid w:val="005A5E5B"/>
    <w:rsid w:val="005B28E2"/>
    <w:rsid w:val="005C6BE7"/>
    <w:rsid w:val="0060042E"/>
    <w:rsid w:val="00621F3A"/>
    <w:rsid w:val="00675E49"/>
    <w:rsid w:val="00681C90"/>
    <w:rsid w:val="006E59E8"/>
    <w:rsid w:val="00703759"/>
    <w:rsid w:val="00722793"/>
    <w:rsid w:val="00751131"/>
    <w:rsid w:val="00762A37"/>
    <w:rsid w:val="00773742"/>
    <w:rsid w:val="00787C08"/>
    <w:rsid w:val="00796EDC"/>
    <w:rsid w:val="007A0993"/>
    <w:rsid w:val="007A275C"/>
    <w:rsid w:val="007C4285"/>
    <w:rsid w:val="00841065"/>
    <w:rsid w:val="00860817"/>
    <w:rsid w:val="00937076"/>
    <w:rsid w:val="009446B3"/>
    <w:rsid w:val="00976239"/>
    <w:rsid w:val="00991953"/>
    <w:rsid w:val="00995CDC"/>
    <w:rsid w:val="00A13736"/>
    <w:rsid w:val="00A2096C"/>
    <w:rsid w:val="00A26A74"/>
    <w:rsid w:val="00A847BC"/>
    <w:rsid w:val="00A8520D"/>
    <w:rsid w:val="00A91A4D"/>
    <w:rsid w:val="00AB6DA9"/>
    <w:rsid w:val="00AC07C6"/>
    <w:rsid w:val="00AD297B"/>
    <w:rsid w:val="00AD2D61"/>
    <w:rsid w:val="00B253F4"/>
    <w:rsid w:val="00B54750"/>
    <w:rsid w:val="00B60FD9"/>
    <w:rsid w:val="00BB54FF"/>
    <w:rsid w:val="00BC698C"/>
    <w:rsid w:val="00BD34E0"/>
    <w:rsid w:val="00BE6683"/>
    <w:rsid w:val="00BF11FA"/>
    <w:rsid w:val="00C07E84"/>
    <w:rsid w:val="00C145D3"/>
    <w:rsid w:val="00C53AF7"/>
    <w:rsid w:val="00C56F1E"/>
    <w:rsid w:val="00C70958"/>
    <w:rsid w:val="00C86EB9"/>
    <w:rsid w:val="00C878F8"/>
    <w:rsid w:val="00C90747"/>
    <w:rsid w:val="00CC1541"/>
    <w:rsid w:val="00D229F5"/>
    <w:rsid w:val="00D22F8B"/>
    <w:rsid w:val="00D24A37"/>
    <w:rsid w:val="00D4350B"/>
    <w:rsid w:val="00D6081F"/>
    <w:rsid w:val="00D70D97"/>
    <w:rsid w:val="00D770E7"/>
    <w:rsid w:val="00D87798"/>
    <w:rsid w:val="00D93332"/>
    <w:rsid w:val="00DA7178"/>
    <w:rsid w:val="00DA7339"/>
    <w:rsid w:val="00DB2DFF"/>
    <w:rsid w:val="00DC23A8"/>
    <w:rsid w:val="00E25BD4"/>
    <w:rsid w:val="00E32A56"/>
    <w:rsid w:val="00E54D3A"/>
    <w:rsid w:val="00E84E35"/>
    <w:rsid w:val="00EE1667"/>
    <w:rsid w:val="00F30B42"/>
    <w:rsid w:val="00F87EA5"/>
    <w:rsid w:val="00FE4B31"/>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5713F"/>
  <w15:docId w15:val="{529F6C5E-AB94-4C19-A205-D21D7580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numPr>
        <w:numId w:val="17"/>
      </w:numPr>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numPr>
        <w:ilvl w:val="1"/>
        <w:numId w:val="17"/>
      </w:numPr>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numPr>
        <w:ilvl w:val="2"/>
        <w:numId w:val="17"/>
      </w:numPr>
      <w:outlineLvl w:val="2"/>
    </w:pPr>
    <w:rPr>
      <w:rFonts w:eastAsiaTheme="majorEastAsia" w:cstheme="majorBidi"/>
      <w:b/>
      <w:bCs/>
      <w:i/>
      <w:color w:val="4E1A74"/>
      <w:sz w:val="24"/>
    </w:rPr>
  </w:style>
  <w:style w:type="paragraph" w:styleId="Heading4">
    <w:name w:val="heading 4"/>
    <w:aliases w:val="Appendix"/>
    <w:basedOn w:val="Normal"/>
    <w:next w:val="Normal"/>
    <w:link w:val="Heading4Char"/>
    <w:uiPriority w:val="9"/>
    <w:unhideWhenUsed/>
    <w:qFormat/>
    <w:rsid w:val="0041095A"/>
    <w:pPr>
      <w:keepNext/>
      <w:keepLines/>
      <w:numPr>
        <w:ilvl w:val="3"/>
        <w:numId w:val="17"/>
      </w:numPr>
      <w:outlineLvl w:val="3"/>
    </w:pPr>
    <w:rPr>
      <w:rFonts w:ascii="Calibri" w:eastAsiaTheme="majorEastAsia" w:hAnsi="Calibri" w:cstheme="majorBidi"/>
      <w:b/>
      <w:bCs/>
      <w:iCs/>
      <w:color w:val="4E1A74"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BB54FF"/>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BB54FF"/>
    <w:rPr>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aliases w:val="Appendix Char"/>
    <w:basedOn w:val="DefaultParagraphFont"/>
    <w:link w:val="Heading4"/>
    <w:uiPriority w:val="9"/>
    <w:rsid w:val="0041095A"/>
    <w:rPr>
      <w:rFonts w:ascii="Calibri" w:eastAsiaTheme="majorEastAsia" w:hAnsi="Calibri" w:cstheme="majorBidi"/>
      <w:b/>
      <w:bCs/>
      <w:iCs/>
      <w:color w:val="4E1A74" w:themeColor="text2"/>
      <w:sz w:val="32"/>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31653E"/>
    <w:pPr>
      <w:tabs>
        <w:tab w:val="right" w:leader="dot" w:pos="9628"/>
      </w:tabs>
    </w:pPr>
    <w:rPr>
      <w:b/>
      <w:color w:val="4E1A74"/>
    </w:rPr>
  </w:style>
  <w:style w:type="paragraph" w:styleId="TOC2">
    <w:name w:val="toc 2"/>
    <w:basedOn w:val="Normal"/>
    <w:next w:val="Normal"/>
    <w:autoRedefine/>
    <w:uiPriority w:val="39"/>
    <w:unhideWhenUsed/>
    <w:rsid w:val="0031653E"/>
    <w:pPr>
      <w:tabs>
        <w:tab w:val="right" w:leader="dot" w:pos="9628"/>
      </w:tabs>
      <w:spacing w:before="120"/>
      <w:ind w:left="567"/>
    </w:pPr>
    <w:rPr>
      <w:noProof/>
    </w:rPr>
  </w:style>
  <w:style w:type="paragraph" w:styleId="TOC3">
    <w:name w:val="toc 3"/>
    <w:basedOn w:val="Normal"/>
    <w:next w:val="Normal"/>
    <w:autoRedefine/>
    <w:uiPriority w:val="39"/>
    <w:unhideWhenUsed/>
    <w:rsid w:val="0031653E"/>
    <w:pPr>
      <w:tabs>
        <w:tab w:val="left" w:pos="1134"/>
        <w:tab w:val="right" w:leader="dot" w:pos="9628"/>
      </w:tabs>
      <w:ind w:left="567" w:hanging="567"/>
    </w:pPr>
    <w:rPr>
      <w:b/>
      <w:noProof/>
      <w:color w:val="4E1A74" w:themeColor="text2"/>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Text">
    <w:name w:val="Text"/>
    <w:basedOn w:val="Normal"/>
    <w:uiPriority w:val="99"/>
    <w:rsid w:val="00067C8C"/>
    <w:pPr>
      <w:suppressAutoHyphens/>
      <w:autoSpaceDE w:val="0"/>
      <w:autoSpaceDN w:val="0"/>
      <w:adjustRightInd w:val="0"/>
      <w:spacing w:before="200" w:after="113" w:line="340" w:lineRule="atLeast"/>
    </w:pPr>
    <w:rPr>
      <w:rFonts w:ascii="Calibri" w:eastAsia="Times New Roman" w:hAnsi="Calibri" w:cs="Calibri"/>
      <w:color w:val="000000"/>
      <w:szCs w:val="24"/>
      <w:lang w:val="en-US" w:eastAsia="en-AU"/>
    </w:rPr>
  </w:style>
  <w:style w:type="paragraph" w:customStyle="1" w:styleId="TechRep">
    <w:name w:val="Tech Rep"/>
    <w:basedOn w:val="Normal"/>
    <w:link w:val="TechRepChar"/>
    <w:qFormat/>
    <w:rsid w:val="00067C8C"/>
    <w:pPr>
      <w:spacing w:before="200" w:after="240"/>
      <w:jc w:val="both"/>
    </w:pPr>
    <w:rPr>
      <w:rFonts w:ascii="Calibri" w:eastAsia="Calibri" w:hAnsi="Calibri" w:cs="Times New Roman"/>
      <w:color w:val="22508C" w:themeColor="text1" w:themeTint="D9"/>
      <w:szCs w:val="24"/>
    </w:rPr>
  </w:style>
  <w:style w:type="character" w:customStyle="1" w:styleId="TechRepChar">
    <w:name w:val="Tech Rep Char"/>
    <w:link w:val="TechRep"/>
    <w:rsid w:val="00067C8C"/>
    <w:rPr>
      <w:rFonts w:ascii="Calibri" w:eastAsia="Calibri" w:hAnsi="Calibri" w:cs="Times New Roman"/>
      <w:color w:val="22508C" w:themeColor="text1" w:themeTint="D9"/>
      <w:szCs w:val="24"/>
    </w:rPr>
  </w:style>
  <w:style w:type="paragraph" w:customStyle="1" w:styleId="Recommendation">
    <w:name w:val="Recommendation"/>
    <w:basedOn w:val="Normal"/>
    <w:qFormat/>
    <w:rsid w:val="00FE4B31"/>
    <w:pPr>
      <w:pBdr>
        <w:top w:val="single" w:sz="4" w:space="12" w:color="F3EAFA"/>
        <w:left w:val="single" w:sz="4" w:space="12" w:color="F3EAFA"/>
        <w:bottom w:val="single" w:sz="4" w:space="12" w:color="F3EAFA"/>
        <w:right w:val="single" w:sz="4" w:space="12" w:color="F3EAFA"/>
      </w:pBdr>
      <w:shd w:val="clear" w:color="auto" w:fill="F3EAFA"/>
      <w:spacing w:before="360" w:after="360"/>
      <w:ind w:left="284" w:right="284"/>
    </w:pPr>
    <w:rPr>
      <w:b/>
      <w:color w:val="4E1A74" w:themeColor="text2"/>
      <w:sz w:val="24"/>
    </w:rPr>
  </w:style>
  <w:style w:type="character" w:styleId="IntenseReference">
    <w:name w:val="Intense Reference"/>
    <w:basedOn w:val="DefaultParagraphFont"/>
    <w:uiPriority w:val="32"/>
    <w:qFormat/>
    <w:rsid w:val="00051729"/>
    <w:rPr>
      <w:b/>
      <w:bCs/>
      <w:smallCaps/>
      <w:color w:val="2B992B" w:themeColor="accent2"/>
      <w:spacing w:val="5"/>
      <w:u w:val="single"/>
    </w:rPr>
  </w:style>
  <w:style w:type="character" w:styleId="BookTitle">
    <w:name w:val="Book Title"/>
    <w:basedOn w:val="DefaultParagraphFont"/>
    <w:uiPriority w:val="33"/>
    <w:rsid w:val="00051729"/>
    <w:rPr>
      <w:b/>
      <w:bCs/>
      <w:smallCaps/>
      <w:spacing w:val="5"/>
    </w:rPr>
  </w:style>
  <w:style w:type="paragraph" w:styleId="Quote">
    <w:name w:val="Quote"/>
    <w:basedOn w:val="Normal"/>
    <w:next w:val="Normal"/>
    <w:link w:val="QuoteChar"/>
    <w:uiPriority w:val="29"/>
    <w:qFormat/>
    <w:rsid w:val="00051729"/>
    <w:rPr>
      <w:i/>
      <w:iCs/>
      <w:color w:val="17365D" w:themeColor="text1"/>
    </w:rPr>
  </w:style>
  <w:style w:type="character" w:customStyle="1" w:styleId="QuoteChar">
    <w:name w:val="Quote Char"/>
    <w:basedOn w:val="DefaultParagraphFont"/>
    <w:link w:val="Quote"/>
    <w:uiPriority w:val="29"/>
    <w:rsid w:val="00051729"/>
    <w:rPr>
      <w:i/>
      <w:iCs/>
      <w:color w:val="17365D" w:themeColor="text1"/>
    </w:rPr>
  </w:style>
  <w:style w:type="character" w:styleId="Strong">
    <w:name w:val="Strong"/>
    <w:basedOn w:val="DefaultParagraphFont"/>
    <w:uiPriority w:val="22"/>
    <w:qFormat/>
    <w:rsid w:val="00051729"/>
    <w:rPr>
      <w:b/>
      <w:bCs/>
    </w:rPr>
  </w:style>
  <w:style w:type="paragraph" w:customStyle="1" w:styleId="Heading1Nonumber">
    <w:name w:val="Heading 1 No number"/>
    <w:basedOn w:val="Heading1"/>
    <w:qFormat/>
    <w:rsid w:val="00AD297B"/>
    <w:pPr>
      <w:numPr>
        <w:numId w:val="0"/>
      </w:numPr>
    </w:pPr>
  </w:style>
  <w:style w:type="paragraph" w:styleId="TOC4">
    <w:name w:val="toc 4"/>
    <w:basedOn w:val="Heading1"/>
    <w:next w:val="Normal"/>
    <w:autoRedefine/>
    <w:uiPriority w:val="39"/>
    <w:semiHidden/>
    <w:unhideWhenUsed/>
    <w:rsid w:val="002E450D"/>
    <w:pPr>
      <w:spacing w:after="100"/>
      <w:ind w:left="660"/>
    </w:pPr>
  </w:style>
  <w:style w:type="table" w:styleId="GridTable2-Accent1">
    <w:name w:val="Grid Table 2 Accent 1"/>
    <w:basedOn w:val="TableNormal"/>
    <w:uiPriority w:val="47"/>
    <w:rsid w:val="003B57B4"/>
    <w:pPr>
      <w:spacing w:line="240" w:lineRule="auto"/>
    </w:pPr>
    <w:tblPr>
      <w:tblStyleRowBandSize w:val="1"/>
      <w:tblStyleColBandSize w:val="1"/>
      <w:tblBorders>
        <w:top w:val="single" w:sz="2" w:space="0" w:color="EEE0F8" w:themeColor="accent1" w:themeTint="99"/>
        <w:bottom w:val="single" w:sz="2" w:space="0" w:color="EEE0F8" w:themeColor="accent1" w:themeTint="99"/>
        <w:insideH w:val="single" w:sz="2" w:space="0" w:color="EEE0F8" w:themeColor="accent1" w:themeTint="99"/>
        <w:insideV w:val="single" w:sz="2" w:space="0" w:color="EEE0F8" w:themeColor="accent1" w:themeTint="99"/>
      </w:tblBorders>
    </w:tblPr>
    <w:tblStylePr w:type="firstRow">
      <w:rPr>
        <w:b/>
        <w:bCs/>
      </w:rPr>
      <w:tblPr/>
      <w:tcPr>
        <w:tcBorders>
          <w:top w:val="nil"/>
          <w:bottom w:val="single" w:sz="12" w:space="0" w:color="EEE0F8" w:themeColor="accent1" w:themeTint="99"/>
          <w:insideH w:val="nil"/>
          <w:insideV w:val="nil"/>
        </w:tcBorders>
        <w:shd w:val="clear" w:color="auto" w:fill="FFFFFF" w:themeFill="background1"/>
      </w:tcPr>
    </w:tblStylePr>
    <w:tblStylePr w:type="lastRow">
      <w:rPr>
        <w:b/>
        <w:bCs/>
      </w:rPr>
      <w:tblPr/>
      <w:tcPr>
        <w:tcBorders>
          <w:top w:val="double" w:sz="2" w:space="0" w:color="EEE0F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4FC" w:themeFill="accent1" w:themeFillTint="33"/>
      </w:tcPr>
    </w:tblStylePr>
    <w:tblStylePr w:type="band1Horz">
      <w:tblPr/>
      <w:tcPr>
        <w:shd w:val="clear" w:color="auto" w:fill="F9F4FC" w:themeFill="accent1" w:themeFillTint="33"/>
      </w:tcPr>
    </w:tblStylePr>
  </w:style>
  <w:style w:type="table" w:customStyle="1" w:styleId="GenericARPANSA1">
    <w:name w:val="Generic ARPANSA1"/>
    <w:basedOn w:val="TableNormal"/>
    <w:uiPriority w:val="99"/>
    <w:rsid w:val="003B57B4"/>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562424">
      <w:bodyDiv w:val="1"/>
      <w:marLeft w:val="0"/>
      <w:marRight w:val="0"/>
      <w:marTop w:val="0"/>
      <w:marBottom w:val="0"/>
      <w:divBdr>
        <w:top w:val="none" w:sz="0" w:space="0" w:color="auto"/>
        <w:left w:val="none" w:sz="0" w:space="0" w:color="auto"/>
        <w:bottom w:val="none" w:sz="0" w:space="0" w:color="auto"/>
        <w:right w:val="none" w:sz="0" w:space="0" w:color="auto"/>
      </w:divBdr>
    </w:div>
    <w:div w:id="21030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pansa.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rpansa.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mc.gov.au/government/commonwealth-coat-arms"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rcl\AppData\Local\Hewlett-Packard\HP%20TRIM\TEMP\HPTRIM.9324\D177332%20ARPANSA_Generic_Word_Document(3).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rpansa.local\VicData\Rad_Health\M_and_ER\04%20Projects\01%20Current\19%20Australasian%20Radioanalytical%20Laboratory%20Network\2020%20Capability\ARLN%202020%20Results%20-%20DRAFT%20ONL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rusek\AppData\Local\Microsoft\Windows\INetCache\Content.Outlook\B5KXW2FU\Amended%20Figure%202%20table%20(00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arpansa.local\VicData\Rad_Health\M_and_ER\04%20Projects\01%20Current\19%20Australasian%20Radioanalytical%20Laboratory%20Network\2020%20Capability\ARLN%202020%20Results%20-%20DRAFT%20ONL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Gross Alpha</c:v>
          </c:tx>
          <c:spPr>
            <a:solidFill>
              <a:schemeClr val="accent1"/>
            </a:solidFill>
            <a:ln>
              <a:noFill/>
            </a:ln>
            <a:effectLst/>
          </c:spPr>
          <c:invertIfNegative val="0"/>
          <c:cat>
            <c:numRef>
              <c:f>Summary!$A$16:$A$21</c:f>
              <c:numCache>
                <c:formatCode>General</c:formatCode>
                <c:ptCount val="6"/>
                <c:pt idx="0">
                  <c:v>1</c:v>
                </c:pt>
                <c:pt idx="1">
                  <c:v>2</c:v>
                </c:pt>
                <c:pt idx="2">
                  <c:v>3</c:v>
                </c:pt>
                <c:pt idx="3">
                  <c:v>3.1</c:v>
                </c:pt>
                <c:pt idx="4">
                  <c:v>4</c:v>
                </c:pt>
                <c:pt idx="5">
                  <c:v>5</c:v>
                </c:pt>
              </c:numCache>
            </c:numRef>
          </c:cat>
          <c:val>
            <c:numRef>
              <c:f>Summary!$B$16:$B$21</c:f>
              <c:numCache>
                <c:formatCode>0.00</c:formatCode>
                <c:ptCount val="6"/>
                <c:pt idx="0">
                  <c:v>3.1173620408094536E-2</c:v>
                </c:pt>
                <c:pt idx="1">
                  <c:v>8.6314323141698157</c:v>
                </c:pt>
                <c:pt idx="2">
                  <c:v>3.1422785699159728</c:v>
                </c:pt>
                <c:pt idx="3">
                  <c:v>5.0927138799868281</c:v>
                </c:pt>
                <c:pt idx="4">
                  <c:v>1.9974749738859165</c:v>
                </c:pt>
                <c:pt idx="5">
                  <c:v>3.7439979490548363</c:v>
                </c:pt>
              </c:numCache>
            </c:numRef>
          </c:val>
          <c:extLst>
            <c:ext xmlns:c16="http://schemas.microsoft.com/office/drawing/2014/chart" uri="{C3380CC4-5D6E-409C-BE32-E72D297353CC}">
              <c16:uniqueId val="{00000000-D0E6-4209-B3DF-1B3D0B42C76C}"/>
            </c:ext>
          </c:extLst>
        </c:ser>
        <c:ser>
          <c:idx val="1"/>
          <c:order val="1"/>
          <c:tx>
            <c:v>Gross Beta</c:v>
          </c:tx>
          <c:spPr>
            <a:solidFill>
              <a:schemeClr val="accent3"/>
            </a:solidFill>
            <a:ln>
              <a:noFill/>
            </a:ln>
            <a:effectLst/>
          </c:spPr>
          <c:invertIfNegative val="0"/>
          <c:cat>
            <c:numRef>
              <c:f>Summary!$A$16:$A$21</c:f>
              <c:numCache>
                <c:formatCode>General</c:formatCode>
                <c:ptCount val="6"/>
                <c:pt idx="0">
                  <c:v>1</c:v>
                </c:pt>
                <c:pt idx="1">
                  <c:v>2</c:v>
                </c:pt>
                <c:pt idx="2">
                  <c:v>3</c:v>
                </c:pt>
                <c:pt idx="3">
                  <c:v>3.1</c:v>
                </c:pt>
                <c:pt idx="4">
                  <c:v>4</c:v>
                </c:pt>
                <c:pt idx="5">
                  <c:v>5</c:v>
                </c:pt>
              </c:numCache>
            </c:numRef>
          </c:cat>
          <c:val>
            <c:numRef>
              <c:f>Summary!$C$16:$C$21</c:f>
              <c:numCache>
                <c:formatCode>0.00</c:formatCode>
                <c:ptCount val="6"/>
                <c:pt idx="0">
                  <c:v>2.2217443742704943</c:v>
                </c:pt>
                <c:pt idx="1">
                  <c:v>10.136920520030397</c:v>
                </c:pt>
                <c:pt idx="2">
                  <c:v>2.0616451238066991</c:v>
                </c:pt>
                <c:pt idx="3">
                  <c:v>1.8767715065564896</c:v>
                </c:pt>
                <c:pt idx="4">
                  <c:v>1.6324921004197428</c:v>
                </c:pt>
                <c:pt idx="5">
                  <c:v>6.0900149038468232</c:v>
                </c:pt>
              </c:numCache>
            </c:numRef>
          </c:val>
          <c:extLst>
            <c:ext xmlns:c16="http://schemas.microsoft.com/office/drawing/2014/chart" uri="{C3380CC4-5D6E-409C-BE32-E72D297353CC}">
              <c16:uniqueId val="{00000001-D0E6-4209-B3DF-1B3D0B42C76C}"/>
            </c:ext>
          </c:extLst>
        </c:ser>
        <c:dLbls>
          <c:showLegendKey val="0"/>
          <c:showVal val="0"/>
          <c:showCatName val="0"/>
          <c:showSerName val="0"/>
          <c:showPercent val="0"/>
          <c:showBubbleSize val="0"/>
        </c:dLbls>
        <c:gapWidth val="150"/>
        <c:axId val="1799364240"/>
        <c:axId val="1637955328"/>
      </c:barChart>
      <c:lineChart>
        <c:grouping val="standard"/>
        <c:varyColors val="0"/>
        <c:ser>
          <c:idx val="2"/>
          <c:order val="2"/>
          <c:tx>
            <c:v>Consistant</c:v>
          </c:tx>
          <c:spPr>
            <a:ln w="28575" cap="rnd">
              <a:solidFill>
                <a:schemeClr val="accent5"/>
              </a:solidFill>
              <a:round/>
            </a:ln>
            <a:effectLst/>
          </c:spPr>
          <c:marker>
            <c:symbol val="none"/>
          </c:marker>
          <c:val>
            <c:numRef>
              <c:f>Summary!$D$16:$D$21</c:f>
              <c:numCache>
                <c:formatCode>General</c:formatCode>
                <c:ptCount val="6"/>
                <c:pt idx="0">
                  <c:v>1.64</c:v>
                </c:pt>
                <c:pt idx="1">
                  <c:v>1.64</c:v>
                </c:pt>
                <c:pt idx="2">
                  <c:v>1.64</c:v>
                </c:pt>
                <c:pt idx="3">
                  <c:v>1.64</c:v>
                </c:pt>
                <c:pt idx="4">
                  <c:v>1.64</c:v>
                </c:pt>
                <c:pt idx="5">
                  <c:v>1.64</c:v>
                </c:pt>
              </c:numCache>
            </c:numRef>
          </c:val>
          <c:smooth val="0"/>
          <c:extLst>
            <c:ext xmlns:c16="http://schemas.microsoft.com/office/drawing/2014/chart" uri="{C3380CC4-5D6E-409C-BE32-E72D297353CC}">
              <c16:uniqueId val="{00000002-D0E6-4209-B3DF-1B3D0B42C76C}"/>
            </c:ext>
          </c:extLst>
        </c:ser>
        <c:ser>
          <c:idx val="3"/>
          <c:order val="3"/>
          <c:tx>
            <c:v>Discrepant</c:v>
          </c:tx>
          <c:spPr>
            <a:ln w="28575" cap="rnd">
              <a:solidFill>
                <a:schemeClr val="accent1">
                  <a:lumMod val="60000"/>
                </a:schemeClr>
              </a:solidFill>
              <a:round/>
            </a:ln>
            <a:effectLst/>
          </c:spPr>
          <c:marker>
            <c:symbol val="none"/>
          </c:marker>
          <c:val>
            <c:numRef>
              <c:f>Summary!$E$16:$E$21</c:f>
              <c:numCache>
                <c:formatCode>0.00</c:formatCode>
                <c:ptCount val="6"/>
                <c:pt idx="0">
                  <c:v>2.58</c:v>
                </c:pt>
                <c:pt idx="1">
                  <c:v>2.58</c:v>
                </c:pt>
                <c:pt idx="2">
                  <c:v>2.58</c:v>
                </c:pt>
                <c:pt idx="3">
                  <c:v>2.58</c:v>
                </c:pt>
                <c:pt idx="4">
                  <c:v>2.58</c:v>
                </c:pt>
                <c:pt idx="5">
                  <c:v>2.58</c:v>
                </c:pt>
              </c:numCache>
            </c:numRef>
          </c:val>
          <c:smooth val="0"/>
          <c:extLst>
            <c:ext xmlns:c16="http://schemas.microsoft.com/office/drawing/2014/chart" uri="{C3380CC4-5D6E-409C-BE32-E72D297353CC}">
              <c16:uniqueId val="{00000003-D0E6-4209-B3DF-1B3D0B42C76C}"/>
            </c:ext>
          </c:extLst>
        </c:ser>
        <c:dLbls>
          <c:showLegendKey val="0"/>
          <c:showVal val="0"/>
          <c:showCatName val="0"/>
          <c:showSerName val="0"/>
          <c:showPercent val="0"/>
          <c:showBubbleSize val="0"/>
        </c:dLbls>
        <c:marker val="1"/>
        <c:smooth val="0"/>
        <c:axId val="1799364240"/>
        <c:axId val="1637955328"/>
      </c:lineChart>
      <c:catAx>
        <c:axId val="1799364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4"/>
                    </a:solidFill>
                    <a:latin typeface="+mn-lt"/>
                    <a:ea typeface="+mn-ea"/>
                    <a:cs typeface="+mn-cs"/>
                  </a:defRPr>
                </a:pPr>
                <a:r>
                  <a:rPr lang="en-AU">
                    <a:solidFill>
                      <a:schemeClr val="accent4"/>
                    </a:solidFill>
                  </a:rPr>
                  <a:t>Laboratory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accent4"/>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4"/>
                </a:solidFill>
                <a:latin typeface="+mn-lt"/>
                <a:ea typeface="+mn-ea"/>
                <a:cs typeface="+mn-cs"/>
              </a:defRPr>
            </a:pPr>
            <a:endParaRPr lang="en-US"/>
          </a:p>
        </c:txPr>
        <c:crossAx val="1637955328"/>
        <c:crosses val="autoZero"/>
        <c:auto val="1"/>
        <c:lblAlgn val="ctr"/>
        <c:lblOffset val="100"/>
        <c:noMultiLvlLbl val="0"/>
      </c:catAx>
      <c:valAx>
        <c:axId val="1637955328"/>
        <c:scaling>
          <c:orientation val="minMax"/>
          <c:max val="10.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4"/>
                    </a:solidFill>
                    <a:latin typeface="+mn-lt"/>
                    <a:ea typeface="+mn-ea"/>
                    <a:cs typeface="+mn-cs"/>
                  </a:defRPr>
                </a:pPr>
                <a:r>
                  <a:rPr lang="en-US">
                    <a:solidFill>
                      <a:schemeClr val="accent4"/>
                    </a:solidFill>
                  </a:rPr>
                  <a:t>U-test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4"/>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4"/>
                </a:solidFill>
                <a:latin typeface="+mn-lt"/>
                <a:ea typeface="+mn-ea"/>
                <a:cs typeface="+mn-cs"/>
              </a:defRPr>
            </a:pPr>
            <a:endParaRPr lang="en-US"/>
          </a:p>
        </c:txPr>
        <c:crossAx val="1799364240"/>
        <c:crosses val="autoZero"/>
        <c:crossBetween val="between"/>
        <c:majorUnit val="1"/>
        <c:minorUnit val="2.0000000000000004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4"/>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Gross</a:t>
            </a:r>
            <a:r>
              <a:rPr lang="en-US" baseline="0"/>
              <a:t> alpha results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[1]Summary!$E$3</c:f>
              <c:strCache>
                <c:ptCount val="1"/>
                <c:pt idx="0">
                  <c:v>Lab. Value</c:v>
                </c:pt>
              </c:strCache>
            </c:strRef>
          </c:tx>
          <c:spPr>
            <a:ln w="25400" cap="rnd">
              <a:noFill/>
              <a:round/>
            </a:ln>
            <a:effectLst/>
          </c:spPr>
          <c:marker>
            <c:symbol val="plus"/>
            <c:size val="8"/>
            <c:spPr>
              <a:noFill/>
              <a:ln w="25400">
                <a:solidFill>
                  <a:srgbClr val="70AD47">
                    <a:lumMod val="50000"/>
                  </a:srgbClr>
                </a:solidFill>
              </a:ln>
              <a:effectLst/>
            </c:spPr>
          </c:marker>
          <c:errBars>
            <c:errDir val="y"/>
            <c:errBarType val="both"/>
            <c:errValType val="cust"/>
            <c:noEndCap val="0"/>
            <c:plus>
              <c:numRef>
                <c:f>[1]Summary!$F$4:$F$9</c:f>
                <c:numCache>
                  <c:formatCode>General</c:formatCode>
                  <c:ptCount val="6"/>
                  <c:pt idx="0">
                    <c:v>7.3999999999999996E-2</c:v>
                  </c:pt>
                  <c:pt idx="1">
                    <c:v>0.1</c:v>
                  </c:pt>
                  <c:pt idx="2">
                    <c:v>0.25</c:v>
                  </c:pt>
                  <c:pt idx="3">
                    <c:v>0.94199999999999995</c:v>
                  </c:pt>
                  <c:pt idx="4">
                    <c:v>0.16</c:v>
                  </c:pt>
                  <c:pt idx="5">
                    <c:v>0.126</c:v>
                  </c:pt>
                </c:numCache>
              </c:numRef>
            </c:plus>
            <c:minus>
              <c:numRef>
                <c:f>[1]Summary!$F$4:$F$9</c:f>
                <c:numCache>
                  <c:formatCode>General</c:formatCode>
                  <c:ptCount val="6"/>
                  <c:pt idx="0">
                    <c:v>7.3999999999999996E-2</c:v>
                  </c:pt>
                  <c:pt idx="1">
                    <c:v>0.1</c:v>
                  </c:pt>
                  <c:pt idx="2">
                    <c:v>0.25</c:v>
                  </c:pt>
                  <c:pt idx="3">
                    <c:v>0.94199999999999995</c:v>
                  </c:pt>
                  <c:pt idx="4">
                    <c:v>0.16</c:v>
                  </c:pt>
                  <c:pt idx="5">
                    <c:v>0.126</c:v>
                  </c:pt>
                </c:numCache>
              </c:numRef>
            </c:minus>
            <c:spPr>
              <a:noFill/>
              <a:ln w="12700" cap="sq" cmpd="sng" algn="ctr">
                <a:solidFill>
                  <a:srgbClr val="70AD47">
                    <a:lumMod val="50000"/>
                  </a:srgbClr>
                </a:solidFill>
                <a:round/>
              </a:ln>
              <a:effectLst/>
            </c:spPr>
          </c:errBars>
          <c:xVal>
            <c:numRef>
              <c:f>[1]Summary!$D$4:$D$9</c:f>
              <c:numCache>
                <c:formatCode>General</c:formatCode>
                <c:ptCount val="6"/>
                <c:pt idx="0">
                  <c:v>1</c:v>
                </c:pt>
                <c:pt idx="1">
                  <c:v>2</c:v>
                </c:pt>
                <c:pt idx="2">
                  <c:v>3</c:v>
                </c:pt>
                <c:pt idx="3">
                  <c:v>3.1</c:v>
                </c:pt>
                <c:pt idx="4">
                  <c:v>4</c:v>
                </c:pt>
                <c:pt idx="5">
                  <c:v>5</c:v>
                </c:pt>
              </c:numCache>
            </c:numRef>
          </c:xVal>
          <c:yVal>
            <c:numRef>
              <c:f>[1]Summary!$E$4:$E$9</c:f>
              <c:numCache>
                <c:formatCode>General</c:formatCode>
                <c:ptCount val="6"/>
                <c:pt idx="0">
                  <c:v>1.02</c:v>
                </c:pt>
                <c:pt idx="1">
                  <c:v>0.57999999999999996</c:v>
                </c:pt>
                <c:pt idx="2">
                  <c:v>0.627</c:v>
                </c:pt>
                <c:pt idx="3">
                  <c:v>0.504</c:v>
                </c:pt>
                <c:pt idx="4">
                  <c:v>0.86</c:v>
                </c:pt>
                <c:pt idx="5">
                  <c:v>0.78200000000000003</c:v>
                </c:pt>
              </c:numCache>
            </c:numRef>
          </c:yVal>
          <c:smooth val="0"/>
          <c:extLst>
            <c:ext xmlns:c16="http://schemas.microsoft.com/office/drawing/2014/chart" uri="{C3380CC4-5D6E-409C-BE32-E72D297353CC}">
              <c16:uniqueId val="{00000000-E8F5-4987-BBF0-7D3FF5432C8E}"/>
            </c:ext>
          </c:extLst>
        </c:ser>
        <c:ser>
          <c:idx val="1"/>
          <c:order val="1"/>
          <c:tx>
            <c:v>Certified Value</c:v>
          </c:tx>
          <c:spPr>
            <a:ln w="15875" cap="rnd">
              <a:solidFill>
                <a:schemeClr val="tx1"/>
              </a:solidFill>
              <a:round/>
            </a:ln>
            <a:effectLst/>
          </c:spPr>
          <c:marker>
            <c:symbol val="none"/>
          </c:marker>
          <c:yVal>
            <c:numRef>
              <c:f>[1]Summary!$A$4:$A$9</c:f>
              <c:numCache>
                <c:formatCode>General</c:formatCode>
                <c:ptCount val="6"/>
                <c:pt idx="0">
                  <c:v>1.0212000000000001</c:v>
                </c:pt>
                <c:pt idx="1">
                  <c:v>1.0212000000000001</c:v>
                </c:pt>
                <c:pt idx="2">
                  <c:v>1.0212000000000001</c:v>
                </c:pt>
                <c:pt idx="3">
                  <c:v>1.0212000000000001</c:v>
                </c:pt>
                <c:pt idx="4">
                  <c:v>1.0212000000000001</c:v>
                </c:pt>
                <c:pt idx="5">
                  <c:v>1.0212000000000001</c:v>
                </c:pt>
              </c:numCache>
            </c:numRef>
          </c:yVal>
          <c:smooth val="0"/>
          <c:extLst>
            <c:ext xmlns:c16="http://schemas.microsoft.com/office/drawing/2014/chart" uri="{C3380CC4-5D6E-409C-BE32-E72D297353CC}">
              <c16:uniqueId val="{00000001-E8F5-4987-BBF0-7D3FF5432C8E}"/>
            </c:ext>
          </c:extLst>
        </c:ser>
        <c:ser>
          <c:idx val="2"/>
          <c:order val="2"/>
          <c:tx>
            <c:v>Lower Limit</c:v>
          </c:tx>
          <c:spPr>
            <a:ln w="12700" cap="rnd">
              <a:solidFill>
                <a:schemeClr val="tx1"/>
              </a:solidFill>
              <a:prstDash val="lgDashDot"/>
              <a:round/>
            </a:ln>
            <a:effectLst/>
          </c:spPr>
          <c:marker>
            <c:symbol val="none"/>
          </c:marker>
          <c:yVal>
            <c:numRef>
              <c:f>[1]Summary!$B$4:$B$9</c:f>
              <c:numCache>
                <c:formatCode>General</c:formatCode>
                <c:ptCount val="6"/>
                <c:pt idx="0">
                  <c:v>0.51060000000000005</c:v>
                </c:pt>
                <c:pt idx="1">
                  <c:v>0.51060000000000005</c:v>
                </c:pt>
                <c:pt idx="2">
                  <c:v>0.51060000000000005</c:v>
                </c:pt>
                <c:pt idx="3">
                  <c:v>0.51060000000000005</c:v>
                </c:pt>
                <c:pt idx="4">
                  <c:v>0.51060000000000005</c:v>
                </c:pt>
                <c:pt idx="5">
                  <c:v>0.51060000000000005</c:v>
                </c:pt>
              </c:numCache>
            </c:numRef>
          </c:yVal>
          <c:smooth val="0"/>
          <c:extLst>
            <c:ext xmlns:c16="http://schemas.microsoft.com/office/drawing/2014/chart" uri="{C3380CC4-5D6E-409C-BE32-E72D297353CC}">
              <c16:uniqueId val="{00000002-E8F5-4987-BBF0-7D3FF5432C8E}"/>
            </c:ext>
          </c:extLst>
        </c:ser>
        <c:ser>
          <c:idx val="3"/>
          <c:order val="3"/>
          <c:tx>
            <c:v>Upper Limit</c:v>
          </c:tx>
          <c:spPr>
            <a:ln w="12700" cap="rnd">
              <a:solidFill>
                <a:schemeClr val="tx1"/>
              </a:solidFill>
              <a:prstDash val="dashDot"/>
              <a:round/>
            </a:ln>
            <a:effectLst/>
          </c:spPr>
          <c:marker>
            <c:symbol val="none"/>
          </c:marker>
          <c:yVal>
            <c:numRef>
              <c:f>[1]Summary!$C$4:$C$9</c:f>
              <c:numCache>
                <c:formatCode>General</c:formatCode>
                <c:ptCount val="6"/>
                <c:pt idx="0">
                  <c:v>1.3800999999999999</c:v>
                </c:pt>
                <c:pt idx="1">
                  <c:v>1.3800999999999999</c:v>
                </c:pt>
                <c:pt idx="2">
                  <c:v>1.3800999999999999</c:v>
                </c:pt>
                <c:pt idx="3">
                  <c:v>1.3800999999999999</c:v>
                </c:pt>
                <c:pt idx="4">
                  <c:v>1.3800999999999999</c:v>
                </c:pt>
                <c:pt idx="5">
                  <c:v>1.3800999999999999</c:v>
                </c:pt>
              </c:numCache>
            </c:numRef>
          </c:yVal>
          <c:smooth val="0"/>
          <c:extLst>
            <c:ext xmlns:c16="http://schemas.microsoft.com/office/drawing/2014/chart" uri="{C3380CC4-5D6E-409C-BE32-E72D297353CC}">
              <c16:uniqueId val="{00000003-E8F5-4987-BBF0-7D3FF5432C8E}"/>
            </c:ext>
          </c:extLst>
        </c:ser>
        <c:dLbls>
          <c:showLegendKey val="0"/>
          <c:showVal val="0"/>
          <c:showCatName val="0"/>
          <c:showSerName val="0"/>
          <c:showPercent val="0"/>
          <c:showBubbleSize val="0"/>
        </c:dLbls>
        <c:axId val="531684152"/>
        <c:axId val="531687104"/>
      </c:scatterChart>
      <c:valAx>
        <c:axId val="531684152"/>
        <c:scaling>
          <c:orientation val="minMax"/>
          <c:max val="5"/>
          <c:min val="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Laboratory</a:t>
                </a:r>
                <a:r>
                  <a:rPr lang="en-AU" baseline="0"/>
                  <a:t> number</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687104"/>
        <c:crosses val="autoZero"/>
        <c:crossBetween val="midCat"/>
        <c:majorUnit val="1"/>
      </c:valAx>
      <c:valAx>
        <c:axId val="531687104"/>
        <c:scaling>
          <c:orientation val="minMax"/>
          <c:max val="2.5"/>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Activity Concentration (Bq/L)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168415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accent4"/>
                </a:solidFill>
                <a:latin typeface="+mn-lt"/>
                <a:ea typeface="+mn-ea"/>
                <a:cs typeface="+mn-cs"/>
              </a:defRPr>
            </a:pPr>
            <a:r>
              <a:rPr lang="en-US">
                <a:solidFill>
                  <a:schemeClr val="accent4"/>
                </a:solidFill>
              </a:rPr>
              <a:t>Gross</a:t>
            </a:r>
            <a:r>
              <a:rPr lang="en-US" baseline="0">
                <a:solidFill>
                  <a:schemeClr val="accent4"/>
                </a:solidFill>
              </a:rPr>
              <a:t> beta results</a:t>
            </a:r>
            <a:endParaRPr lang="en-US">
              <a:solidFill>
                <a:schemeClr val="accent4"/>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accent4"/>
              </a:solidFill>
              <a:latin typeface="+mn-lt"/>
              <a:ea typeface="+mn-ea"/>
              <a:cs typeface="+mn-cs"/>
            </a:defRPr>
          </a:pPr>
          <a:endParaRPr lang="en-US"/>
        </a:p>
      </c:txPr>
    </c:title>
    <c:autoTitleDeleted val="0"/>
    <c:plotArea>
      <c:layout>
        <c:manualLayout>
          <c:layoutTarget val="inner"/>
          <c:xMode val="edge"/>
          <c:yMode val="edge"/>
          <c:x val="8.2045130832075944E-2"/>
          <c:y val="0.21400408053658129"/>
          <c:w val="0.90017711717388849"/>
          <c:h val="0.64409744178397133"/>
        </c:manualLayout>
      </c:layout>
      <c:scatterChart>
        <c:scatterStyle val="lineMarker"/>
        <c:varyColors val="0"/>
        <c:ser>
          <c:idx val="0"/>
          <c:order val="0"/>
          <c:tx>
            <c:v>Lab. Value</c:v>
          </c:tx>
          <c:spPr>
            <a:ln w="25400" cap="rnd">
              <a:noFill/>
              <a:round/>
            </a:ln>
            <a:effectLst/>
          </c:spPr>
          <c:marker>
            <c:symbol val="plus"/>
            <c:size val="8"/>
            <c:spPr>
              <a:noFill/>
              <a:ln w="25400">
                <a:solidFill>
                  <a:schemeClr val="accent2"/>
                </a:solidFill>
              </a:ln>
              <a:effectLst/>
            </c:spPr>
          </c:marker>
          <c:errBars>
            <c:errDir val="y"/>
            <c:errBarType val="both"/>
            <c:errValType val="cust"/>
            <c:noEndCap val="0"/>
            <c:plus>
              <c:numRef>
                <c:f>Summary!$N$4:$N$9</c:f>
                <c:numCache>
                  <c:formatCode>General</c:formatCode>
                  <c:ptCount val="6"/>
                  <c:pt idx="0">
                    <c:v>6.4000000000000001E-2</c:v>
                  </c:pt>
                  <c:pt idx="1">
                    <c:v>0.08</c:v>
                  </c:pt>
                  <c:pt idx="2">
                    <c:v>1.004</c:v>
                  </c:pt>
                  <c:pt idx="3">
                    <c:v>0.94199999999999995</c:v>
                  </c:pt>
                  <c:pt idx="4">
                    <c:v>0.4</c:v>
                  </c:pt>
                  <c:pt idx="5">
                    <c:v>0.28000000000000003</c:v>
                  </c:pt>
                </c:numCache>
              </c:numRef>
            </c:plus>
            <c:minus>
              <c:numRef>
                <c:f>Summary!$N$4:$N$9</c:f>
                <c:numCache>
                  <c:formatCode>General</c:formatCode>
                  <c:ptCount val="6"/>
                  <c:pt idx="0">
                    <c:v>6.4000000000000001E-2</c:v>
                  </c:pt>
                  <c:pt idx="1">
                    <c:v>0.08</c:v>
                  </c:pt>
                  <c:pt idx="2">
                    <c:v>1.004</c:v>
                  </c:pt>
                  <c:pt idx="3">
                    <c:v>0.94199999999999995</c:v>
                  </c:pt>
                  <c:pt idx="4">
                    <c:v>0.4</c:v>
                  </c:pt>
                  <c:pt idx="5">
                    <c:v>0.28000000000000003</c:v>
                  </c:pt>
                </c:numCache>
              </c:numRef>
            </c:minus>
            <c:spPr>
              <a:noFill/>
              <a:ln w="12700" cap="sq" cmpd="sng" algn="ctr">
                <a:solidFill>
                  <a:schemeClr val="accent2"/>
                </a:solidFill>
                <a:round/>
              </a:ln>
              <a:effectLst/>
            </c:spPr>
          </c:errBars>
          <c:xVal>
            <c:numRef>
              <c:f>Summary!$L$4:$L$9</c:f>
              <c:numCache>
                <c:formatCode>General</c:formatCode>
                <c:ptCount val="6"/>
                <c:pt idx="0">
                  <c:v>1</c:v>
                </c:pt>
                <c:pt idx="1">
                  <c:v>2</c:v>
                </c:pt>
                <c:pt idx="2">
                  <c:v>3</c:v>
                </c:pt>
                <c:pt idx="3">
                  <c:v>3.1</c:v>
                </c:pt>
                <c:pt idx="4">
                  <c:v>4</c:v>
                </c:pt>
                <c:pt idx="5">
                  <c:v>5</c:v>
                </c:pt>
              </c:numCache>
            </c:numRef>
          </c:xVal>
          <c:yVal>
            <c:numRef>
              <c:f>Summary!$M$4:$M$9</c:f>
              <c:numCache>
                <c:formatCode>0.00</c:formatCode>
                <c:ptCount val="6"/>
                <c:pt idx="0">
                  <c:v>1.5509999999999999</c:v>
                </c:pt>
                <c:pt idx="1">
                  <c:v>1.04</c:v>
                </c:pt>
                <c:pt idx="2">
                  <c:v>2.508</c:v>
                </c:pt>
                <c:pt idx="3">
                  <c:v>2.3570000000000002</c:v>
                </c:pt>
                <c:pt idx="4">
                  <c:v>1.8</c:v>
                </c:pt>
                <c:pt idx="5">
                  <c:v>2.33</c:v>
                </c:pt>
              </c:numCache>
            </c:numRef>
          </c:yVal>
          <c:smooth val="0"/>
          <c:extLst>
            <c:ext xmlns:c16="http://schemas.microsoft.com/office/drawing/2014/chart" uri="{C3380CC4-5D6E-409C-BE32-E72D297353CC}">
              <c16:uniqueId val="{00000000-803E-4159-808F-F51E4359947A}"/>
            </c:ext>
          </c:extLst>
        </c:ser>
        <c:ser>
          <c:idx val="1"/>
          <c:order val="1"/>
          <c:tx>
            <c:v>Certified Value</c:v>
          </c:tx>
          <c:spPr>
            <a:ln w="15875" cap="rnd">
              <a:solidFill>
                <a:schemeClr val="tx1"/>
              </a:solidFill>
              <a:round/>
            </a:ln>
            <a:effectLst/>
          </c:spPr>
          <c:marker>
            <c:symbol val="none"/>
          </c:marker>
          <c:yVal>
            <c:numRef>
              <c:f>Summary!$I$4:$I$9</c:f>
              <c:numCache>
                <c:formatCode>0.00</c:formatCode>
                <c:ptCount val="6"/>
                <c:pt idx="0">
                  <c:v>1.4725999999999999</c:v>
                </c:pt>
                <c:pt idx="1">
                  <c:v>1.4725999999999999</c:v>
                </c:pt>
                <c:pt idx="2">
                  <c:v>1.4725999999999999</c:v>
                </c:pt>
                <c:pt idx="3">
                  <c:v>1.4725999999999999</c:v>
                </c:pt>
                <c:pt idx="4">
                  <c:v>1.4725999999999999</c:v>
                </c:pt>
                <c:pt idx="5">
                  <c:v>1.4725999999999999</c:v>
                </c:pt>
              </c:numCache>
            </c:numRef>
          </c:yVal>
          <c:smooth val="0"/>
          <c:extLst>
            <c:ext xmlns:c16="http://schemas.microsoft.com/office/drawing/2014/chart" uri="{C3380CC4-5D6E-409C-BE32-E72D297353CC}">
              <c16:uniqueId val="{00000001-803E-4159-808F-F51E4359947A}"/>
            </c:ext>
          </c:extLst>
        </c:ser>
        <c:ser>
          <c:idx val="2"/>
          <c:order val="2"/>
          <c:tx>
            <c:v>Upper Limit</c:v>
          </c:tx>
          <c:spPr>
            <a:ln w="12700" cap="rnd">
              <a:solidFill>
                <a:schemeClr val="tx1"/>
              </a:solidFill>
              <a:prstDash val="dashDot"/>
              <a:round/>
            </a:ln>
            <a:effectLst/>
          </c:spPr>
          <c:marker>
            <c:symbol val="none"/>
          </c:marker>
          <c:yVal>
            <c:numRef>
              <c:f>Summary!$K$4:$K$9</c:f>
              <c:numCache>
                <c:formatCode>0.00</c:formatCode>
                <c:ptCount val="6"/>
                <c:pt idx="0">
                  <c:v>1.8536999999999999</c:v>
                </c:pt>
                <c:pt idx="1">
                  <c:v>1.8536999999999999</c:v>
                </c:pt>
                <c:pt idx="2">
                  <c:v>1.8536999999999999</c:v>
                </c:pt>
                <c:pt idx="3">
                  <c:v>1.8536999999999999</c:v>
                </c:pt>
                <c:pt idx="4">
                  <c:v>1.8536999999999999</c:v>
                </c:pt>
                <c:pt idx="5">
                  <c:v>1.8536999999999999</c:v>
                </c:pt>
              </c:numCache>
            </c:numRef>
          </c:yVal>
          <c:smooth val="0"/>
          <c:extLst>
            <c:ext xmlns:c16="http://schemas.microsoft.com/office/drawing/2014/chart" uri="{C3380CC4-5D6E-409C-BE32-E72D297353CC}">
              <c16:uniqueId val="{00000002-803E-4159-808F-F51E4359947A}"/>
            </c:ext>
          </c:extLst>
        </c:ser>
        <c:ser>
          <c:idx val="3"/>
          <c:order val="3"/>
          <c:tx>
            <c:v>Lower Limit</c:v>
          </c:tx>
          <c:spPr>
            <a:ln w="12700" cap="rnd">
              <a:solidFill>
                <a:schemeClr val="tx1"/>
              </a:solidFill>
              <a:prstDash val="lgDashDot"/>
              <a:round/>
            </a:ln>
            <a:effectLst/>
          </c:spPr>
          <c:marker>
            <c:symbol val="none"/>
          </c:marker>
          <c:yVal>
            <c:numRef>
              <c:f>Summary!$J$4:$J$9</c:f>
              <c:numCache>
                <c:formatCode>0.00</c:formatCode>
                <c:ptCount val="6"/>
                <c:pt idx="0">
                  <c:v>0.8879999999999999</c:v>
                </c:pt>
                <c:pt idx="1">
                  <c:v>0.8879999999999999</c:v>
                </c:pt>
                <c:pt idx="2">
                  <c:v>0.8879999999999999</c:v>
                </c:pt>
                <c:pt idx="3">
                  <c:v>0.8879999999999999</c:v>
                </c:pt>
                <c:pt idx="4">
                  <c:v>0.8879999999999999</c:v>
                </c:pt>
                <c:pt idx="5">
                  <c:v>0.8879999999999999</c:v>
                </c:pt>
              </c:numCache>
            </c:numRef>
          </c:yVal>
          <c:smooth val="0"/>
          <c:extLst>
            <c:ext xmlns:c16="http://schemas.microsoft.com/office/drawing/2014/chart" uri="{C3380CC4-5D6E-409C-BE32-E72D297353CC}">
              <c16:uniqueId val="{00000003-803E-4159-808F-F51E4359947A}"/>
            </c:ext>
          </c:extLst>
        </c:ser>
        <c:dLbls>
          <c:showLegendKey val="0"/>
          <c:showVal val="0"/>
          <c:showCatName val="0"/>
          <c:showSerName val="0"/>
          <c:showPercent val="0"/>
          <c:showBubbleSize val="0"/>
        </c:dLbls>
        <c:axId val="531684152"/>
        <c:axId val="531687104"/>
      </c:scatterChart>
      <c:valAx>
        <c:axId val="531684152"/>
        <c:scaling>
          <c:orientation val="minMax"/>
          <c:max val="5"/>
          <c:min val="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accent4"/>
                    </a:solidFill>
                    <a:latin typeface="+mn-lt"/>
                    <a:ea typeface="+mn-ea"/>
                    <a:cs typeface="+mn-cs"/>
                  </a:defRPr>
                </a:pPr>
                <a:r>
                  <a:rPr lang="en-AU">
                    <a:solidFill>
                      <a:schemeClr val="accent4"/>
                    </a:solidFill>
                  </a:rPr>
                  <a:t>Laboratory</a:t>
                </a:r>
                <a:r>
                  <a:rPr lang="en-AU" baseline="0">
                    <a:solidFill>
                      <a:schemeClr val="accent4"/>
                    </a:solidFill>
                  </a:rPr>
                  <a:t> number</a:t>
                </a:r>
                <a:endParaRPr lang="en-AU">
                  <a:solidFill>
                    <a:schemeClr val="accent4"/>
                  </a:solidFill>
                </a:endParaRPr>
              </a:p>
            </c:rich>
          </c:tx>
          <c:layout>
            <c:manualLayout>
              <c:xMode val="edge"/>
              <c:yMode val="edge"/>
              <c:x val="0.43754422001597626"/>
              <c:y val="0.931748550051392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4"/>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accent4"/>
                </a:solidFill>
                <a:latin typeface="+mn-lt"/>
                <a:ea typeface="+mn-ea"/>
                <a:cs typeface="+mn-cs"/>
              </a:defRPr>
            </a:pPr>
            <a:endParaRPr lang="en-US"/>
          </a:p>
        </c:txPr>
        <c:crossAx val="531687104"/>
        <c:crosses val="autoZero"/>
        <c:crossBetween val="midCat"/>
        <c:majorUnit val="1"/>
      </c:valAx>
      <c:valAx>
        <c:axId val="531687104"/>
        <c:scaling>
          <c:orientation val="minMax"/>
          <c:max val="4"/>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accent4"/>
                    </a:solidFill>
                    <a:latin typeface="+mn-lt"/>
                    <a:ea typeface="+mn-ea"/>
                    <a:cs typeface="+mn-cs"/>
                  </a:defRPr>
                </a:pPr>
                <a:r>
                  <a:rPr lang="en-AU">
                    <a:solidFill>
                      <a:schemeClr val="accent4"/>
                    </a:solidFill>
                  </a:rPr>
                  <a:t>Activity concentration (Bq/L)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4"/>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accent4"/>
                </a:solidFill>
                <a:latin typeface="+mn-lt"/>
                <a:ea typeface="+mn-ea"/>
                <a:cs typeface="+mn-cs"/>
              </a:defRPr>
            </a:pPr>
            <a:endParaRPr lang="en-US"/>
          </a:p>
        </c:txPr>
        <c:crossAx val="531684152"/>
        <c:crosses val="autoZero"/>
        <c:crossBetween val="midCat"/>
      </c:valAx>
      <c:spPr>
        <a:noFill/>
        <a:ln>
          <a:noFill/>
        </a:ln>
        <a:effectLst/>
      </c:spPr>
    </c:plotArea>
    <c:legend>
      <c:legendPos val="b"/>
      <c:layout>
        <c:manualLayout>
          <c:xMode val="edge"/>
          <c:yMode val="edge"/>
          <c:x val="0.18158007610368043"/>
          <c:y val="0.10916399600993269"/>
          <c:w val="0.72879387078114488"/>
          <c:h val="6.06473247447842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4"/>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JMHLW13</b:Tag>
    <b:SourceType>InternetSite</b:SourceType>
    <b:Guid>{674822F6-ECF1-4495-91A8-D3DD47426BBB}</b:Guid>
    <b:Title>Levels of Radioactive Contaminants in Foods Tested in Respective Prefectures</b:Title>
    <b:Year>2015</b:Year>
    <b:Author>
      <b:Author>
        <b:Corporate>Japanese Ministry of Health, Labour and Welfare</b:Corporate>
      </b:Author>
    </b:Author>
    <b:YearAccessed>2015</b:YearAccessed>
    <b:MonthAccessed>August</b:MonthAccessed>
    <b:DayAccessed>14</b:DayAccessed>
    <b:URL>http://www.mhlw.go.jp/english/topics/2011eq/index_food_radioactive.html</b:URL>
    <b:RefOrder>4</b:RefOrder>
  </b:Source>
  <b:Source>
    <b:Tag>IAEA88</b:Tag>
    <b:SourceType>Report</b:SourceType>
    <b:Guid>{3F8AF9EF-38B7-4638-B024-8FA2452A3362}</b:Guid>
    <b:Author>
      <b:Author>
        <b:Corporate>IAEA</b:Corporate>
      </b:Author>
    </b:Author>
    <b:Title>The Radiological Incident in Goiania</b:Title>
    <b:Year>1988</b:Year>
    <b:City>Vienna</b:City>
    <b:Publisher>International Atomic Energy Agency</b:Publisher>
    <b:RefOrder>3</b:RefOrder>
  </b:Source>
</b:Sources>
</file>

<file path=customXml/itemProps1.xml><?xml version="1.0" encoding="utf-8"?>
<ds:datastoreItem xmlns:ds="http://schemas.openxmlformats.org/officeDocument/2006/customXml" ds:itemID="{64BEF50D-E971-43B2-B48C-BA063C1D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D177332 ARPANSA_Generic_Word_Document(3).DOTX</Template>
  <TotalTime>108</TotalTime>
  <Pages>14</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sforcl</dc:creator>
  <cp:lastModifiedBy>Kelsie Kruse</cp:lastModifiedBy>
  <cp:revision>9</cp:revision>
  <cp:lastPrinted>2017-04-24T05:19:00Z</cp:lastPrinted>
  <dcterms:created xsi:type="dcterms:W3CDTF">2021-08-31T13:11:00Z</dcterms:created>
  <dcterms:modified xsi:type="dcterms:W3CDTF">2021-09-02T03:01:00Z</dcterms:modified>
</cp:coreProperties>
</file>