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5E32" w14:textId="77777777" w:rsidR="00650B9A" w:rsidRPr="00650B9A" w:rsidRDefault="00650B9A" w:rsidP="00D6164F">
      <w:pPr>
        <w:pStyle w:val="Heading1"/>
        <w:spacing w:before="600"/>
        <w:jc w:val="center"/>
      </w:pPr>
      <w:r w:rsidRPr="00650B9A">
        <w:t xml:space="preserve">Summary </w:t>
      </w:r>
      <w:r w:rsidR="006C5254">
        <w:t>of</w:t>
      </w:r>
      <w:r w:rsidR="006F0305">
        <w:t xml:space="preserve"> </w:t>
      </w:r>
      <w:r w:rsidR="00D23932">
        <w:t>ANSTO</w:t>
      </w:r>
      <w:r w:rsidR="006F0305">
        <w:t>-ARPANSA</w:t>
      </w:r>
      <w:r w:rsidRPr="00650B9A">
        <w:t xml:space="preserve"> Liaison Forum</w:t>
      </w:r>
      <w:r w:rsidR="00D6164F">
        <w:t xml:space="preserve"> (</w:t>
      </w:r>
      <w:r w:rsidR="00C7735E">
        <w:t>A</w:t>
      </w:r>
      <w:r w:rsidR="00D6164F">
        <w:t>ALF)</w:t>
      </w:r>
      <w:r w:rsidRPr="00650B9A">
        <w:t xml:space="preserve"> Meeting</w:t>
      </w:r>
    </w:p>
    <w:p w14:paraId="2D236FFE" w14:textId="4AAF20DF" w:rsidR="00650B9A" w:rsidRDefault="00C415C2" w:rsidP="00650B9A">
      <w:pPr>
        <w:pStyle w:val="Heading1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6 September 2023</w:t>
      </w:r>
      <w:r w:rsidR="00EB0384" w:rsidRPr="00BB23C6">
        <w:rPr>
          <w:sz w:val="24"/>
          <w:szCs w:val="24"/>
        </w:rPr>
        <w:t xml:space="preserve"> </w:t>
      </w:r>
      <w:r>
        <w:rPr>
          <w:sz w:val="24"/>
          <w:szCs w:val="24"/>
        </w:rPr>
        <w:t>3:30 pm – 5:00</w:t>
      </w:r>
      <w:r w:rsidR="00EB0384" w:rsidRPr="00BB23C6">
        <w:rPr>
          <w:sz w:val="24"/>
          <w:szCs w:val="24"/>
        </w:rPr>
        <w:t xml:space="preserve"> pm</w:t>
      </w:r>
      <w:r>
        <w:rPr>
          <w:sz w:val="24"/>
          <w:szCs w:val="24"/>
        </w:rPr>
        <w:t>, ANSTO Lucas Heights</w:t>
      </w:r>
    </w:p>
    <w:p w14:paraId="438C3638" w14:textId="77777777" w:rsidR="006C5254" w:rsidRDefault="006C5254" w:rsidP="00BB23C6">
      <w:r w:rsidRPr="00BB23C6">
        <w:rPr>
          <w:rFonts w:ascii="Calibri" w:eastAsiaTheme="majorEastAsia" w:hAnsi="Calibri" w:cstheme="majorBidi"/>
          <w:b/>
          <w:bCs/>
          <w:color w:val="4E1A74"/>
          <w:sz w:val="24"/>
          <w:szCs w:val="24"/>
        </w:rPr>
        <w:t>Participants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C5254" w14:paraId="43234296" w14:textId="77777777" w:rsidTr="0BA1005A">
        <w:tc>
          <w:tcPr>
            <w:tcW w:w="4673" w:type="dxa"/>
          </w:tcPr>
          <w:p w14:paraId="7508DF1A" w14:textId="77777777"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ARPANSA</w:t>
            </w:r>
          </w:p>
        </w:tc>
        <w:tc>
          <w:tcPr>
            <w:tcW w:w="4955" w:type="dxa"/>
          </w:tcPr>
          <w:p w14:paraId="7063E3B3" w14:textId="77777777"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ANSTO</w:t>
            </w:r>
          </w:p>
        </w:tc>
      </w:tr>
      <w:tr w:rsidR="006C5254" w14:paraId="485B3BF6" w14:textId="77777777" w:rsidTr="0BA1005A">
        <w:tc>
          <w:tcPr>
            <w:tcW w:w="4673" w:type="dxa"/>
          </w:tcPr>
          <w:p w14:paraId="3ABE585F" w14:textId="50B6D038" w:rsidR="006C5254" w:rsidRDefault="006C5254" w:rsidP="00BB23C6">
            <w:pPr>
              <w:spacing w:before="40" w:after="40"/>
            </w:pPr>
            <w:r>
              <w:t xml:space="preserve">Dr </w:t>
            </w:r>
            <w:r w:rsidR="003B2AFB">
              <w:t>Gillian Hirth</w:t>
            </w:r>
            <w:r>
              <w:t>, CEO</w:t>
            </w:r>
          </w:p>
        </w:tc>
        <w:tc>
          <w:tcPr>
            <w:tcW w:w="4955" w:type="dxa"/>
          </w:tcPr>
          <w:p w14:paraId="33511339" w14:textId="5358E0ED" w:rsidR="006C5254" w:rsidRDefault="003979C9" w:rsidP="00BB23C6">
            <w:pPr>
              <w:spacing w:before="40" w:after="40"/>
            </w:pPr>
            <w:r>
              <w:t xml:space="preserve">Mr </w:t>
            </w:r>
            <w:r w:rsidR="003B2AFB">
              <w:t>Shaun Jenkinson</w:t>
            </w:r>
            <w:r w:rsidR="006C5254">
              <w:t>, CEO</w:t>
            </w:r>
          </w:p>
        </w:tc>
      </w:tr>
      <w:tr w:rsidR="00C82BB7" w14:paraId="395DEB3C" w14:textId="77777777" w:rsidTr="0BA1005A">
        <w:tc>
          <w:tcPr>
            <w:tcW w:w="4673" w:type="dxa"/>
          </w:tcPr>
          <w:p w14:paraId="6F18266E" w14:textId="77777777" w:rsidR="00C82BB7" w:rsidRDefault="00C82BB7" w:rsidP="00C82BB7">
            <w:pPr>
              <w:spacing w:before="40" w:after="40"/>
            </w:pPr>
            <w:r>
              <w:t>Mr Jim Scott, Chief Regulatory Officer</w:t>
            </w:r>
          </w:p>
        </w:tc>
        <w:tc>
          <w:tcPr>
            <w:tcW w:w="4955" w:type="dxa"/>
          </w:tcPr>
          <w:p w14:paraId="0C87308B" w14:textId="1055D49B" w:rsidR="00C82BB7" w:rsidRDefault="00C415C2" w:rsidP="00C82BB7">
            <w:pPr>
              <w:spacing w:before="40" w:after="40"/>
            </w:pPr>
            <w:r>
              <w:t>Ms Emily Hodgson</w:t>
            </w:r>
            <w:r w:rsidR="00C82BB7">
              <w:t xml:space="preserve">, </w:t>
            </w:r>
            <w:r>
              <w:t xml:space="preserve">Acting </w:t>
            </w:r>
            <w:r w:rsidR="00C82BB7">
              <w:t xml:space="preserve">Chief Operating Officer </w:t>
            </w:r>
          </w:p>
        </w:tc>
      </w:tr>
      <w:tr w:rsidR="00C415C2" w14:paraId="31848505" w14:textId="77777777" w:rsidTr="0BA1005A">
        <w:tc>
          <w:tcPr>
            <w:tcW w:w="4673" w:type="dxa"/>
          </w:tcPr>
          <w:p w14:paraId="2FBED8ED" w14:textId="5FE19033" w:rsidR="00C415C2" w:rsidRDefault="00C415C2" w:rsidP="00C82BB7">
            <w:pPr>
              <w:spacing w:before="40" w:after="40"/>
            </w:pPr>
            <w:r>
              <w:t>Mr Vaz Mottl, Director, Facility Safety</w:t>
            </w:r>
          </w:p>
        </w:tc>
        <w:tc>
          <w:tcPr>
            <w:tcW w:w="4955" w:type="dxa"/>
          </w:tcPr>
          <w:p w14:paraId="4794C634" w14:textId="6DCF540A" w:rsidR="00C415C2" w:rsidDel="00C415C2" w:rsidRDefault="00C415C2" w:rsidP="00C82BB7">
            <w:pPr>
              <w:spacing w:before="40" w:after="40"/>
            </w:pPr>
            <w:r>
              <w:t>Mr Hefin Griffiths, Chief Nuclear Officer</w:t>
            </w:r>
          </w:p>
        </w:tc>
      </w:tr>
      <w:tr w:rsidR="00C82BB7" w14:paraId="3C4B58FE" w14:textId="77777777" w:rsidTr="0BA1005A">
        <w:tc>
          <w:tcPr>
            <w:tcW w:w="4673" w:type="dxa"/>
          </w:tcPr>
          <w:p w14:paraId="6316331D" w14:textId="2276DB35" w:rsidR="00C82BB7" w:rsidRDefault="00C415C2" w:rsidP="00C82BB7">
            <w:pPr>
              <w:spacing w:before="40" w:after="40"/>
            </w:pPr>
            <w:r>
              <w:t>Mr Andrew McCormick, Senior Regulatory Officer</w:t>
            </w:r>
          </w:p>
        </w:tc>
        <w:tc>
          <w:tcPr>
            <w:tcW w:w="4955" w:type="dxa"/>
          </w:tcPr>
          <w:p w14:paraId="65B3C2F7" w14:textId="78A16DF2" w:rsidR="00C82BB7" w:rsidRDefault="00C82BB7" w:rsidP="00C82BB7">
            <w:pPr>
              <w:spacing w:before="40" w:after="40"/>
            </w:pPr>
            <w:r>
              <w:t xml:space="preserve">Mr Jakob </w:t>
            </w:r>
            <w:proofErr w:type="spellStart"/>
            <w:r>
              <w:t>Vujcic</w:t>
            </w:r>
            <w:proofErr w:type="spellEnd"/>
            <w:r w:rsidR="22B5AEA3">
              <w:t>, General Manager, Regulatory &amp; Governance</w:t>
            </w:r>
          </w:p>
        </w:tc>
      </w:tr>
      <w:tr w:rsidR="00C82BB7" w14:paraId="240FF54E" w14:textId="77777777" w:rsidTr="0BA1005A">
        <w:tc>
          <w:tcPr>
            <w:tcW w:w="4673" w:type="dxa"/>
          </w:tcPr>
          <w:p w14:paraId="31A1EB41" w14:textId="4310D87C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2BCAF46E" w14:textId="626A62F4" w:rsidR="00C82BB7" w:rsidRDefault="00C82BB7" w:rsidP="00C82BB7">
            <w:pPr>
              <w:spacing w:before="40" w:after="40"/>
            </w:pPr>
            <w:r>
              <w:t>Mr Con Lyras, Chief Engineer</w:t>
            </w:r>
          </w:p>
        </w:tc>
      </w:tr>
      <w:tr w:rsidR="00C82BB7" w14:paraId="56FA7C61" w14:textId="77777777" w:rsidTr="0BA1005A">
        <w:tc>
          <w:tcPr>
            <w:tcW w:w="4673" w:type="dxa"/>
          </w:tcPr>
          <w:p w14:paraId="567D1D46" w14:textId="77777777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18D8F9F9" w14:textId="0068971F" w:rsidR="00C82BB7" w:rsidRDefault="00C82BB7" w:rsidP="00C82BB7">
            <w:pPr>
              <w:spacing w:before="40" w:after="40"/>
            </w:pPr>
            <w:r>
              <w:t xml:space="preserve">Ms Pamela Naidoo-Ameglio, Group Executive Nuclear </w:t>
            </w:r>
            <w:r w:rsidR="00C415C2">
              <w:t>Operations and Nuclear Medicine (virtual)</w:t>
            </w:r>
          </w:p>
        </w:tc>
      </w:tr>
      <w:tr w:rsidR="00C82BB7" w14:paraId="613C2466" w14:textId="77777777" w:rsidTr="0BA1005A">
        <w:tc>
          <w:tcPr>
            <w:tcW w:w="4673" w:type="dxa"/>
          </w:tcPr>
          <w:p w14:paraId="4DEC5A63" w14:textId="77777777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7F54548A" w14:textId="3F42C05C" w:rsidR="00C415C2" w:rsidRDefault="00C415C2" w:rsidP="00C82BB7">
            <w:pPr>
              <w:spacing w:before="40" w:after="40"/>
            </w:pPr>
            <w:r>
              <w:t>Ms Ciara Collins, Manager Regulatory Affairs and Compliance</w:t>
            </w:r>
          </w:p>
        </w:tc>
      </w:tr>
      <w:tr w:rsidR="00C82BB7" w14:paraId="18019BB6" w14:textId="77777777" w:rsidTr="0BA1005A">
        <w:tc>
          <w:tcPr>
            <w:tcW w:w="4673" w:type="dxa"/>
          </w:tcPr>
          <w:p w14:paraId="3752543D" w14:textId="77777777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6C7678B5" w14:textId="7C8200FF" w:rsidR="00C82BB7" w:rsidRDefault="00C415C2" w:rsidP="00C82BB7">
            <w:pPr>
              <w:spacing w:before="40" w:after="40"/>
            </w:pPr>
            <w:r>
              <w:t>Dr David Child, Acting Leader Centre for Accelerator Science</w:t>
            </w:r>
          </w:p>
        </w:tc>
      </w:tr>
    </w:tbl>
    <w:p w14:paraId="134286E8" w14:textId="77777777" w:rsidR="00650B9A" w:rsidRDefault="00650B9A" w:rsidP="00650B9A">
      <w:pPr>
        <w:spacing w:before="0"/>
      </w:pPr>
      <w:r w:rsidRPr="002356D6">
        <w:rPr>
          <w:noProof/>
          <w:sz w:val="16"/>
          <w:lang w:eastAsia="en-AU"/>
        </w:rPr>
        <w:drawing>
          <wp:anchor distT="0" distB="0" distL="114300" distR="114300" simplePos="0" relativeHeight="251658240" behindDoc="0" locked="0" layoutInCell="1" allowOverlap="1" wp14:anchorId="36A36256" wp14:editId="01446F05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6120000" cy="54000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7870" w14:textId="10EBD9D7" w:rsidR="006F0305" w:rsidRDefault="00650B9A" w:rsidP="00BB23C6">
      <w:pPr>
        <w:pStyle w:val="ListParagraph"/>
        <w:numPr>
          <w:ilvl w:val="0"/>
          <w:numId w:val="0"/>
        </w:numPr>
      </w:pPr>
      <w:r w:rsidRPr="00650B9A">
        <w:t xml:space="preserve"> </w:t>
      </w:r>
    </w:p>
    <w:p w14:paraId="6221DC98" w14:textId="5113ABD0" w:rsidR="009259D2" w:rsidRDefault="009259D2">
      <w:pPr>
        <w:pStyle w:val="Heading2"/>
      </w:pPr>
      <w:r>
        <w:t>Strategic Overview from ARPANSA</w:t>
      </w:r>
    </w:p>
    <w:p w14:paraId="4393BD66" w14:textId="5E964702" w:rsidR="00451674" w:rsidRDefault="00B66E4F" w:rsidP="009259D2">
      <w:r>
        <w:t>ARPANS</w:t>
      </w:r>
      <w:r w:rsidR="00EA322F">
        <w:t>A</w:t>
      </w:r>
      <w:r w:rsidR="00431B53">
        <w:t>’s resourcing</w:t>
      </w:r>
      <w:r w:rsidR="00EA322F">
        <w:t xml:space="preserve"> continues to be </w:t>
      </w:r>
      <w:r w:rsidR="00451674">
        <w:t xml:space="preserve">affected </w:t>
      </w:r>
      <w:r w:rsidR="00A35151">
        <w:t>by its support of</w:t>
      </w:r>
      <w:r w:rsidR="00EA322F">
        <w:t xml:space="preserve"> AUKUS</w:t>
      </w:r>
      <w:r w:rsidR="00A35151">
        <w:t xml:space="preserve"> and recruitment challenges.</w:t>
      </w:r>
      <w:r w:rsidR="00EA322F">
        <w:t xml:space="preserve"> </w:t>
      </w:r>
      <w:proofErr w:type="gramStart"/>
      <w:r w:rsidR="00A35151">
        <w:t>As a consequence</w:t>
      </w:r>
      <w:proofErr w:type="gramEnd"/>
      <w:r w:rsidR="00A35151">
        <w:t xml:space="preserve">, </w:t>
      </w:r>
      <w:r w:rsidR="00EA322F">
        <w:t xml:space="preserve">ARPANSA </w:t>
      </w:r>
      <w:r w:rsidR="00A35151">
        <w:t>will</w:t>
      </w:r>
      <w:r w:rsidR="00EA322F">
        <w:t xml:space="preserve"> review </w:t>
      </w:r>
      <w:r w:rsidR="00A35151">
        <w:t xml:space="preserve">its </w:t>
      </w:r>
      <w:r w:rsidR="00EA322F">
        <w:t>inspection program</w:t>
      </w:r>
      <w:r w:rsidR="00A35151">
        <w:t xml:space="preserve"> over the next 6 – 12 months to reflect the resources that are available to complete the work required</w:t>
      </w:r>
      <w:r w:rsidR="00EA322F">
        <w:t xml:space="preserve">. </w:t>
      </w:r>
      <w:r w:rsidR="006F2643">
        <w:t xml:space="preserve"> </w:t>
      </w:r>
    </w:p>
    <w:p w14:paraId="42F5F343" w14:textId="346262E4" w:rsidR="00C415C2" w:rsidRDefault="00AE6E48" w:rsidP="009259D2">
      <w:r>
        <w:t xml:space="preserve">The </w:t>
      </w:r>
      <w:r w:rsidR="00431B53">
        <w:t>R</w:t>
      </w:r>
      <w:r w:rsidR="00EC22EE">
        <w:t xml:space="preserve">egulatory Services </w:t>
      </w:r>
      <w:r w:rsidR="00A1014D">
        <w:t>B</w:t>
      </w:r>
      <w:r w:rsidR="00EC22EE">
        <w:t xml:space="preserve">ranch </w:t>
      </w:r>
      <w:r>
        <w:t xml:space="preserve">is </w:t>
      </w:r>
      <w:r w:rsidR="00EC22EE">
        <w:t xml:space="preserve">undertaking a review of business processes to implement a graded approach to assessments and inspections. </w:t>
      </w:r>
    </w:p>
    <w:p w14:paraId="6D70301E" w14:textId="0D0574B3" w:rsidR="00EC22EE" w:rsidRDefault="00EC22EE" w:rsidP="009259D2">
      <w:r>
        <w:t xml:space="preserve">ARPANSA </w:t>
      </w:r>
      <w:r w:rsidR="00AE6E48">
        <w:t>will shortly launch a new</w:t>
      </w:r>
      <w:r w:rsidR="00B24011">
        <w:t xml:space="preserve"> </w:t>
      </w:r>
      <w:r>
        <w:t>Regulatory Admin</w:t>
      </w:r>
      <w:r w:rsidR="00AE6E48">
        <w:t>istration</w:t>
      </w:r>
      <w:r>
        <w:t xml:space="preserve"> Database to replace the </w:t>
      </w:r>
      <w:r w:rsidR="00AE6E48">
        <w:t>current system</w:t>
      </w:r>
      <w:r>
        <w:t>. The</w:t>
      </w:r>
      <w:r w:rsidR="00AE6E48">
        <w:t xml:space="preserve"> new</w:t>
      </w:r>
      <w:r>
        <w:t xml:space="preserve"> portal will </w:t>
      </w:r>
      <w:r w:rsidR="00AE6E48">
        <w:t xml:space="preserve">facilitate the </w:t>
      </w:r>
      <w:r>
        <w:t xml:space="preserve">tracking of submissions and reporting. </w:t>
      </w:r>
    </w:p>
    <w:p w14:paraId="2F7599B5" w14:textId="2085BCF9" w:rsidR="00EC22EE" w:rsidRDefault="00AE6E48" w:rsidP="009259D2">
      <w:r>
        <w:t>ARPANSA ha</w:t>
      </w:r>
      <w:r w:rsidR="00B24011">
        <w:t>s</w:t>
      </w:r>
      <w:r>
        <w:t xml:space="preserve"> established a new section focusing on</w:t>
      </w:r>
      <w:r w:rsidR="00EC22EE">
        <w:t xml:space="preserve"> Waste, Transport and Decommissioning. Recruitment is underway. </w:t>
      </w:r>
    </w:p>
    <w:p w14:paraId="442EFF46" w14:textId="45AF4E6F" w:rsidR="00EC22EE" w:rsidRDefault="00EC22EE" w:rsidP="009259D2">
      <w:r>
        <w:t>ARPANSA will host the follow</w:t>
      </w:r>
      <w:r w:rsidR="00B24011">
        <w:t>-</w:t>
      </w:r>
      <w:r>
        <w:t xml:space="preserve">up Integrated Regulatory Review Service (IRRS) mission in October 2023. </w:t>
      </w:r>
    </w:p>
    <w:p w14:paraId="2742A1FB" w14:textId="7160D814" w:rsidR="00EC22EE" w:rsidRDefault="00EC22EE" w:rsidP="009259D2">
      <w:r>
        <w:t xml:space="preserve">A second safety culture assessment </w:t>
      </w:r>
      <w:r w:rsidR="00AE6E48">
        <w:t xml:space="preserve">of ARPANSA </w:t>
      </w:r>
      <w:r>
        <w:t>has commenced.</w:t>
      </w:r>
      <w:r w:rsidR="00AE6E48">
        <w:t xml:space="preserve"> This assessment will be conducted by an external consultant.</w:t>
      </w:r>
      <w:r>
        <w:t xml:space="preserve"> </w:t>
      </w:r>
    </w:p>
    <w:p w14:paraId="0A487C0C" w14:textId="23D26F9A" w:rsidR="009259D2" w:rsidRPr="009259D2" w:rsidRDefault="009259D2" w:rsidP="009259D2"/>
    <w:p w14:paraId="494E3FEC" w14:textId="0A0F29FD" w:rsidR="00A157DA" w:rsidRDefault="003B2AFB">
      <w:pPr>
        <w:pStyle w:val="Heading2"/>
      </w:pPr>
      <w:r>
        <w:t>Strategic Overview from ANSTO</w:t>
      </w:r>
    </w:p>
    <w:p w14:paraId="6CB01161" w14:textId="666FC64F" w:rsidR="00604FDB" w:rsidRDefault="000605EF" w:rsidP="00BB23C6">
      <w:pPr>
        <w:pStyle w:val="ListParagraph"/>
        <w:numPr>
          <w:ilvl w:val="0"/>
          <w:numId w:val="0"/>
        </w:numPr>
      </w:pPr>
      <w:r>
        <w:t xml:space="preserve">ANSTO </w:t>
      </w:r>
      <w:r w:rsidR="00257159">
        <w:t>reiterated</w:t>
      </w:r>
      <w:r w:rsidR="00AE6E48">
        <w:t xml:space="preserve"> its</w:t>
      </w:r>
      <w:r w:rsidR="00257159">
        <w:t xml:space="preserve"> strategic object</w:t>
      </w:r>
      <w:r w:rsidR="297E75B8">
        <w:t>ive</w:t>
      </w:r>
      <w:r w:rsidR="00257159">
        <w:t>s</w:t>
      </w:r>
      <w:r w:rsidR="00722FE7">
        <w:t xml:space="preserve"> noting that </w:t>
      </w:r>
      <w:r w:rsidR="000A29D6">
        <w:t xml:space="preserve">the </w:t>
      </w:r>
      <w:r w:rsidR="00AE6E48">
        <w:t xml:space="preserve">organisation is </w:t>
      </w:r>
      <w:r w:rsidR="00722FE7">
        <w:t xml:space="preserve">guided by the </w:t>
      </w:r>
      <w:r w:rsidR="00B24011">
        <w:t xml:space="preserve">ANSTO </w:t>
      </w:r>
      <w:r w:rsidR="00722FE7">
        <w:t>Act</w:t>
      </w:r>
      <w:r w:rsidR="00257159">
        <w:t xml:space="preserve"> to </w:t>
      </w:r>
      <w:r w:rsidR="00016320">
        <w:t xml:space="preserve">deliver on Australia’s priorities for the </w:t>
      </w:r>
      <w:r w:rsidR="005F75E2">
        <w:t>benefit</w:t>
      </w:r>
      <w:r w:rsidR="00016320">
        <w:t xml:space="preserve"> of people, </w:t>
      </w:r>
      <w:proofErr w:type="gramStart"/>
      <w:r w:rsidR="00016320">
        <w:t>industry</w:t>
      </w:r>
      <w:proofErr w:type="gramEnd"/>
      <w:r w:rsidR="00016320">
        <w:t xml:space="preserve"> and </w:t>
      </w:r>
      <w:r w:rsidR="00426341">
        <w:t xml:space="preserve">the </w:t>
      </w:r>
      <w:r w:rsidR="00016320">
        <w:t>environment</w:t>
      </w:r>
      <w:r w:rsidR="00BB0397">
        <w:t xml:space="preserve">. </w:t>
      </w:r>
      <w:r w:rsidR="00016320">
        <w:t xml:space="preserve"> </w:t>
      </w:r>
    </w:p>
    <w:p w14:paraId="2C5BB7BF" w14:textId="139C0B06" w:rsidR="00EC22EE" w:rsidRDefault="00EC22EE" w:rsidP="008A295A">
      <w:pPr>
        <w:pStyle w:val="ListParagraph"/>
        <w:numPr>
          <w:ilvl w:val="0"/>
          <w:numId w:val="0"/>
        </w:numPr>
      </w:pPr>
      <w:r>
        <w:t xml:space="preserve">ANSTO acknowledged challenges </w:t>
      </w:r>
      <w:r w:rsidR="000A29D6">
        <w:t xml:space="preserve">associated with </w:t>
      </w:r>
      <w:r>
        <w:t>resourcing</w:t>
      </w:r>
      <w:r w:rsidR="000A29D6">
        <w:t xml:space="preserve"> and recruitment both now and into the future.</w:t>
      </w:r>
      <w:r>
        <w:t xml:space="preserve"> </w:t>
      </w:r>
      <w:r w:rsidR="000A29D6">
        <w:t xml:space="preserve">ANSTO noted that it is committed to </w:t>
      </w:r>
      <w:r>
        <w:t>work</w:t>
      </w:r>
      <w:r w:rsidR="00B24011">
        <w:t>ing with relevant</w:t>
      </w:r>
      <w:r>
        <w:t xml:space="preserve"> </w:t>
      </w:r>
      <w:r w:rsidR="00B24011">
        <w:t xml:space="preserve">Commonwealth </w:t>
      </w:r>
      <w:r>
        <w:t xml:space="preserve">agencies to </w:t>
      </w:r>
      <w:r w:rsidR="000A29D6">
        <w:t xml:space="preserve">help </w:t>
      </w:r>
      <w:r>
        <w:t>attract people into the nuclear industry.</w:t>
      </w:r>
    </w:p>
    <w:p w14:paraId="1DE9C5F3" w14:textId="44FCB959" w:rsidR="00EC22EE" w:rsidRDefault="008A295A" w:rsidP="00BB23C6">
      <w:pPr>
        <w:pStyle w:val="ListParagraph"/>
        <w:numPr>
          <w:ilvl w:val="0"/>
          <w:numId w:val="0"/>
        </w:numPr>
      </w:pPr>
      <w:r>
        <w:t xml:space="preserve">ANSTO has worked over the </w:t>
      </w:r>
      <w:r w:rsidR="00B24011">
        <w:t xml:space="preserve">last </w:t>
      </w:r>
      <w:r>
        <w:t>six months to develop the top 5 items to be focused on by the organisation</w:t>
      </w:r>
      <w:r w:rsidR="00B24011">
        <w:t xml:space="preserve"> on top of </w:t>
      </w:r>
      <w:proofErr w:type="gramStart"/>
      <w:r w:rsidR="00B24011">
        <w:t>business critical</w:t>
      </w:r>
      <w:proofErr w:type="gramEnd"/>
      <w:r w:rsidR="00B24011">
        <w:t xml:space="preserve"> activities</w:t>
      </w:r>
      <w:r>
        <w:t xml:space="preserve">. These were shared with ARPANSA. </w:t>
      </w:r>
    </w:p>
    <w:p w14:paraId="0C5AFA7C" w14:textId="106C3D36" w:rsidR="00A157DA" w:rsidRDefault="008A295A" w:rsidP="00A157DA">
      <w:pPr>
        <w:pStyle w:val="Heading2"/>
      </w:pPr>
      <w:r>
        <w:t>HIFAR Decommissioning Licence Public Forum</w:t>
      </w:r>
    </w:p>
    <w:p w14:paraId="577C34AE" w14:textId="533A1D66" w:rsidR="008A295A" w:rsidRDefault="00B24011" w:rsidP="008A295A">
      <w:r>
        <w:t xml:space="preserve">The </w:t>
      </w:r>
      <w:r w:rsidR="008A295A">
        <w:t xml:space="preserve">HIFAR Decommissioning Licence Application has been received by ARPANSA. The date for the public forum has been set for 9 October 2023 and will be held virtually. </w:t>
      </w:r>
    </w:p>
    <w:p w14:paraId="19481940" w14:textId="32C41997" w:rsidR="00EB0384" w:rsidRDefault="008A295A" w:rsidP="008A295A">
      <w:r>
        <w:t>Regulatory review of the application has commenced and will include public consultation input as required by the ARPANS Act</w:t>
      </w:r>
      <w:r w:rsidR="62650C80">
        <w:t>.</w:t>
      </w:r>
      <w:r w:rsidR="094D8B61">
        <w:t xml:space="preserve"> </w:t>
      </w:r>
    </w:p>
    <w:p w14:paraId="7DFD7A8C" w14:textId="09F62002" w:rsidR="00B8127F" w:rsidRDefault="008A295A" w:rsidP="00BB23C6">
      <w:pPr>
        <w:pStyle w:val="Heading2"/>
      </w:pPr>
      <w:r>
        <w:t>Nuclear Medicine Facility</w:t>
      </w:r>
    </w:p>
    <w:p w14:paraId="152AD847" w14:textId="715ED1BE" w:rsidR="00F06A49" w:rsidRDefault="008A295A" w:rsidP="00BB23C6">
      <w:pPr>
        <w:pStyle w:val="ListParagraph"/>
        <w:numPr>
          <w:ilvl w:val="0"/>
          <w:numId w:val="0"/>
        </w:numPr>
      </w:pPr>
      <w:r>
        <w:t xml:space="preserve">A business case has been developed for a new Nuclear Medicine Facility and detailed design of the facility is currently underway. </w:t>
      </w:r>
    </w:p>
    <w:p w14:paraId="15AF1CC6" w14:textId="51167622" w:rsidR="00FA3E8B" w:rsidRPr="00650B9A" w:rsidRDefault="008A295A" w:rsidP="006C074B">
      <w:pPr>
        <w:pStyle w:val="Heading2"/>
      </w:pPr>
      <w:r>
        <w:t>Camperdown Facility</w:t>
      </w:r>
    </w:p>
    <w:p w14:paraId="3E21ED2E" w14:textId="405B1514" w:rsidR="001B23A9" w:rsidRPr="008A295A" w:rsidRDefault="00600FA2" w:rsidP="0BA1005A">
      <w:pPr>
        <w:rPr>
          <w:rStyle w:val="Normalbold"/>
          <w:rFonts w:ascii="Calibri" w:eastAsiaTheme="majorEastAsia" w:hAnsi="Calibri" w:cstheme="majorBidi"/>
          <w:b w:val="0"/>
        </w:rPr>
      </w:pPr>
      <w:r>
        <w:rPr>
          <w:rStyle w:val="Normalbold"/>
          <w:rFonts w:ascii="Calibri" w:eastAsiaTheme="majorEastAsia" w:hAnsi="Calibri" w:cstheme="majorBidi"/>
          <w:b w:val="0"/>
        </w:rPr>
        <w:t xml:space="preserve">During the </w:t>
      </w:r>
      <w:r w:rsidR="008A295A" w:rsidRPr="008A295A">
        <w:rPr>
          <w:rStyle w:val="Normalbold"/>
          <w:rFonts w:ascii="Calibri" w:eastAsiaTheme="majorEastAsia" w:hAnsi="Calibri" w:cstheme="majorBidi"/>
          <w:b w:val="0"/>
        </w:rPr>
        <w:t>previous ANSTO</w:t>
      </w:r>
      <w:r w:rsidR="008A3A2C">
        <w:rPr>
          <w:rStyle w:val="Normalbold"/>
          <w:rFonts w:ascii="Calibri" w:eastAsiaTheme="majorEastAsia" w:hAnsi="Calibri" w:cstheme="majorBidi"/>
          <w:b w:val="0"/>
        </w:rPr>
        <w:t>-ARPANSA</w:t>
      </w:r>
      <w:r w:rsidR="008A295A" w:rsidRPr="008A295A">
        <w:rPr>
          <w:rStyle w:val="Normalbold"/>
          <w:rFonts w:ascii="Calibri" w:eastAsiaTheme="majorEastAsia" w:hAnsi="Calibri" w:cstheme="majorBidi"/>
          <w:b w:val="0"/>
        </w:rPr>
        <w:t xml:space="preserve"> Liaison Forum</w:t>
      </w:r>
      <w:r w:rsidR="000A29D6">
        <w:rPr>
          <w:rStyle w:val="Normalbold"/>
          <w:rFonts w:ascii="Calibri" w:eastAsiaTheme="majorEastAsia" w:hAnsi="Calibri" w:cstheme="majorBidi"/>
          <w:b w:val="0"/>
        </w:rPr>
        <w:t>,</w:t>
      </w:r>
      <w:r w:rsidR="00B24011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000A29D6">
        <w:rPr>
          <w:rStyle w:val="Normalbold"/>
          <w:rFonts w:ascii="Calibri" w:eastAsiaTheme="majorEastAsia" w:hAnsi="Calibri" w:cstheme="majorBidi"/>
          <w:b w:val="0"/>
        </w:rPr>
        <w:t>ANSTO indicated</w:t>
      </w:r>
      <w:r w:rsidR="008A295A" w:rsidRPr="008A295A">
        <w:rPr>
          <w:rStyle w:val="Normalbold"/>
          <w:rFonts w:ascii="Calibri" w:eastAsiaTheme="majorEastAsia" w:hAnsi="Calibri" w:cstheme="majorBidi"/>
          <w:b w:val="0"/>
        </w:rPr>
        <w:t xml:space="preserve"> that </w:t>
      </w:r>
      <w:r w:rsidR="000A29D6">
        <w:rPr>
          <w:rStyle w:val="Normalbold"/>
          <w:rFonts w:ascii="Calibri" w:eastAsiaTheme="majorEastAsia" w:hAnsi="Calibri" w:cstheme="majorBidi"/>
          <w:b w:val="0"/>
        </w:rPr>
        <w:t xml:space="preserve">it planned to submit a </w:t>
      </w:r>
      <w:r w:rsidR="008A295A" w:rsidRPr="008A295A">
        <w:rPr>
          <w:rStyle w:val="Normalbold"/>
          <w:rFonts w:ascii="Calibri" w:eastAsiaTheme="majorEastAsia" w:hAnsi="Calibri" w:cstheme="majorBidi"/>
          <w:b w:val="0"/>
        </w:rPr>
        <w:t xml:space="preserve">Decommissioning Licence Application in 2023. </w:t>
      </w:r>
      <w:r w:rsidR="000A29D6">
        <w:rPr>
          <w:rStyle w:val="Normalbold"/>
          <w:rFonts w:ascii="Calibri" w:eastAsiaTheme="majorEastAsia" w:hAnsi="Calibri" w:cstheme="majorBidi"/>
          <w:b w:val="0"/>
        </w:rPr>
        <w:t xml:space="preserve">However, this is no longer the </w:t>
      </w:r>
      <w:proofErr w:type="gramStart"/>
      <w:r w:rsidR="000A29D6">
        <w:rPr>
          <w:rStyle w:val="Normalbold"/>
          <w:rFonts w:ascii="Calibri" w:eastAsiaTheme="majorEastAsia" w:hAnsi="Calibri" w:cstheme="majorBidi"/>
          <w:b w:val="0"/>
        </w:rPr>
        <w:t>case</w:t>
      </w:r>
      <w:proofErr w:type="gramEnd"/>
      <w:r w:rsidR="000A29D6">
        <w:rPr>
          <w:rStyle w:val="Normalbold"/>
          <w:rFonts w:ascii="Calibri" w:eastAsiaTheme="majorEastAsia" w:hAnsi="Calibri" w:cstheme="majorBidi"/>
          <w:b w:val="0"/>
        </w:rPr>
        <w:t xml:space="preserve"> and the t</w:t>
      </w:r>
      <w:r w:rsidR="008A295A" w:rsidRPr="008A295A">
        <w:rPr>
          <w:rStyle w:val="Normalbold"/>
          <w:rFonts w:ascii="Calibri" w:eastAsiaTheme="majorEastAsia" w:hAnsi="Calibri" w:cstheme="majorBidi"/>
          <w:b w:val="0"/>
        </w:rPr>
        <w:t xml:space="preserve">iming of </w:t>
      </w:r>
      <w:r w:rsidR="008A3A2C">
        <w:rPr>
          <w:rStyle w:val="Normalbold"/>
          <w:rFonts w:ascii="Calibri" w:eastAsiaTheme="majorEastAsia" w:hAnsi="Calibri" w:cstheme="majorBidi"/>
          <w:b w:val="0"/>
        </w:rPr>
        <w:t xml:space="preserve">the </w:t>
      </w:r>
      <w:r w:rsidR="008A295A" w:rsidRPr="008A295A">
        <w:rPr>
          <w:rStyle w:val="Normalbold"/>
          <w:rFonts w:ascii="Calibri" w:eastAsiaTheme="majorEastAsia" w:hAnsi="Calibri" w:cstheme="majorBidi"/>
          <w:b w:val="0"/>
        </w:rPr>
        <w:t xml:space="preserve">submission is currently under review. </w:t>
      </w:r>
    </w:p>
    <w:p w14:paraId="033DC149" w14:textId="55F1A757" w:rsidR="00ED196D" w:rsidRPr="0027714A" w:rsidRDefault="008A295A" w:rsidP="00BB23C6">
      <w:pPr>
        <w:pStyle w:val="Heading2"/>
      </w:pPr>
      <w:r>
        <w:t>Intermediate Level Waste Capacity Increase</w:t>
      </w:r>
    </w:p>
    <w:p w14:paraId="3323A6F8" w14:textId="2F1304FD" w:rsidR="008A295A" w:rsidRDefault="000B1AEC" w:rsidP="00BB23C6">
      <w:pPr>
        <w:rPr>
          <w:rStyle w:val="Normalbold"/>
          <w:rFonts w:ascii="Calibri" w:eastAsiaTheme="majorEastAsia" w:hAnsi="Calibri" w:cstheme="majorBidi"/>
          <w:b w:val="0"/>
        </w:rPr>
      </w:pPr>
      <w:r>
        <w:rPr>
          <w:rStyle w:val="Normalbold"/>
          <w:rFonts w:ascii="Calibri" w:eastAsiaTheme="majorEastAsia" w:hAnsi="Calibri" w:cstheme="majorBidi"/>
          <w:b w:val="0"/>
        </w:rPr>
        <w:t>Design work is continuing for the Intermediate Level Waste Capacity Increase to allow ANSTO to progress to a Construction Licence Application. This</w:t>
      </w:r>
      <w:r w:rsidR="00AD7235">
        <w:rPr>
          <w:rStyle w:val="Normalbold"/>
          <w:rFonts w:ascii="Calibri" w:eastAsiaTheme="majorEastAsia" w:hAnsi="Calibri" w:cstheme="majorBidi"/>
          <w:b w:val="0"/>
        </w:rPr>
        <w:t xml:space="preserve"> application</w:t>
      </w:r>
      <w:r>
        <w:rPr>
          <w:rStyle w:val="Normalbold"/>
          <w:rFonts w:ascii="Calibri" w:eastAsiaTheme="majorEastAsia" w:hAnsi="Calibri" w:cstheme="majorBidi"/>
          <w:b w:val="0"/>
        </w:rPr>
        <w:t xml:space="preserve"> is expected to be made in 2024. </w:t>
      </w:r>
    </w:p>
    <w:p w14:paraId="5D101440" w14:textId="2786A09C" w:rsidR="000B1AEC" w:rsidRDefault="000B1AEC" w:rsidP="00BB23C6">
      <w:pPr>
        <w:rPr>
          <w:rStyle w:val="Normalbold"/>
          <w:rFonts w:ascii="Calibri" w:eastAsiaTheme="majorEastAsia" w:hAnsi="Calibri" w:cstheme="majorBidi"/>
          <w:b w:val="0"/>
        </w:rPr>
      </w:pPr>
      <w:r>
        <w:rPr>
          <w:rStyle w:val="Normalbold"/>
          <w:rFonts w:ascii="Calibri" w:eastAsiaTheme="majorEastAsia" w:hAnsi="Calibri" w:cstheme="majorBidi"/>
          <w:b w:val="0"/>
        </w:rPr>
        <w:t xml:space="preserve">Site investigations are being planned to allow for site preparation to begin. ANSTO will keep ARPANSA informed of works planned. </w:t>
      </w:r>
    </w:p>
    <w:p w14:paraId="63174D0E" w14:textId="3F2F08B7" w:rsidR="003B2AFB" w:rsidRPr="003B2AFB" w:rsidRDefault="008A295A" w:rsidP="00BB23C6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OPAL Shutdown 2024</w:t>
      </w:r>
    </w:p>
    <w:p w14:paraId="3ED17E86" w14:textId="4BF9B47F" w:rsidR="008A295A" w:rsidRDefault="008A295A" w:rsidP="008A295A">
      <w:pPr>
        <w:rPr>
          <w:rStyle w:val="Normalbold"/>
          <w:rFonts w:ascii="Calibri" w:eastAsiaTheme="majorEastAsia" w:hAnsi="Calibri" w:cstheme="majorBidi"/>
          <w:b w:val="0"/>
        </w:rPr>
      </w:pP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The main purpose for the shutdown is to replace some components of the cold neutron source. </w:t>
      </w:r>
      <w:r>
        <w:rPr>
          <w:rStyle w:val="Normalbold"/>
          <w:rFonts w:ascii="Calibri" w:eastAsiaTheme="majorEastAsia" w:hAnsi="Calibri" w:cstheme="majorBidi"/>
          <w:b w:val="0"/>
        </w:rPr>
        <w:t xml:space="preserve">The shutdown is scheduled to commence in March 2024. Submissions are under ANSTO internal review and expected to be submitted to ARPANSA shortly. </w:t>
      </w:r>
    </w:p>
    <w:p w14:paraId="26BE6E1B" w14:textId="3A4053E4" w:rsidR="008A295A" w:rsidRPr="003B2AFB" w:rsidRDefault="008A295A" w:rsidP="00BB23C6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proofErr w:type="spellStart"/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SyMo</w:t>
      </w:r>
      <w:proofErr w:type="spellEnd"/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 xml:space="preserve"> Operating Licence Application</w:t>
      </w:r>
    </w:p>
    <w:p w14:paraId="7BDF8690" w14:textId="3114300E" w:rsidR="001668C0" w:rsidRDefault="00905D5B" w:rsidP="0033501B">
      <w:proofErr w:type="spellStart"/>
      <w:r>
        <w:t>SyMo</w:t>
      </w:r>
      <w:proofErr w:type="spellEnd"/>
      <w:r>
        <w:t xml:space="preserve"> Operating licence is currently in ANSTO internal review and expected to be submitted to ARPANSA this year. An update on cold commissioning was provided. </w:t>
      </w:r>
    </w:p>
    <w:p w14:paraId="68B145CF" w14:textId="29B683CC" w:rsidR="00905D5B" w:rsidRDefault="00905D5B" w:rsidP="00905D5B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lastRenderedPageBreak/>
        <w:t>NRWMF Siting Decision</w:t>
      </w:r>
    </w:p>
    <w:p w14:paraId="70877C21" w14:textId="65D5D101" w:rsidR="00905D5B" w:rsidRPr="00905D5B" w:rsidRDefault="00451674" w:rsidP="00905D5B">
      <w:r>
        <w:t xml:space="preserve">Although </w:t>
      </w:r>
      <w:r w:rsidR="00905D5B">
        <w:t>ANSTO is not a long-term waste storage facility</w:t>
      </w:r>
      <w:r w:rsidR="00431B53">
        <w:t>,</w:t>
      </w:r>
      <w:r w:rsidR="00905D5B">
        <w:t xml:space="preserve"> </w:t>
      </w:r>
      <w:r w:rsidR="003254F3">
        <w:t>ANSTO has assessed its storage capacity</w:t>
      </w:r>
      <w:r w:rsidR="00B24011">
        <w:t xml:space="preserve"> for the foreseeable future</w:t>
      </w:r>
      <w:r w:rsidR="003254F3">
        <w:t xml:space="preserve"> and </w:t>
      </w:r>
      <w:r w:rsidR="00905D5B">
        <w:t xml:space="preserve">operations can continue safely until there is an offsite location to store waste. </w:t>
      </w:r>
    </w:p>
    <w:p w14:paraId="09ECFE9B" w14:textId="141C5BBB" w:rsidR="000D218A" w:rsidRDefault="000D218A" w:rsidP="000D218A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Compliance</w:t>
      </w:r>
    </w:p>
    <w:p w14:paraId="63F034C2" w14:textId="56BFFE36" w:rsidR="000D218A" w:rsidRPr="00905D5B" w:rsidRDefault="00431B53" w:rsidP="000D218A">
      <w:r>
        <w:t xml:space="preserve">ANSTO detailed </w:t>
      </w:r>
      <w:proofErr w:type="gramStart"/>
      <w:r>
        <w:t>a number of</w:t>
      </w:r>
      <w:proofErr w:type="gramEnd"/>
      <w:r>
        <w:t xml:space="preserve"> improvements that have been made in the Centre for Accelerator Science following a recent breach. Sharing of lessons learnt across divisions was noted as a </w:t>
      </w:r>
      <w:r w:rsidR="003254F3">
        <w:t xml:space="preserve">positive </w:t>
      </w:r>
      <w:r>
        <w:t xml:space="preserve">development. </w:t>
      </w:r>
    </w:p>
    <w:p w14:paraId="64D12185" w14:textId="18D30F00" w:rsidR="003B2AFB" w:rsidRPr="003B2AFB" w:rsidRDefault="003B2AFB" w:rsidP="009C31F2">
      <w:pPr>
        <w:tabs>
          <w:tab w:val="left" w:pos="6470"/>
        </w:tabs>
        <w:rPr>
          <w:color w:val="4E1A74"/>
          <w:sz w:val="26"/>
          <w:szCs w:val="26"/>
        </w:rPr>
      </w:pPr>
      <w:r w:rsidRPr="003B2AFB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Other business</w:t>
      </w:r>
      <w:r w:rsidR="009C31F2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ab/>
      </w:r>
    </w:p>
    <w:p w14:paraId="6F0E35B8" w14:textId="6F22326E" w:rsidR="007B1425" w:rsidRPr="0033501B" w:rsidRDefault="008E4616" w:rsidP="0033501B">
      <w:pPr>
        <w:pStyle w:val="Heading3"/>
        <w:rPr>
          <w:rStyle w:val="Normalbold"/>
          <w:b/>
        </w:rPr>
      </w:pPr>
      <w:r w:rsidRPr="0033501B">
        <w:rPr>
          <w:rStyle w:val="Normalbold"/>
          <w:b/>
        </w:rPr>
        <w:t>OPAL Riser</w:t>
      </w:r>
      <w:r w:rsidR="007B1425" w:rsidRPr="0033501B">
        <w:rPr>
          <w:rStyle w:val="Normalbold"/>
          <w:b/>
        </w:rPr>
        <w:t xml:space="preserve"> Update:</w:t>
      </w:r>
    </w:p>
    <w:p w14:paraId="24167561" w14:textId="18F4824A" w:rsidR="000B1AEC" w:rsidRDefault="000B1AEC" w:rsidP="0AF442BF">
      <w:pPr>
        <w:rPr>
          <w:rStyle w:val="Normalbold"/>
          <w:rFonts w:ascii="Calibri" w:eastAsiaTheme="majorEastAsia" w:hAnsi="Calibri" w:cstheme="majorBidi"/>
          <w:b w:val="0"/>
        </w:rPr>
      </w:pPr>
      <w:r>
        <w:rPr>
          <w:rStyle w:val="Normalbold"/>
          <w:rFonts w:ascii="Calibri" w:eastAsiaTheme="majorEastAsia" w:hAnsi="Calibri" w:cstheme="majorBidi"/>
          <w:b w:val="0"/>
        </w:rPr>
        <w:t>ARPANSA is reviewing the Riser Structural Assessment</w:t>
      </w:r>
      <w:r w:rsidR="001623C1">
        <w:rPr>
          <w:rStyle w:val="Normalbold"/>
          <w:rFonts w:ascii="Calibri" w:eastAsiaTheme="majorEastAsia" w:hAnsi="Calibri" w:cstheme="majorBidi"/>
          <w:b w:val="0"/>
        </w:rPr>
        <w:t xml:space="preserve">. </w:t>
      </w:r>
      <w:r w:rsidR="00B24011">
        <w:rPr>
          <w:rStyle w:val="Normalbold"/>
          <w:rFonts w:ascii="Calibri" w:eastAsiaTheme="majorEastAsia" w:hAnsi="Calibri" w:cstheme="majorBidi"/>
          <w:b w:val="0"/>
        </w:rPr>
        <w:t xml:space="preserve">ANSTO has implemented mitigations and will continue to engage with ARPANSA on the </w:t>
      </w:r>
      <w:r w:rsidR="001623C1">
        <w:rPr>
          <w:rStyle w:val="Normalbold"/>
          <w:rFonts w:ascii="Calibri" w:eastAsiaTheme="majorEastAsia" w:hAnsi="Calibri" w:cstheme="majorBidi"/>
          <w:b w:val="0"/>
        </w:rPr>
        <w:t xml:space="preserve">development of options and appropriate safety case adaptions. </w:t>
      </w:r>
    </w:p>
    <w:p w14:paraId="18CF12FA" w14:textId="77370747" w:rsidR="00EB0384" w:rsidRPr="00BB23C6" w:rsidRDefault="009965B3" w:rsidP="00BE6683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 w:rsidRPr="00BB23C6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Nex</w:t>
      </w:r>
      <w:r w:rsidR="00B24011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 xml:space="preserve">t </w:t>
      </w:r>
      <w:r w:rsidRPr="00BB23C6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 xml:space="preserve">meeting </w:t>
      </w:r>
    </w:p>
    <w:p w14:paraId="5B17AF0D" w14:textId="5625B322" w:rsidR="009965B3" w:rsidRPr="007D3B2A" w:rsidRDefault="5E191703" w:rsidP="0061168E">
      <w:pPr>
        <w:rPr>
          <w:rStyle w:val="Normalbold"/>
          <w:rFonts w:ascii="Calibri" w:eastAsiaTheme="majorEastAsia" w:hAnsi="Calibri" w:cstheme="majorBidi"/>
          <w:b w:val="0"/>
        </w:rPr>
      </w:pPr>
      <w:r w:rsidRPr="007D3B2A">
        <w:rPr>
          <w:rStyle w:val="Normalbold"/>
          <w:rFonts w:ascii="Calibri" w:eastAsiaTheme="majorEastAsia" w:hAnsi="Calibri" w:cstheme="majorBidi"/>
          <w:b w:val="0"/>
        </w:rPr>
        <w:t xml:space="preserve">The next meeting will be held at </w:t>
      </w:r>
      <w:r w:rsidR="000D218A">
        <w:rPr>
          <w:rStyle w:val="Normalbold"/>
          <w:rFonts w:ascii="Calibri" w:eastAsiaTheme="majorEastAsia" w:hAnsi="Calibri" w:cstheme="majorBidi"/>
          <w:b w:val="0"/>
        </w:rPr>
        <w:t>ARPANSA</w:t>
      </w:r>
      <w:r w:rsidR="003254F3">
        <w:rPr>
          <w:rStyle w:val="Normalbold"/>
          <w:rFonts w:ascii="Calibri" w:eastAsiaTheme="majorEastAsia" w:hAnsi="Calibri" w:cstheme="majorBidi"/>
          <w:b w:val="0"/>
        </w:rPr>
        <w:t>’s</w:t>
      </w:r>
      <w:r w:rsidR="000D218A">
        <w:rPr>
          <w:rStyle w:val="Normalbold"/>
          <w:rFonts w:ascii="Calibri" w:eastAsiaTheme="majorEastAsia" w:hAnsi="Calibri" w:cstheme="majorBidi"/>
          <w:b w:val="0"/>
        </w:rPr>
        <w:t xml:space="preserve"> Sydney Office in February 2024. </w:t>
      </w:r>
      <w:r w:rsidR="709F3563" w:rsidRPr="007D3B2A">
        <w:rPr>
          <w:rStyle w:val="Normalbold"/>
          <w:rFonts w:ascii="Calibri" w:eastAsiaTheme="majorEastAsia" w:hAnsi="Calibri" w:cstheme="majorBidi"/>
          <w:b w:val="0"/>
        </w:rPr>
        <w:t xml:space="preserve"> </w:t>
      </w:r>
    </w:p>
    <w:sectPr w:rsidR="009965B3" w:rsidRPr="007D3B2A" w:rsidSect="00307D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B408" w14:textId="77777777" w:rsidR="00775EFD" w:rsidRDefault="00775EFD" w:rsidP="00037687">
      <w:r>
        <w:separator/>
      </w:r>
    </w:p>
  </w:endnote>
  <w:endnote w:type="continuationSeparator" w:id="0">
    <w:p w14:paraId="537BC5F5" w14:textId="77777777" w:rsidR="00775EFD" w:rsidRDefault="00775EFD" w:rsidP="00037687">
      <w:r>
        <w:continuationSeparator/>
      </w:r>
    </w:p>
  </w:endnote>
  <w:endnote w:type="continuationNotice" w:id="1">
    <w:p w14:paraId="3E94D3FF" w14:textId="77777777" w:rsidR="00775EFD" w:rsidRDefault="00775EF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3E4" w14:textId="77777777" w:rsidR="009D320B" w:rsidRDefault="00D770E7" w:rsidP="00BB23C6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58241" behindDoc="0" locked="0" layoutInCell="1" allowOverlap="1" wp14:anchorId="7C8C4837" wp14:editId="2CBB6E5A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0B">
      <w:rPr>
        <w:sz w:val="18"/>
      </w:rPr>
      <w:t xml:space="preserve">AALF Summary Notes </w:t>
    </w:r>
  </w:p>
  <w:p w14:paraId="7EEF0DFE" w14:textId="7902A8D9" w:rsidR="00D770E7" w:rsidRPr="00FF6AB9" w:rsidRDefault="00A1014D" w:rsidP="00DC2259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8"/>
      </w:rPr>
    </w:pPr>
    <w:r>
      <w:rPr>
        <w:sz w:val="18"/>
      </w:rPr>
      <w:t>6 September 2023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61168E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61168E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17C5" w14:textId="77777777" w:rsidR="00AA74E3" w:rsidRPr="00BB23C6" w:rsidRDefault="00751131" w:rsidP="007D153D">
    <w:pPr>
      <w:tabs>
        <w:tab w:val="left" w:pos="4253"/>
        <w:tab w:val="right" w:pos="9639"/>
      </w:tabs>
      <w:spacing w:before="120"/>
      <w:rPr>
        <w:sz w:val="18"/>
        <w:szCs w:val="18"/>
      </w:rPr>
    </w:pPr>
    <w:r w:rsidRPr="00BB23C6"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71E6189E" wp14:editId="234B575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4E3" w:rsidRPr="00BB23C6">
      <w:rPr>
        <w:sz w:val="18"/>
        <w:szCs w:val="18"/>
      </w:rPr>
      <w:t>AALF Summary Notes</w:t>
    </w:r>
  </w:p>
  <w:p w14:paraId="01A8AD86" w14:textId="662666DF" w:rsidR="00037687" w:rsidRPr="002356D6" w:rsidRDefault="00A1014D" w:rsidP="00DC2259">
    <w:pPr>
      <w:tabs>
        <w:tab w:val="left" w:pos="4253"/>
        <w:tab w:val="right" w:pos="9639"/>
      </w:tabs>
      <w:spacing w:before="0"/>
      <w:rPr>
        <w:sz w:val="16"/>
      </w:rPr>
    </w:pPr>
    <w:r>
      <w:rPr>
        <w:sz w:val="18"/>
        <w:szCs w:val="18"/>
      </w:rPr>
      <w:t>6 September 2023</w:t>
    </w:r>
    <w:r w:rsidR="00AA74E3">
      <w:rPr>
        <w:sz w:val="18"/>
        <w:szCs w:val="18"/>
      </w:rPr>
      <w:tab/>
    </w:r>
    <w:r w:rsidR="00AA74E3">
      <w:rPr>
        <w:sz w:val="18"/>
        <w:szCs w:val="18"/>
      </w:rPr>
      <w:tab/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ECB" w14:textId="77777777" w:rsidR="00775EFD" w:rsidRDefault="00775EFD" w:rsidP="00037687">
      <w:r>
        <w:separator/>
      </w:r>
    </w:p>
  </w:footnote>
  <w:footnote w:type="continuationSeparator" w:id="0">
    <w:p w14:paraId="09B87314" w14:textId="77777777" w:rsidR="00775EFD" w:rsidRDefault="00775EFD" w:rsidP="00037687">
      <w:r>
        <w:continuationSeparator/>
      </w:r>
    </w:p>
  </w:footnote>
  <w:footnote w:type="continuationNotice" w:id="1">
    <w:p w14:paraId="61529090" w14:textId="77777777" w:rsidR="00775EFD" w:rsidRDefault="00775EF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F442BF" w14:paraId="0A5B98D3" w14:textId="77777777" w:rsidTr="0AF442BF">
      <w:tc>
        <w:tcPr>
          <w:tcW w:w="3210" w:type="dxa"/>
        </w:tcPr>
        <w:p w14:paraId="65BA1A0E" w14:textId="6E09CF03" w:rsidR="0AF442BF" w:rsidRDefault="0AF442BF" w:rsidP="0AF442BF">
          <w:pPr>
            <w:pStyle w:val="Header"/>
            <w:ind w:left="-115"/>
          </w:pPr>
        </w:p>
      </w:tc>
      <w:tc>
        <w:tcPr>
          <w:tcW w:w="3210" w:type="dxa"/>
        </w:tcPr>
        <w:p w14:paraId="2F8AA338" w14:textId="6AEC943E" w:rsidR="0AF442BF" w:rsidRDefault="0AF442BF" w:rsidP="0AF442BF">
          <w:pPr>
            <w:pStyle w:val="Header"/>
            <w:jc w:val="center"/>
          </w:pPr>
        </w:p>
      </w:tc>
      <w:tc>
        <w:tcPr>
          <w:tcW w:w="3210" w:type="dxa"/>
        </w:tcPr>
        <w:p w14:paraId="50941F26" w14:textId="25ED8CB8" w:rsidR="0AF442BF" w:rsidRDefault="0AF442BF" w:rsidP="0AF442BF">
          <w:pPr>
            <w:pStyle w:val="Header"/>
            <w:ind w:right="-115"/>
            <w:jc w:val="right"/>
          </w:pPr>
        </w:p>
      </w:tc>
    </w:tr>
  </w:tbl>
  <w:p w14:paraId="12C65E77" w14:textId="20E4EF7D" w:rsidR="0AF442BF" w:rsidRDefault="0AF442BF" w:rsidP="0AF4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4895" w14:textId="77777777" w:rsidR="002356D6" w:rsidRDefault="002356D6">
    <w:pPr>
      <w:pStyle w:val="Header"/>
    </w:pPr>
  </w:p>
  <w:p w14:paraId="12E15D64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2D853CA7" wp14:editId="6B7490DB">
          <wp:extent cx="6120384" cy="731520"/>
          <wp:effectExtent l="0" t="0" r="0" b="0"/>
          <wp:docPr id="9" name="Picture 9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3989"/>
    <w:multiLevelType w:val="hybridMultilevel"/>
    <w:tmpl w:val="016CE1F4"/>
    <w:lvl w:ilvl="0" w:tplc="FFFFFFFF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num w:numId="1" w16cid:durableId="1638147225">
    <w:abstractNumId w:val="0"/>
  </w:num>
  <w:num w:numId="2" w16cid:durableId="17319217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9A"/>
    <w:rsid w:val="00003EC1"/>
    <w:rsid w:val="000150CB"/>
    <w:rsid w:val="00016320"/>
    <w:rsid w:val="00030C17"/>
    <w:rsid w:val="00031F57"/>
    <w:rsid w:val="00033461"/>
    <w:rsid w:val="000342F5"/>
    <w:rsid w:val="00037687"/>
    <w:rsid w:val="00037E95"/>
    <w:rsid w:val="00043DAE"/>
    <w:rsid w:val="000473EF"/>
    <w:rsid w:val="000562A4"/>
    <w:rsid w:val="000605EF"/>
    <w:rsid w:val="00063513"/>
    <w:rsid w:val="00066B27"/>
    <w:rsid w:val="00074C32"/>
    <w:rsid w:val="000754EF"/>
    <w:rsid w:val="00082E26"/>
    <w:rsid w:val="000917AA"/>
    <w:rsid w:val="000A29D6"/>
    <w:rsid w:val="000A5762"/>
    <w:rsid w:val="000B1AEC"/>
    <w:rsid w:val="000D218A"/>
    <w:rsid w:val="000D27C8"/>
    <w:rsid w:val="000D7E8F"/>
    <w:rsid w:val="000E06A2"/>
    <w:rsid w:val="000E7F32"/>
    <w:rsid w:val="000F3AB1"/>
    <w:rsid w:val="000F43FD"/>
    <w:rsid w:val="000F73FB"/>
    <w:rsid w:val="000F7D40"/>
    <w:rsid w:val="001012B6"/>
    <w:rsid w:val="0010348D"/>
    <w:rsid w:val="001039FF"/>
    <w:rsid w:val="00113B9A"/>
    <w:rsid w:val="0012258F"/>
    <w:rsid w:val="00122683"/>
    <w:rsid w:val="00123BE3"/>
    <w:rsid w:val="00145082"/>
    <w:rsid w:val="00153227"/>
    <w:rsid w:val="00153DC5"/>
    <w:rsid w:val="001623C1"/>
    <w:rsid w:val="00164160"/>
    <w:rsid w:val="001668C0"/>
    <w:rsid w:val="001706F4"/>
    <w:rsid w:val="001716E7"/>
    <w:rsid w:val="00172C66"/>
    <w:rsid w:val="001828AD"/>
    <w:rsid w:val="00192A8D"/>
    <w:rsid w:val="00195F9C"/>
    <w:rsid w:val="001A11CB"/>
    <w:rsid w:val="001B2359"/>
    <w:rsid w:val="001B23A9"/>
    <w:rsid w:val="001B54F5"/>
    <w:rsid w:val="001B7272"/>
    <w:rsid w:val="001C5DA4"/>
    <w:rsid w:val="001D05CF"/>
    <w:rsid w:val="001D1349"/>
    <w:rsid w:val="001D37FF"/>
    <w:rsid w:val="001D5BF4"/>
    <w:rsid w:val="001D6C6D"/>
    <w:rsid w:val="001E1A00"/>
    <w:rsid w:val="001E25F9"/>
    <w:rsid w:val="001F51B7"/>
    <w:rsid w:val="001F5B95"/>
    <w:rsid w:val="001F7066"/>
    <w:rsid w:val="00202868"/>
    <w:rsid w:val="00211B48"/>
    <w:rsid w:val="002274E5"/>
    <w:rsid w:val="002356D6"/>
    <w:rsid w:val="0024D01F"/>
    <w:rsid w:val="00255392"/>
    <w:rsid w:val="00257159"/>
    <w:rsid w:val="002601AC"/>
    <w:rsid w:val="002604D4"/>
    <w:rsid w:val="0027714A"/>
    <w:rsid w:val="00281356"/>
    <w:rsid w:val="00286A8C"/>
    <w:rsid w:val="002954C9"/>
    <w:rsid w:val="002A4503"/>
    <w:rsid w:val="002A7AE6"/>
    <w:rsid w:val="002B4F13"/>
    <w:rsid w:val="002BF261"/>
    <w:rsid w:val="002D354C"/>
    <w:rsid w:val="002D50D0"/>
    <w:rsid w:val="002F2255"/>
    <w:rsid w:val="003014F6"/>
    <w:rsid w:val="00302852"/>
    <w:rsid w:val="00307DEB"/>
    <w:rsid w:val="003111BB"/>
    <w:rsid w:val="003254F3"/>
    <w:rsid w:val="00327077"/>
    <w:rsid w:val="0033501B"/>
    <w:rsid w:val="003350EA"/>
    <w:rsid w:val="00340D15"/>
    <w:rsid w:val="003423B7"/>
    <w:rsid w:val="00344722"/>
    <w:rsid w:val="003515D6"/>
    <w:rsid w:val="00352F15"/>
    <w:rsid w:val="00357169"/>
    <w:rsid w:val="00367A2B"/>
    <w:rsid w:val="00370113"/>
    <w:rsid w:val="003861F0"/>
    <w:rsid w:val="00391A51"/>
    <w:rsid w:val="00392460"/>
    <w:rsid w:val="00392B18"/>
    <w:rsid w:val="003939E0"/>
    <w:rsid w:val="003948C7"/>
    <w:rsid w:val="00396CFF"/>
    <w:rsid w:val="003979C9"/>
    <w:rsid w:val="003B0414"/>
    <w:rsid w:val="003B2AFB"/>
    <w:rsid w:val="003C11D2"/>
    <w:rsid w:val="003D2646"/>
    <w:rsid w:val="003D265D"/>
    <w:rsid w:val="003E65DB"/>
    <w:rsid w:val="003F5C66"/>
    <w:rsid w:val="004038D0"/>
    <w:rsid w:val="00412CF8"/>
    <w:rsid w:val="00415110"/>
    <w:rsid w:val="00426341"/>
    <w:rsid w:val="0042655B"/>
    <w:rsid w:val="00431B53"/>
    <w:rsid w:val="00434381"/>
    <w:rsid w:val="00451674"/>
    <w:rsid w:val="00455C71"/>
    <w:rsid w:val="00456A56"/>
    <w:rsid w:val="004577AE"/>
    <w:rsid w:val="00466A09"/>
    <w:rsid w:val="004676A6"/>
    <w:rsid w:val="00480424"/>
    <w:rsid w:val="00481D92"/>
    <w:rsid w:val="00486CF8"/>
    <w:rsid w:val="004979C4"/>
    <w:rsid w:val="004A3BA3"/>
    <w:rsid w:val="004A5C89"/>
    <w:rsid w:val="004B3C4F"/>
    <w:rsid w:val="004B73B2"/>
    <w:rsid w:val="004C0DC4"/>
    <w:rsid w:val="004C343C"/>
    <w:rsid w:val="004E4746"/>
    <w:rsid w:val="0050372F"/>
    <w:rsid w:val="00512533"/>
    <w:rsid w:val="0051289C"/>
    <w:rsid w:val="00530811"/>
    <w:rsid w:val="005323D6"/>
    <w:rsid w:val="00535EFE"/>
    <w:rsid w:val="0054455D"/>
    <w:rsid w:val="0055050A"/>
    <w:rsid w:val="00556D3F"/>
    <w:rsid w:val="005604A2"/>
    <w:rsid w:val="00561136"/>
    <w:rsid w:val="00561A3A"/>
    <w:rsid w:val="00570B3E"/>
    <w:rsid w:val="00570F7E"/>
    <w:rsid w:val="00571909"/>
    <w:rsid w:val="00572E10"/>
    <w:rsid w:val="00573AFA"/>
    <w:rsid w:val="00586DAE"/>
    <w:rsid w:val="005917CE"/>
    <w:rsid w:val="005B28E2"/>
    <w:rsid w:val="005C5629"/>
    <w:rsid w:val="005D1F3A"/>
    <w:rsid w:val="005E1A96"/>
    <w:rsid w:val="005E6D29"/>
    <w:rsid w:val="005E7E72"/>
    <w:rsid w:val="005F5824"/>
    <w:rsid w:val="005F75E2"/>
    <w:rsid w:val="00600126"/>
    <w:rsid w:val="00600FA2"/>
    <w:rsid w:val="00604FDB"/>
    <w:rsid w:val="0061168E"/>
    <w:rsid w:val="00613DD4"/>
    <w:rsid w:val="0061482C"/>
    <w:rsid w:val="00621F3A"/>
    <w:rsid w:val="00647531"/>
    <w:rsid w:val="00650B9A"/>
    <w:rsid w:val="006520B5"/>
    <w:rsid w:val="00654431"/>
    <w:rsid w:val="0065489D"/>
    <w:rsid w:val="00663471"/>
    <w:rsid w:val="006641A7"/>
    <w:rsid w:val="00671B4F"/>
    <w:rsid w:val="00675E49"/>
    <w:rsid w:val="00676F7F"/>
    <w:rsid w:val="00683726"/>
    <w:rsid w:val="00683F6B"/>
    <w:rsid w:val="00686C9D"/>
    <w:rsid w:val="0069723F"/>
    <w:rsid w:val="006C074B"/>
    <w:rsid w:val="006C5254"/>
    <w:rsid w:val="006D29CB"/>
    <w:rsid w:val="006E59E8"/>
    <w:rsid w:val="006E7B59"/>
    <w:rsid w:val="006F0305"/>
    <w:rsid w:val="006F1407"/>
    <w:rsid w:val="006F2643"/>
    <w:rsid w:val="006F70B9"/>
    <w:rsid w:val="006F79D8"/>
    <w:rsid w:val="00703A91"/>
    <w:rsid w:val="007157F2"/>
    <w:rsid w:val="00722FE7"/>
    <w:rsid w:val="00723746"/>
    <w:rsid w:val="007239F2"/>
    <w:rsid w:val="007312CE"/>
    <w:rsid w:val="007342F1"/>
    <w:rsid w:val="0074149B"/>
    <w:rsid w:val="00751131"/>
    <w:rsid w:val="00755CD9"/>
    <w:rsid w:val="00763FF5"/>
    <w:rsid w:val="0076781F"/>
    <w:rsid w:val="00775EFD"/>
    <w:rsid w:val="00780886"/>
    <w:rsid w:val="007840E7"/>
    <w:rsid w:val="00787C08"/>
    <w:rsid w:val="007919A6"/>
    <w:rsid w:val="00794608"/>
    <w:rsid w:val="00795DF7"/>
    <w:rsid w:val="00797DEF"/>
    <w:rsid w:val="007A0993"/>
    <w:rsid w:val="007B1425"/>
    <w:rsid w:val="007D153D"/>
    <w:rsid w:val="007D3771"/>
    <w:rsid w:val="007D3B2A"/>
    <w:rsid w:val="007D4912"/>
    <w:rsid w:val="007D776C"/>
    <w:rsid w:val="007F6B89"/>
    <w:rsid w:val="007F7D57"/>
    <w:rsid w:val="0081792A"/>
    <w:rsid w:val="00827097"/>
    <w:rsid w:val="00830E38"/>
    <w:rsid w:val="00841065"/>
    <w:rsid w:val="00844411"/>
    <w:rsid w:val="00844C40"/>
    <w:rsid w:val="0084530B"/>
    <w:rsid w:val="00847DC2"/>
    <w:rsid w:val="00851AEB"/>
    <w:rsid w:val="00852496"/>
    <w:rsid w:val="00853786"/>
    <w:rsid w:val="00853D7E"/>
    <w:rsid w:val="0085742D"/>
    <w:rsid w:val="0087451A"/>
    <w:rsid w:val="0089192D"/>
    <w:rsid w:val="00894CF3"/>
    <w:rsid w:val="008A295A"/>
    <w:rsid w:val="008A3A2C"/>
    <w:rsid w:val="008A7E2B"/>
    <w:rsid w:val="008B1C1C"/>
    <w:rsid w:val="008B2A51"/>
    <w:rsid w:val="008C4549"/>
    <w:rsid w:val="008C5C00"/>
    <w:rsid w:val="008C721A"/>
    <w:rsid w:val="008C78DB"/>
    <w:rsid w:val="008D05E5"/>
    <w:rsid w:val="008D2B65"/>
    <w:rsid w:val="008D4232"/>
    <w:rsid w:val="008D7706"/>
    <w:rsid w:val="008E1DAB"/>
    <w:rsid w:val="008E4616"/>
    <w:rsid w:val="008F6472"/>
    <w:rsid w:val="00900CAF"/>
    <w:rsid w:val="00905D5B"/>
    <w:rsid w:val="00912A46"/>
    <w:rsid w:val="00916C80"/>
    <w:rsid w:val="0091A429"/>
    <w:rsid w:val="009259D2"/>
    <w:rsid w:val="00925A98"/>
    <w:rsid w:val="00933070"/>
    <w:rsid w:val="0094173E"/>
    <w:rsid w:val="00943E77"/>
    <w:rsid w:val="00947609"/>
    <w:rsid w:val="00960A53"/>
    <w:rsid w:val="00964110"/>
    <w:rsid w:val="00971067"/>
    <w:rsid w:val="0097237A"/>
    <w:rsid w:val="00977569"/>
    <w:rsid w:val="00977C95"/>
    <w:rsid w:val="00983DB2"/>
    <w:rsid w:val="009965B3"/>
    <w:rsid w:val="009A460A"/>
    <w:rsid w:val="009A59F0"/>
    <w:rsid w:val="009A655C"/>
    <w:rsid w:val="009A7F99"/>
    <w:rsid w:val="009B1539"/>
    <w:rsid w:val="009C31F2"/>
    <w:rsid w:val="009C7379"/>
    <w:rsid w:val="009D320B"/>
    <w:rsid w:val="009E07B0"/>
    <w:rsid w:val="009E458A"/>
    <w:rsid w:val="009F3F6D"/>
    <w:rsid w:val="009F5B44"/>
    <w:rsid w:val="00A00B7E"/>
    <w:rsid w:val="00A06DA9"/>
    <w:rsid w:val="00A1014D"/>
    <w:rsid w:val="00A10C71"/>
    <w:rsid w:val="00A12A56"/>
    <w:rsid w:val="00A157DA"/>
    <w:rsid w:val="00A303FC"/>
    <w:rsid w:val="00A306CC"/>
    <w:rsid w:val="00A32CA5"/>
    <w:rsid w:val="00A34875"/>
    <w:rsid w:val="00A35151"/>
    <w:rsid w:val="00A35662"/>
    <w:rsid w:val="00A3734B"/>
    <w:rsid w:val="00A54D20"/>
    <w:rsid w:val="00A56A6E"/>
    <w:rsid w:val="00A5DEF0"/>
    <w:rsid w:val="00A61324"/>
    <w:rsid w:val="00A64DE1"/>
    <w:rsid w:val="00A773D5"/>
    <w:rsid w:val="00A81666"/>
    <w:rsid w:val="00A847BC"/>
    <w:rsid w:val="00A8520D"/>
    <w:rsid w:val="00A937CF"/>
    <w:rsid w:val="00AA02A0"/>
    <w:rsid w:val="00AA74E3"/>
    <w:rsid w:val="00AA7EB1"/>
    <w:rsid w:val="00AB6151"/>
    <w:rsid w:val="00AB6DA9"/>
    <w:rsid w:val="00AD0F50"/>
    <w:rsid w:val="00AD2D61"/>
    <w:rsid w:val="00AD7235"/>
    <w:rsid w:val="00AE53CA"/>
    <w:rsid w:val="00AE6E48"/>
    <w:rsid w:val="00B04031"/>
    <w:rsid w:val="00B24011"/>
    <w:rsid w:val="00B31ABC"/>
    <w:rsid w:val="00B37EEA"/>
    <w:rsid w:val="00B4002A"/>
    <w:rsid w:val="00B413A9"/>
    <w:rsid w:val="00B45129"/>
    <w:rsid w:val="00B524D6"/>
    <w:rsid w:val="00B54750"/>
    <w:rsid w:val="00B562B9"/>
    <w:rsid w:val="00B56DC8"/>
    <w:rsid w:val="00B66E4F"/>
    <w:rsid w:val="00B672DF"/>
    <w:rsid w:val="00B74CE6"/>
    <w:rsid w:val="00B7633F"/>
    <w:rsid w:val="00B803EE"/>
    <w:rsid w:val="00B8127F"/>
    <w:rsid w:val="00B94E6C"/>
    <w:rsid w:val="00BA232C"/>
    <w:rsid w:val="00BB01D5"/>
    <w:rsid w:val="00BB0397"/>
    <w:rsid w:val="00BB0CB1"/>
    <w:rsid w:val="00BB23C6"/>
    <w:rsid w:val="00BD6823"/>
    <w:rsid w:val="00BE6683"/>
    <w:rsid w:val="00BF58DE"/>
    <w:rsid w:val="00C110B1"/>
    <w:rsid w:val="00C415C2"/>
    <w:rsid w:val="00C42C93"/>
    <w:rsid w:val="00C44AF5"/>
    <w:rsid w:val="00C605FF"/>
    <w:rsid w:val="00C625B6"/>
    <w:rsid w:val="00C6525C"/>
    <w:rsid w:val="00C70D29"/>
    <w:rsid w:val="00C7735E"/>
    <w:rsid w:val="00C82BB7"/>
    <w:rsid w:val="00C871AE"/>
    <w:rsid w:val="00C87583"/>
    <w:rsid w:val="00C90747"/>
    <w:rsid w:val="00C91280"/>
    <w:rsid w:val="00C9488E"/>
    <w:rsid w:val="00C95041"/>
    <w:rsid w:val="00CA0AF8"/>
    <w:rsid w:val="00CA476D"/>
    <w:rsid w:val="00CA7B81"/>
    <w:rsid w:val="00CB0FB0"/>
    <w:rsid w:val="00CC1541"/>
    <w:rsid w:val="00CC72F2"/>
    <w:rsid w:val="00CC7313"/>
    <w:rsid w:val="00CD2E29"/>
    <w:rsid w:val="00CD3A3B"/>
    <w:rsid w:val="00CD74F7"/>
    <w:rsid w:val="00CE214A"/>
    <w:rsid w:val="00CE7CEF"/>
    <w:rsid w:val="00D10BED"/>
    <w:rsid w:val="00D15660"/>
    <w:rsid w:val="00D22F8B"/>
    <w:rsid w:val="00D23932"/>
    <w:rsid w:val="00D24A37"/>
    <w:rsid w:val="00D3538C"/>
    <w:rsid w:val="00D47CAE"/>
    <w:rsid w:val="00D6164F"/>
    <w:rsid w:val="00D64299"/>
    <w:rsid w:val="00D70D97"/>
    <w:rsid w:val="00D72605"/>
    <w:rsid w:val="00D769BE"/>
    <w:rsid w:val="00D770E7"/>
    <w:rsid w:val="00D87798"/>
    <w:rsid w:val="00D92ABB"/>
    <w:rsid w:val="00D92D1F"/>
    <w:rsid w:val="00DA1CBD"/>
    <w:rsid w:val="00DA236E"/>
    <w:rsid w:val="00DB0EFF"/>
    <w:rsid w:val="00DB396D"/>
    <w:rsid w:val="00DC2259"/>
    <w:rsid w:val="00DC55AF"/>
    <w:rsid w:val="00DC6D5C"/>
    <w:rsid w:val="00DD16F0"/>
    <w:rsid w:val="00DD3CF2"/>
    <w:rsid w:val="00DD46AB"/>
    <w:rsid w:val="00DD4C4F"/>
    <w:rsid w:val="00DD5B7E"/>
    <w:rsid w:val="00DE5A5A"/>
    <w:rsid w:val="00DF391B"/>
    <w:rsid w:val="00E0274E"/>
    <w:rsid w:val="00E065F7"/>
    <w:rsid w:val="00E0799A"/>
    <w:rsid w:val="00E1107F"/>
    <w:rsid w:val="00E25BD4"/>
    <w:rsid w:val="00E323A6"/>
    <w:rsid w:val="00E32A56"/>
    <w:rsid w:val="00E50C22"/>
    <w:rsid w:val="00E54D3A"/>
    <w:rsid w:val="00E643A2"/>
    <w:rsid w:val="00E7224B"/>
    <w:rsid w:val="00E72B18"/>
    <w:rsid w:val="00E72CB3"/>
    <w:rsid w:val="00E90AF0"/>
    <w:rsid w:val="00E966B5"/>
    <w:rsid w:val="00EA322F"/>
    <w:rsid w:val="00EA3848"/>
    <w:rsid w:val="00EA7F17"/>
    <w:rsid w:val="00EB0384"/>
    <w:rsid w:val="00EC22EE"/>
    <w:rsid w:val="00EC61B2"/>
    <w:rsid w:val="00ED196D"/>
    <w:rsid w:val="00ED1ACF"/>
    <w:rsid w:val="00EE2104"/>
    <w:rsid w:val="00EE3DEB"/>
    <w:rsid w:val="00EE4263"/>
    <w:rsid w:val="00EF230C"/>
    <w:rsid w:val="00EF55E0"/>
    <w:rsid w:val="00F06A49"/>
    <w:rsid w:val="00F12A6A"/>
    <w:rsid w:val="00F16DC6"/>
    <w:rsid w:val="00F16E3F"/>
    <w:rsid w:val="00F22BFA"/>
    <w:rsid w:val="00F23D19"/>
    <w:rsid w:val="00F24177"/>
    <w:rsid w:val="00F301ED"/>
    <w:rsid w:val="00F3067B"/>
    <w:rsid w:val="00F30B42"/>
    <w:rsid w:val="00F34AFF"/>
    <w:rsid w:val="00F41811"/>
    <w:rsid w:val="00F42AEF"/>
    <w:rsid w:val="00F46A7C"/>
    <w:rsid w:val="00F5244F"/>
    <w:rsid w:val="00F66D06"/>
    <w:rsid w:val="00F7048C"/>
    <w:rsid w:val="00F75023"/>
    <w:rsid w:val="00F763DA"/>
    <w:rsid w:val="00F83358"/>
    <w:rsid w:val="00F8494B"/>
    <w:rsid w:val="00F856D0"/>
    <w:rsid w:val="00F85933"/>
    <w:rsid w:val="00F87EA5"/>
    <w:rsid w:val="00F94ED6"/>
    <w:rsid w:val="00F97C9B"/>
    <w:rsid w:val="00FA1C7B"/>
    <w:rsid w:val="00FA3E8B"/>
    <w:rsid w:val="00FC7271"/>
    <w:rsid w:val="00FD1785"/>
    <w:rsid w:val="00FD54F1"/>
    <w:rsid w:val="00FD73ED"/>
    <w:rsid w:val="00FE0676"/>
    <w:rsid w:val="00FE6ED3"/>
    <w:rsid w:val="00FF427C"/>
    <w:rsid w:val="00FF6AB9"/>
    <w:rsid w:val="010A0D17"/>
    <w:rsid w:val="010FDB43"/>
    <w:rsid w:val="01550503"/>
    <w:rsid w:val="0197396B"/>
    <w:rsid w:val="01A15105"/>
    <w:rsid w:val="01A93FFA"/>
    <w:rsid w:val="01F998DE"/>
    <w:rsid w:val="023920B6"/>
    <w:rsid w:val="024042F8"/>
    <w:rsid w:val="02908C04"/>
    <w:rsid w:val="02DF9A8D"/>
    <w:rsid w:val="0316E27A"/>
    <w:rsid w:val="0320D79B"/>
    <w:rsid w:val="034E2A67"/>
    <w:rsid w:val="03F7D604"/>
    <w:rsid w:val="045F10CB"/>
    <w:rsid w:val="04942A16"/>
    <w:rsid w:val="04DD0344"/>
    <w:rsid w:val="05112BDA"/>
    <w:rsid w:val="051DB6E0"/>
    <w:rsid w:val="054ED1B0"/>
    <w:rsid w:val="06853240"/>
    <w:rsid w:val="068CBB95"/>
    <w:rsid w:val="06AC0A15"/>
    <w:rsid w:val="06D32F9C"/>
    <w:rsid w:val="06E0AA80"/>
    <w:rsid w:val="06F4659B"/>
    <w:rsid w:val="072FED65"/>
    <w:rsid w:val="07501CE7"/>
    <w:rsid w:val="07AF7448"/>
    <w:rsid w:val="07CBABCE"/>
    <w:rsid w:val="07E0D02C"/>
    <w:rsid w:val="080F966A"/>
    <w:rsid w:val="083DA23D"/>
    <w:rsid w:val="08807AE1"/>
    <w:rsid w:val="08B2ABAA"/>
    <w:rsid w:val="08DBB8B0"/>
    <w:rsid w:val="0913336E"/>
    <w:rsid w:val="091D7DD9"/>
    <w:rsid w:val="094D8B61"/>
    <w:rsid w:val="095BE808"/>
    <w:rsid w:val="09BC6FCC"/>
    <w:rsid w:val="09C60619"/>
    <w:rsid w:val="09CE13CB"/>
    <w:rsid w:val="09E96D4E"/>
    <w:rsid w:val="09FE7163"/>
    <w:rsid w:val="0A62B6D2"/>
    <w:rsid w:val="0A74BBF2"/>
    <w:rsid w:val="0A82758C"/>
    <w:rsid w:val="0AA186A3"/>
    <w:rsid w:val="0AF442BF"/>
    <w:rsid w:val="0B1ABC1E"/>
    <w:rsid w:val="0BA1005A"/>
    <w:rsid w:val="0BD32C94"/>
    <w:rsid w:val="0C21094A"/>
    <w:rsid w:val="0C2F1185"/>
    <w:rsid w:val="0C376E4A"/>
    <w:rsid w:val="0C4E92D6"/>
    <w:rsid w:val="0C5F40CD"/>
    <w:rsid w:val="0C6C99BB"/>
    <w:rsid w:val="0C8C3E4F"/>
    <w:rsid w:val="0CA858B4"/>
    <w:rsid w:val="0CD3BADA"/>
    <w:rsid w:val="0D73BFD6"/>
    <w:rsid w:val="0DD44F66"/>
    <w:rsid w:val="0DDF99A8"/>
    <w:rsid w:val="0E0F9B97"/>
    <w:rsid w:val="0E136F39"/>
    <w:rsid w:val="0E3D3AFE"/>
    <w:rsid w:val="0E583360"/>
    <w:rsid w:val="0E81FF1C"/>
    <w:rsid w:val="0E98A9F5"/>
    <w:rsid w:val="0EE516C1"/>
    <w:rsid w:val="0F10C882"/>
    <w:rsid w:val="0F345741"/>
    <w:rsid w:val="0F6F0F0C"/>
    <w:rsid w:val="0F9AA035"/>
    <w:rsid w:val="0FB5CB68"/>
    <w:rsid w:val="1027F2AA"/>
    <w:rsid w:val="10518B95"/>
    <w:rsid w:val="1058F29A"/>
    <w:rsid w:val="10968284"/>
    <w:rsid w:val="10C91977"/>
    <w:rsid w:val="113DF4BE"/>
    <w:rsid w:val="11DEE3A6"/>
    <w:rsid w:val="11FB3CCE"/>
    <w:rsid w:val="127A478C"/>
    <w:rsid w:val="12F9BA66"/>
    <w:rsid w:val="135A26ED"/>
    <w:rsid w:val="1376F561"/>
    <w:rsid w:val="13813FCC"/>
    <w:rsid w:val="142AC2A0"/>
    <w:rsid w:val="1442802F"/>
    <w:rsid w:val="1462D49F"/>
    <w:rsid w:val="1514CB1E"/>
    <w:rsid w:val="1665D5F6"/>
    <w:rsid w:val="16A7A4BC"/>
    <w:rsid w:val="16EA42B7"/>
    <w:rsid w:val="1704C7E9"/>
    <w:rsid w:val="1755E4DB"/>
    <w:rsid w:val="1766ECCD"/>
    <w:rsid w:val="1792D914"/>
    <w:rsid w:val="189BF343"/>
    <w:rsid w:val="1962A1FB"/>
    <w:rsid w:val="197769A2"/>
    <w:rsid w:val="19A798EA"/>
    <w:rsid w:val="19C30186"/>
    <w:rsid w:val="19DF13A8"/>
    <w:rsid w:val="19F6DA44"/>
    <w:rsid w:val="1A038866"/>
    <w:rsid w:val="1A0C33C7"/>
    <w:rsid w:val="1A390EAC"/>
    <w:rsid w:val="1AAF266A"/>
    <w:rsid w:val="1ABCA29B"/>
    <w:rsid w:val="1AD389EB"/>
    <w:rsid w:val="1B311F4B"/>
    <w:rsid w:val="1B3C460E"/>
    <w:rsid w:val="1B3D7F96"/>
    <w:rsid w:val="1B930F4C"/>
    <w:rsid w:val="1BA08B7D"/>
    <w:rsid w:val="1BEC4906"/>
    <w:rsid w:val="1C5B9A2A"/>
    <w:rsid w:val="1C697BFD"/>
    <w:rsid w:val="1C7E74F7"/>
    <w:rsid w:val="1CBB1CB4"/>
    <w:rsid w:val="1CFE2385"/>
    <w:rsid w:val="1D161CF2"/>
    <w:rsid w:val="1D4D64DF"/>
    <w:rsid w:val="1D60A387"/>
    <w:rsid w:val="1E265DD7"/>
    <w:rsid w:val="1E2E8B3A"/>
    <w:rsid w:val="1E605B48"/>
    <w:rsid w:val="1EAE6C16"/>
    <w:rsid w:val="1F4394EB"/>
    <w:rsid w:val="1F6251ED"/>
    <w:rsid w:val="1FC62DB6"/>
    <w:rsid w:val="1FE296BF"/>
    <w:rsid w:val="20625D22"/>
    <w:rsid w:val="2081ABA2"/>
    <w:rsid w:val="2084C8B9"/>
    <w:rsid w:val="208FA517"/>
    <w:rsid w:val="20967349"/>
    <w:rsid w:val="2099723E"/>
    <w:rsid w:val="21021943"/>
    <w:rsid w:val="21384D9B"/>
    <w:rsid w:val="21A0145C"/>
    <w:rsid w:val="21E1D360"/>
    <w:rsid w:val="21F91626"/>
    <w:rsid w:val="22094A7E"/>
    <w:rsid w:val="223507B2"/>
    <w:rsid w:val="2265CCF1"/>
    <w:rsid w:val="22718825"/>
    <w:rsid w:val="22734922"/>
    <w:rsid w:val="22851B71"/>
    <w:rsid w:val="22B5AEA3"/>
    <w:rsid w:val="22C1D689"/>
    <w:rsid w:val="22D7120A"/>
    <w:rsid w:val="233C39A2"/>
    <w:rsid w:val="234A6BA4"/>
    <w:rsid w:val="237DB76D"/>
    <w:rsid w:val="237E0868"/>
    <w:rsid w:val="23BBAA44"/>
    <w:rsid w:val="2461F14A"/>
    <w:rsid w:val="249524AF"/>
    <w:rsid w:val="24BF1477"/>
    <w:rsid w:val="25500252"/>
    <w:rsid w:val="2557DF4C"/>
    <w:rsid w:val="25655B7D"/>
    <w:rsid w:val="25928BD0"/>
    <w:rsid w:val="25BF8952"/>
    <w:rsid w:val="2668F881"/>
    <w:rsid w:val="26EFF107"/>
    <w:rsid w:val="2749EC0B"/>
    <w:rsid w:val="27704277"/>
    <w:rsid w:val="27D7FD36"/>
    <w:rsid w:val="2804FAB8"/>
    <w:rsid w:val="28159F12"/>
    <w:rsid w:val="2876D03D"/>
    <w:rsid w:val="29317C89"/>
    <w:rsid w:val="29351D0D"/>
    <w:rsid w:val="297E75B8"/>
    <w:rsid w:val="29930409"/>
    <w:rsid w:val="2A3FDE99"/>
    <w:rsid w:val="2A474336"/>
    <w:rsid w:val="2A95BCFC"/>
    <w:rsid w:val="2AB53E4D"/>
    <w:rsid w:val="2AD4BF9E"/>
    <w:rsid w:val="2B61AC71"/>
    <w:rsid w:val="2B914FD4"/>
    <w:rsid w:val="2BF32233"/>
    <w:rsid w:val="2C0B1BA0"/>
    <w:rsid w:val="2C384BF3"/>
    <w:rsid w:val="2C6516A4"/>
    <w:rsid w:val="2C654975"/>
    <w:rsid w:val="2C6F93E0"/>
    <w:rsid w:val="2CB4F9A3"/>
    <w:rsid w:val="2CC367C6"/>
    <w:rsid w:val="2CD544DA"/>
    <w:rsid w:val="2CEC41FB"/>
    <w:rsid w:val="2D082BE4"/>
    <w:rsid w:val="2D3B8355"/>
    <w:rsid w:val="2D3BCB62"/>
    <w:rsid w:val="2D593CDF"/>
    <w:rsid w:val="2DB4CCD9"/>
    <w:rsid w:val="2DC6D1F9"/>
    <w:rsid w:val="2E04EDAC"/>
    <w:rsid w:val="2E9D3EAA"/>
    <w:rsid w:val="2EB62042"/>
    <w:rsid w:val="2EB8370C"/>
    <w:rsid w:val="2EDE5A23"/>
    <w:rsid w:val="2F3C309D"/>
    <w:rsid w:val="2FCD738E"/>
    <w:rsid w:val="30B8E454"/>
    <w:rsid w:val="30BF3E43"/>
    <w:rsid w:val="30C66085"/>
    <w:rsid w:val="30E1776D"/>
    <w:rsid w:val="30E5F964"/>
    <w:rsid w:val="30F9B7F6"/>
    <w:rsid w:val="31687AA1"/>
    <w:rsid w:val="318B2DB8"/>
    <w:rsid w:val="31AA4967"/>
    <w:rsid w:val="31AAAF09"/>
    <w:rsid w:val="31D41523"/>
    <w:rsid w:val="32553620"/>
    <w:rsid w:val="32619A69"/>
    <w:rsid w:val="32A062C5"/>
    <w:rsid w:val="32C1BC8B"/>
    <w:rsid w:val="32D38EDA"/>
    <w:rsid w:val="32F3423A"/>
    <w:rsid w:val="3307E16F"/>
    <w:rsid w:val="337A08B1"/>
    <w:rsid w:val="3396256B"/>
    <w:rsid w:val="33ADEC07"/>
    <w:rsid w:val="33E8988B"/>
    <w:rsid w:val="34988484"/>
    <w:rsid w:val="34D4FC55"/>
    <w:rsid w:val="350A6B4A"/>
    <w:rsid w:val="352EA665"/>
    <w:rsid w:val="3530F9AD"/>
    <w:rsid w:val="353603D2"/>
    <w:rsid w:val="3545FDC2"/>
    <w:rsid w:val="35B80CD2"/>
    <w:rsid w:val="35CCF648"/>
    <w:rsid w:val="3623BF86"/>
    <w:rsid w:val="366D4515"/>
    <w:rsid w:val="36CDC15E"/>
    <w:rsid w:val="3779373F"/>
    <w:rsid w:val="3791C917"/>
    <w:rsid w:val="37A94AA5"/>
    <w:rsid w:val="385AC334"/>
    <w:rsid w:val="388605E1"/>
    <w:rsid w:val="38AA048E"/>
    <w:rsid w:val="3915D1E1"/>
    <w:rsid w:val="3916421B"/>
    <w:rsid w:val="39355332"/>
    <w:rsid w:val="39460CBC"/>
    <w:rsid w:val="39B7EBFD"/>
    <w:rsid w:val="39B810DC"/>
    <w:rsid w:val="39F9BAC3"/>
    <w:rsid w:val="3A04EFBE"/>
    <w:rsid w:val="3A193C14"/>
    <w:rsid w:val="3A21D642"/>
    <w:rsid w:val="3A29E06E"/>
    <w:rsid w:val="3A2EE8AF"/>
    <w:rsid w:val="3A68B03F"/>
    <w:rsid w:val="3AC61C06"/>
    <w:rsid w:val="3B15CF5B"/>
    <w:rsid w:val="3B4A1FB3"/>
    <w:rsid w:val="3B6EBDB7"/>
    <w:rsid w:val="3B84504D"/>
    <w:rsid w:val="3B91D811"/>
    <w:rsid w:val="3B936BA8"/>
    <w:rsid w:val="3B9C49BA"/>
    <w:rsid w:val="3BA88A05"/>
    <w:rsid w:val="3BC9473C"/>
    <w:rsid w:val="3CF9AEF1"/>
    <w:rsid w:val="3D0094C5"/>
    <w:rsid w:val="3D3F577D"/>
    <w:rsid w:val="3D48F04B"/>
    <w:rsid w:val="3D597704"/>
    <w:rsid w:val="3DF462B2"/>
    <w:rsid w:val="3E2BD563"/>
    <w:rsid w:val="3E798AD1"/>
    <w:rsid w:val="3ECDCFEA"/>
    <w:rsid w:val="3EE16483"/>
    <w:rsid w:val="3EEFA28F"/>
    <w:rsid w:val="3EF54765"/>
    <w:rsid w:val="4007DE06"/>
    <w:rsid w:val="401BE6F7"/>
    <w:rsid w:val="406B8622"/>
    <w:rsid w:val="409F7AE6"/>
    <w:rsid w:val="415B0C25"/>
    <w:rsid w:val="4180A141"/>
    <w:rsid w:val="41CC7E04"/>
    <w:rsid w:val="41CD0299"/>
    <w:rsid w:val="4241D70C"/>
    <w:rsid w:val="424209DD"/>
    <w:rsid w:val="427951CA"/>
    <w:rsid w:val="42CE15FA"/>
    <w:rsid w:val="42E51F1D"/>
    <w:rsid w:val="4399203B"/>
    <w:rsid w:val="43B6E4D7"/>
    <w:rsid w:val="441BADF0"/>
    <w:rsid w:val="44215557"/>
    <w:rsid w:val="4445B61A"/>
    <w:rsid w:val="4448AB72"/>
    <w:rsid w:val="4464955B"/>
    <w:rsid w:val="44A2D947"/>
    <w:rsid w:val="45D73178"/>
    <w:rsid w:val="45F2212C"/>
    <w:rsid w:val="45F3318C"/>
    <w:rsid w:val="462CC9EB"/>
    <w:rsid w:val="462E10E1"/>
    <w:rsid w:val="46717439"/>
    <w:rsid w:val="46D01E6F"/>
    <w:rsid w:val="46F5C6DE"/>
    <w:rsid w:val="4700441A"/>
    <w:rsid w:val="470DC04B"/>
    <w:rsid w:val="47101ABC"/>
    <w:rsid w:val="47F86C29"/>
    <w:rsid w:val="48112A7E"/>
    <w:rsid w:val="48845877"/>
    <w:rsid w:val="489855D5"/>
    <w:rsid w:val="48B77184"/>
    <w:rsid w:val="490D5556"/>
    <w:rsid w:val="49119F59"/>
    <w:rsid w:val="49419233"/>
    <w:rsid w:val="494582AF"/>
    <w:rsid w:val="4A21BC6F"/>
    <w:rsid w:val="4A3ED548"/>
    <w:rsid w:val="4A42070E"/>
    <w:rsid w:val="4AE859A7"/>
    <w:rsid w:val="4B2A133D"/>
    <w:rsid w:val="4B3E5C74"/>
    <w:rsid w:val="4B67B519"/>
    <w:rsid w:val="4B8A6830"/>
    <w:rsid w:val="4BC1B01D"/>
    <w:rsid w:val="4BC1E2EE"/>
    <w:rsid w:val="4BD88677"/>
    <w:rsid w:val="4C0B0EAC"/>
    <w:rsid w:val="4C1C78A9"/>
    <w:rsid w:val="4C4CFEC1"/>
    <w:rsid w:val="4C5CDD5A"/>
    <w:rsid w:val="4C64C55D"/>
    <w:rsid w:val="4C73848F"/>
    <w:rsid w:val="4C911300"/>
    <w:rsid w:val="4CF94031"/>
    <w:rsid w:val="4D116652"/>
    <w:rsid w:val="4D2ED4AB"/>
    <w:rsid w:val="4D503623"/>
    <w:rsid w:val="4D835AC3"/>
    <w:rsid w:val="4DE7D303"/>
    <w:rsid w:val="4E94AB86"/>
    <w:rsid w:val="4EE0F2CB"/>
    <w:rsid w:val="4EE84010"/>
    <w:rsid w:val="4F22F462"/>
    <w:rsid w:val="4F3F111C"/>
    <w:rsid w:val="4FB45812"/>
    <w:rsid w:val="4FB72CAB"/>
    <w:rsid w:val="503BA21A"/>
    <w:rsid w:val="505238BB"/>
    <w:rsid w:val="505A41EB"/>
    <w:rsid w:val="50A29D71"/>
    <w:rsid w:val="50DB8F20"/>
    <w:rsid w:val="5106E2E0"/>
    <w:rsid w:val="5118E800"/>
    <w:rsid w:val="512D65D7"/>
    <w:rsid w:val="51BB0BB9"/>
    <w:rsid w:val="51D3EF81"/>
    <w:rsid w:val="52182EE6"/>
    <w:rsid w:val="525D25D5"/>
    <w:rsid w:val="5269155A"/>
    <w:rsid w:val="52775F81"/>
    <w:rsid w:val="528FDC4E"/>
    <w:rsid w:val="52B7E2F4"/>
    <w:rsid w:val="52D33D93"/>
    <w:rsid w:val="537DFADE"/>
    <w:rsid w:val="537FABB7"/>
    <w:rsid w:val="53E44E75"/>
    <w:rsid w:val="5418768C"/>
    <w:rsid w:val="54EE7527"/>
    <w:rsid w:val="54FC5F6E"/>
    <w:rsid w:val="5533D6C0"/>
    <w:rsid w:val="5582FEE0"/>
    <w:rsid w:val="559E798A"/>
    <w:rsid w:val="55B58D18"/>
    <w:rsid w:val="55B76E1B"/>
    <w:rsid w:val="55D8F40D"/>
    <w:rsid w:val="5625A4E1"/>
    <w:rsid w:val="563F09AC"/>
    <w:rsid w:val="5700020E"/>
    <w:rsid w:val="5785B285"/>
    <w:rsid w:val="57E45A2F"/>
    <w:rsid w:val="580076E9"/>
    <w:rsid w:val="580C42DF"/>
    <w:rsid w:val="58183D85"/>
    <w:rsid w:val="588E6CD0"/>
    <w:rsid w:val="5893B5F6"/>
    <w:rsid w:val="58D2C04D"/>
    <w:rsid w:val="58EEDD07"/>
    <w:rsid w:val="59AD355D"/>
    <w:rsid w:val="59C44B6C"/>
    <w:rsid w:val="5A256BDA"/>
    <w:rsid w:val="5A2C8967"/>
    <w:rsid w:val="5A3CB129"/>
    <w:rsid w:val="5A793FC0"/>
    <w:rsid w:val="5B121C44"/>
    <w:rsid w:val="5B127ACF"/>
    <w:rsid w:val="5B5C69FD"/>
    <w:rsid w:val="5B83625B"/>
    <w:rsid w:val="5B88B1E2"/>
    <w:rsid w:val="5B9807F7"/>
    <w:rsid w:val="5BACD93B"/>
    <w:rsid w:val="5C1694BD"/>
    <w:rsid w:val="5C294AE8"/>
    <w:rsid w:val="5C68626D"/>
    <w:rsid w:val="5CAE4B30"/>
    <w:rsid w:val="5CC23DF6"/>
    <w:rsid w:val="5CD9DC59"/>
    <w:rsid w:val="5CFF84C8"/>
    <w:rsid w:val="5D0A0204"/>
    <w:rsid w:val="5D8E10C5"/>
    <w:rsid w:val="5DCBA70E"/>
    <w:rsid w:val="5E191703"/>
    <w:rsid w:val="5E62DDEC"/>
    <w:rsid w:val="5E6B4322"/>
    <w:rsid w:val="5EB4F858"/>
    <w:rsid w:val="5EDB1D70"/>
    <w:rsid w:val="5EF704C3"/>
    <w:rsid w:val="5F8D8485"/>
    <w:rsid w:val="5FE5EBF2"/>
    <w:rsid w:val="60C5B187"/>
    <w:rsid w:val="610E5B89"/>
    <w:rsid w:val="61CBA0D8"/>
    <w:rsid w:val="61E0721C"/>
    <w:rsid w:val="61F89E5A"/>
    <w:rsid w:val="62259BDC"/>
    <w:rsid w:val="6244B78B"/>
    <w:rsid w:val="62650C80"/>
    <w:rsid w:val="62DF905E"/>
    <w:rsid w:val="631B243C"/>
    <w:rsid w:val="635572F9"/>
    <w:rsid w:val="63560391"/>
    <w:rsid w:val="63AFCBC4"/>
    <w:rsid w:val="641E36BD"/>
    <w:rsid w:val="6454D106"/>
    <w:rsid w:val="645D5E40"/>
    <w:rsid w:val="648306AF"/>
    <w:rsid w:val="65147C71"/>
    <w:rsid w:val="660F91CA"/>
    <w:rsid w:val="66214CA7"/>
    <w:rsid w:val="666A59C4"/>
    <w:rsid w:val="6719D40F"/>
    <w:rsid w:val="674F709B"/>
    <w:rsid w:val="676325B7"/>
    <w:rsid w:val="676DC3F7"/>
    <w:rsid w:val="67F4EF4E"/>
    <w:rsid w:val="67F9129B"/>
    <w:rsid w:val="682DFC1F"/>
    <w:rsid w:val="68CF19AA"/>
    <w:rsid w:val="68F9FECD"/>
    <w:rsid w:val="68FA8904"/>
    <w:rsid w:val="690D2AC5"/>
    <w:rsid w:val="6929477F"/>
    <w:rsid w:val="69B04005"/>
    <w:rsid w:val="69E065B0"/>
    <w:rsid w:val="69E58D20"/>
    <w:rsid w:val="6A23A0CF"/>
    <w:rsid w:val="6A9B4D2E"/>
    <w:rsid w:val="6AC054BC"/>
    <w:rsid w:val="6B4B79E9"/>
    <w:rsid w:val="6B5F4B04"/>
    <w:rsid w:val="6B6A9598"/>
    <w:rsid w:val="6B721D7C"/>
    <w:rsid w:val="6C03392F"/>
    <w:rsid w:val="6C768377"/>
    <w:rsid w:val="6CAD0D05"/>
    <w:rsid w:val="6CDFF43C"/>
    <w:rsid w:val="6D0D248F"/>
    <w:rsid w:val="6D2CB47A"/>
    <w:rsid w:val="6D941D15"/>
    <w:rsid w:val="6E078199"/>
    <w:rsid w:val="6E1609F7"/>
    <w:rsid w:val="6E3D8C44"/>
    <w:rsid w:val="6E5585B1"/>
    <w:rsid w:val="6E56BDC3"/>
    <w:rsid w:val="6EC53B63"/>
    <w:rsid w:val="6EDC7E37"/>
    <w:rsid w:val="6F2548FC"/>
    <w:rsid w:val="6F40C3A6"/>
    <w:rsid w:val="6F4B316C"/>
    <w:rsid w:val="6F5295F5"/>
    <w:rsid w:val="6F6E1B5D"/>
    <w:rsid w:val="6F82F80E"/>
    <w:rsid w:val="6FFD9388"/>
    <w:rsid w:val="7004C6F5"/>
    <w:rsid w:val="70173057"/>
    <w:rsid w:val="7054E108"/>
    <w:rsid w:val="7081ED4C"/>
    <w:rsid w:val="7082FDAA"/>
    <w:rsid w:val="709F3563"/>
    <w:rsid w:val="711596E8"/>
    <w:rsid w:val="71596A5B"/>
    <w:rsid w:val="71D9CFC2"/>
    <w:rsid w:val="723E006E"/>
    <w:rsid w:val="724177A5"/>
    <w:rsid w:val="725CD48E"/>
    <w:rsid w:val="725E3D95"/>
    <w:rsid w:val="728A06BF"/>
    <w:rsid w:val="72D2CD8B"/>
    <w:rsid w:val="72E39A43"/>
    <w:rsid w:val="730942B2"/>
    <w:rsid w:val="73524048"/>
    <w:rsid w:val="735B9784"/>
    <w:rsid w:val="73B2B1E1"/>
    <w:rsid w:val="73D7261E"/>
    <w:rsid w:val="73F02931"/>
    <w:rsid w:val="73F4B378"/>
    <w:rsid w:val="73F6FFB5"/>
    <w:rsid w:val="740CDFB6"/>
    <w:rsid w:val="746AFE07"/>
    <w:rsid w:val="74ABD1A9"/>
    <w:rsid w:val="74F81DAB"/>
    <w:rsid w:val="7597426F"/>
    <w:rsid w:val="75AF3BDC"/>
    <w:rsid w:val="75B35F29"/>
    <w:rsid w:val="761A99DD"/>
    <w:rsid w:val="765582E2"/>
    <w:rsid w:val="776005BA"/>
    <w:rsid w:val="7840F944"/>
    <w:rsid w:val="784B7680"/>
    <w:rsid w:val="784E7575"/>
    <w:rsid w:val="79174D61"/>
    <w:rsid w:val="7936E746"/>
    <w:rsid w:val="79D93DD0"/>
    <w:rsid w:val="79EDD2A6"/>
    <w:rsid w:val="79FB4ED7"/>
    <w:rsid w:val="7A0DEC87"/>
    <w:rsid w:val="7A158883"/>
    <w:rsid w:val="7A1E34BF"/>
    <w:rsid w:val="7A4C185F"/>
    <w:rsid w:val="7A59FE66"/>
    <w:rsid w:val="7A671C2A"/>
    <w:rsid w:val="7A827A2E"/>
    <w:rsid w:val="7A8CC499"/>
    <w:rsid w:val="7ADC7532"/>
    <w:rsid w:val="7B114781"/>
    <w:rsid w:val="7B2C806D"/>
    <w:rsid w:val="7B43C529"/>
    <w:rsid w:val="7B528CF0"/>
    <w:rsid w:val="7BE3266E"/>
    <w:rsid w:val="7BF17EE3"/>
    <w:rsid w:val="7BF45FD8"/>
    <w:rsid w:val="7C02233D"/>
    <w:rsid w:val="7C5A35B6"/>
    <w:rsid w:val="7CC42224"/>
    <w:rsid w:val="7D6853B4"/>
    <w:rsid w:val="7D6E3E2D"/>
    <w:rsid w:val="7D7781E1"/>
    <w:rsid w:val="7DCB55C7"/>
    <w:rsid w:val="7E2BAABA"/>
    <w:rsid w:val="7F13B6E9"/>
    <w:rsid w:val="7F4E636D"/>
    <w:rsid w:val="7F4E63E0"/>
    <w:rsid w:val="7F7B60EF"/>
    <w:rsid w:val="7F98D7C3"/>
    <w:rsid w:val="7FBB81F5"/>
    <w:rsid w:val="7FD49BB5"/>
    <w:rsid w:val="7FF7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04D6F"/>
  <w15:docId w15:val="{88441082-D9E4-468B-98B1-75CDEEA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9A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1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2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5C2"/>
    <w:pPr>
      <w:spacing w:before="0" w:line="240" w:lineRule="auto"/>
    </w:pPr>
  </w:style>
  <w:style w:type="paragraph" w:customStyle="1" w:styleId="TableParagraph">
    <w:name w:val="Table Paragraph"/>
    <w:basedOn w:val="Normal"/>
    <w:uiPriority w:val="1"/>
    <w:qFormat/>
    <w:rsid w:val="00EC22EE"/>
    <w:pPr>
      <w:widowControl w:val="0"/>
      <w:autoSpaceDE w:val="0"/>
      <w:autoSpaceDN w:val="0"/>
      <w:spacing w:before="61" w:line="240" w:lineRule="auto"/>
      <w:ind w:left="110"/>
    </w:pPr>
    <w:rPr>
      <w:rFonts w:ascii="Calibri" w:eastAsia="Calibri" w:hAnsi="Calibri" w:cs="Calibri"/>
      <w:color w:val="auto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926AA2-23F8-4FCC-B6E2-39C92A69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3912</Characters>
  <Application>Microsoft Office Word</Application>
  <DocSecurity>4</DocSecurity>
  <Lines>205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 Castle</dc:creator>
  <cp:keywords/>
  <cp:lastModifiedBy>Vaz Mottl</cp:lastModifiedBy>
  <cp:revision>2</cp:revision>
  <cp:lastPrinted>2019-02-27T20:46:00Z</cp:lastPrinted>
  <dcterms:created xsi:type="dcterms:W3CDTF">2023-11-10T05:43:00Z</dcterms:created>
  <dcterms:modified xsi:type="dcterms:W3CDTF">2023-11-10T05:43:00Z</dcterms:modified>
</cp:coreProperties>
</file>