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6E92" w14:textId="77777777" w:rsidR="00067C8C" w:rsidRDefault="00067C8C" w:rsidP="00067C8C">
      <w:pPr>
        <w:pStyle w:val="Title"/>
      </w:pPr>
    </w:p>
    <w:p w14:paraId="0DE392E9" w14:textId="77777777" w:rsidR="00067C8C" w:rsidRDefault="00067C8C" w:rsidP="00067C8C">
      <w:pPr>
        <w:pStyle w:val="Title"/>
      </w:pPr>
    </w:p>
    <w:p w14:paraId="6E87AD23" w14:textId="77777777" w:rsidR="00067C8C" w:rsidRDefault="00067C8C" w:rsidP="00067C8C">
      <w:pPr>
        <w:pStyle w:val="Title"/>
      </w:pPr>
    </w:p>
    <w:p w14:paraId="660A1644" w14:textId="77777777" w:rsidR="00067C8C" w:rsidRDefault="00067C8C" w:rsidP="00067C8C">
      <w:pPr>
        <w:pStyle w:val="Title"/>
      </w:pPr>
    </w:p>
    <w:p w14:paraId="2C0526F7" w14:textId="77777777" w:rsidR="00067C8C" w:rsidRDefault="00067C8C" w:rsidP="00067C8C">
      <w:pPr>
        <w:pStyle w:val="Title"/>
      </w:pPr>
    </w:p>
    <w:p w14:paraId="5CB499A9" w14:textId="77777777" w:rsidR="00067C8C" w:rsidRDefault="00067C8C" w:rsidP="00067C8C">
      <w:pPr>
        <w:pStyle w:val="Title"/>
      </w:pPr>
    </w:p>
    <w:p w14:paraId="1777D09F" w14:textId="599D9764" w:rsidR="00067C8C" w:rsidRDefault="003F2551" w:rsidP="6631FBD8">
      <w:pPr>
        <w:pStyle w:val="Title"/>
        <w:rPr>
          <w:sz w:val="46"/>
          <w:szCs w:val="46"/>
        </w:rPr>
      </w:pPr>
      <w:r w:rsidRPr="6631FBD8">
        <w:rPr>
          <w:sz w:val="46"/>
          <w:szCs w:val="46"/>
        </w:rPr>
        <w:t>2023 Safety Culture Assessment Summary Report</w:t>
      </w:r>
    </w:p>
    <w:p w14:paraId="3D55BDA3" w14:textId="44C0C83B" w:rsidR="002E564C" w:rsidRDefault="002E564C" w:rsidP="6631FBD8">
      <w:pPr>
        <w:pStyle w:val="Title"/>
        <w:rPr>
          <w:rFonts w:eastAsia="Calibri" w:cs="Calibri"/>
          <w:i/>
          <w:iCs/>
          <w:sz w:val="36"/>
          <w:szCs w:val="36"/>
        </w:rPr>
      </w:pPr>
      <w:r w:rsidRPr="6631FBD8">
        <w:rPr>
          <w:i/>
          <w:iCs/>
          <w:sz w:val="36"/>
          <w:szCs w:val="36"/>
        </w:rPr>
        <w:t>Australian Radiation Protection and Nuclear Safety Agency</w:t>
      </w:r>
    </w:p>
    <w:p w14:paraId="6B6AF717" w14:textId="5A069FB6" w:rsidR="6631FBD8" w:rsidRDefault="6631FBD8" w:rsidP="6631FBD8"/>
    <w:p w14:paraId="61382330" w14:textId="51309557" w:rsidR="003F2551" w:rsidRPr="003F2551" w:rsidRDefault="003F2551" w:rsidP="003F2551"/>
    <w:p w14:paraId="6A8B30A3" w14:textId="77777777" w:rsidR="00067C8C" w:rsidRDefault="00067C8C" w:rsidP="00067C8C">
      <w:pPr>
        <w:pStyle w:val="Title"/>
      </w:pPr>
    </w:p>
    <w:p w14:paraId="78D5C4FD" w14:textId="77777777" w:rsidR="00067C8C" w:rsidRDefault="00067C8C" w:rsidP="00067C8C"/>
    <w:p w14:paraId="3BF30DB4" w14:textId="5F996C17" w:rsidR="00067C8C" w:rsidRDefault="00A76566" w:rsidP="5ACAEB8E">
      <w:pPr>
        <w:pStyle w:val="Title"/>
        <w:rPr>
          <w:sz w:val="46"/>
          <w:szCs w:val="46"/>
        </w:rPr>
      </w:pPr>
      <w:r w:rsidRPr="5ACAEB8E">
        <w:rPr>
          <w:sz w:val="46"/>
          <w:szCs w:val="46"/>
        </w:rPr>
        <w:t>January 2025</w:t>
      </w:r>
    </w:p>
    <w:p w14:paraId="76618C87" w14:textId="77777777" w:rsidR="00310092" w:rsidRDefault="00310092" w:rsidP="5ACAEB8E">
      <w:pPr>
        <w:rPr>
          <w:sz w:val="46"/>
          <w:szCs w:val="46"/>
        </w:rPr>
      </w:pPr>
    </w:p>
    <w:p w14:paraId="17590497" w14:textId="77777777" w:rsidR="00310092" w:rsidRDefault="00310092" w:rsidP="5ACAEB8E">
      <w:pPr>
        <w:rPr>
          <w:sz w:val="46"/>
          <w:szCs w:val="46"/>
        </w:rPr>
      </w:pPr>
    </w:p>
    <w:p w14:paraId="4437B04B" w14:textId="050F6DF0" w:rsidR="58688C24" w:rsidRDefault="58688C24" w:rsidP="2CEFB821">
      <w:pPr>
        <w:pStyle w:val="Title"/>
        <w:rPr>
          <w:sz w:val="24"/>
          <w:szCs w:val="24"/>
        </w:rPr>
      </w:pPr>
      <w:r w:rsidRPr="2CEFB821">
        <w:rPr>
          <w:sz w:val="24"/>
          <w:szCs w:val="24"/>
        </w:rPr>
        <w:t>John Ward and Prachi Batra</w:t>
      </w:r>
    </w:p>
    <w:p w14:paraId="417B114E" w14:textId="77777777" w:rsidR="00310092" w:rsidRPr="00310092" w:rsidRDefault="00310092" w:rsidP="00310092"/>
    <w:p w14:paraId="2953B920" w14:textId="77777777" w:rsidR="00067C8C" w:rsidRDefault="00067C8C" w:rsidP="00067C8C"/>
    <w:p w14:paraId="5585595D" w14:textId="7C413360" w:rsidR="00067C8C" w:rsidRDefault="00067C8C" w:rsidP="5ACAEB8E"/>
    <w:tbl>
      <w:tblPr>
        <w:tblStyle w:val="TableGrid"/>
        <w:tblW w:w="0" w:type="auto"/>
        <w:tblInd w:w="108" w:type="dxa"/>
        <w:tblLook w:val="04A0" w:firstRow="1" w:lastRow="0" w:firstColumn="1" w:lastColumn="0" w:noHBand="0" w:noVBand="1"/>
      </w:tblPr>
      <w:tblGrid>
        <w:gridCol w:w="9520"/>
      </w:tblGrid>
      <w:tr w:rsidR="0060042E" w14:paraId="07F7DEAF" w14:textId="77777777" w:rsidTr="005F2E8B">
        <w:tc>
          <w:tcPr>
            <w:tcW w:w="9520" w:type="dxa"/>
          </w:tcPr>
          <w:p w14:paraId="6CD5D507" w14:textId="77777777" w:rsidR="0060042E" w:rsidRDefault="0060042E" w:rsidP="0060042E">
            <w:pPr>
              <w:pStyle w:val="Text"/>
              <w:spacing w:before="0" w:after="0" w:line="240" w:lineRule="auto"/>
              <w:rPr>
                <w:sz w:val="18"/>
                <w:szCs w:val="18"/>
                <w:lang w:eastAsia="en-US"/>
              </w:rPr>
            </w:pPr>
          </w:p>
          <w:p w14:paraId="625A614E" w14:textId="77777777" w:rsidR="0060042E" w:rsidRPr="00F55D63" w:rsidRDefault="0060042E" w:rsidP="0060042E">
            <w:pPr>
              <w:pStyle w:val="Text"/>
              <w:spacing w:before="0" w:after="0" w:line="240" w:lineRule="auto"/>
              <w:rPr>
                <w:sz w:val="18"/>
                <w:szCs w:val="18"/>
              </w:rPr>
            </w:pPr>
            <w:r w:rsidRPr="00F55D63">
              <w:rPr>
                <w:sz w:val="18"/>
                <w:szCs w:val="18"/>
                <w:lang w:eastAsia="en-US"/>
              </w:rPr>
              <w:t>© Commonwealth of Australia 201</w:t>
            </w:r>
            <w:r>
              <w:rPr>
                <w:sz w:val="18"/>
                <w:szCs w:val="18"/>
                <w:lang w:eastAsia="en-US"/>
              </w:rPr>
              <w:t>7</w:t>
            </w:r>
          </w:p>
          <w:p w14:paraId="4053DF9A" w14:textId="77777777" w:rsidR="0060042E" w:rsidRPr="00F55D63" w:rsidRDefault="0060042E" w:rsidP="0060042E">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6CB5F0DB" w14:textId="77777777" w:rsidR="0060042E" w:rsidRPr="00F55D63" w:rsidRDefault="0060042E" w:rsidP="0060042E">
            <w:pPr>
              <w:pStyle w:val="Text"/>
              <w:spacing w:before="0" w:after="0" w:line="240" w:lineRule="auto"/>
              <w:rPr>
                <w:sz w:val="18"/>
                <w:szCs w:val="18"/>
              </w:rPr>
            </w:pPr>
          </w:p>
          <w:p w14:paraId="1AE60091" w14:textId="77777777" w:rsidR="0060042E" w:rsidRPr="00F55D63" w:rsidRDefault="0060042E" w:rsidP="0060042E">
            <w:pPr>
              <w:pStyle w:val="Text"/>
              <w:spacing w:before="0" w:after="0" w:line="240" w:lineRule="auto"/>
              <w:rPr>
                <w:sz w:val="18"/>
                <w:szCs w:val="18"/>
              </w:rPr>
            </w:pPr>
          </w:p>
          <w:p w14:paraId="04B069A9" w14:textId="77777777" w:rsidR="0060042E" w:rsidRPr="00F55D63" w:rsidRDefault="0060042E" w:rsidP="0060042E">
            <w:pPr>
              <w:pStyle w:val="Text"/>
              <w:spacing w:before="0" w:after="0" w:line="240" w:lineRule="auto"/>
              <w:rPr>
                <w:sz w:val="18"/>
                <w:szCs w:val="18"/>
              </w:rPr>
            </w:pPr>
            <w:r>
              <w:rPr>
                <w:sz w:val="18"/>
                <w:szCs w:val="18"/>
              </w:rPr>
              <w:t>ISSN 0157-1400</w:t>
            </w:r>
          </w:p>
          <w:p w14:paraId="7ED22799" w14:textId="77777777" w:rsidR="0060042E" w:rsidRPr="00F55D63" w:rsidRDefault="0060042E" w:rsidP="0060042E">
            <w:pPr>
              <w:pStyle w:val="Text"/>
              <w:spacing w:before="0" w:after="0" w:line="240" w:lineRule="auto"/>
              <w:rPr>
                <w:sz w:val="18"/>
                <w:szCs w:val="18"/>
              </w:rPr>
            </w:pPr>
          </w:p>
          <w:p w14:paraId="5F46030E" w14:textId="77777777" w:rsidR="0060042E" w:rsidRPr="00F55D63" w:rsidRDefault="0060042E" w:rsidP="0060042E">
            <w:pPr>
              <w:pStyle w:val="Text"/>
              <w:spacing w:before="0" w:after="0" w:line="240" w:lineRule="auto"/>
              <w:rPr>
                <w:sz w:val="18"/>
                <w:szCs w:val="18"/>
              </w:rPr>
            </w:pPr>
            <w:r w:rsidRPr="00F55D63">
              <w:rPr>
                <w:noProof/>
                <w:sz w:val="18"/>
                <w:szCs w:val="18"/>
                <w:lang w:val="en-AU"/>
              </w:rPr>
              <w:drawing>
                <wp:inline distT="0" distB="0" distL="0" distR="0" wp14:anchorId="217CE488" wp14:editId="4F57F0E7">
                  <wp:extent cx="760095" cy="264160"/>
                  <wp:effectExtent l="0" t="0" r="190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1BF00E46" w14:textId="77777777" w:rsidR="0060042E" w:rsidRPr="00F55D63" w:rsidRDefault="0060042E" w:rsidP="0060042E">
            <w:pPr>
              <w:pStyle w:val="Text"/>
              <w:spacing w:before="0" w:after="0" w:line="240" w:lineRule="auto"/>
              <w:rPr>
                <w:sz w:val="18"/>
                <w:szCs w:val="18"/>
              </w:rPr>
            </w:pPr>
          </w:p>
          <w:p w14:paraId="63605344" w14:textId="77777777" w:rsidR="0060042E" w:rsidRPr="00F55D63" w:rsidRDefault="0060042E" w:rsidP="0060042E">
            <w:pPr>
              <w:pStyle w:val="Text"/>
              <w:spacing w:before="0" w:after="0" w:line="240" w:lineRule="auto"/>
              <w:rPr>
                <w:b/>
                <w:sz w:val="18"/>
                <w:szCs w:val="18"/>
              </w:rPr>
            </w:pPr>
            <w:r w:rsidRPr="00F55D63">
              <w:rPr>
                <w:b/>
                <w:sz w:val="18"/>
                <w:szCs w:val="18"/>
              </w:rPr>
              <w:t>Creative Commons</w:t>
            </w:r>
          </w:p>
          <w:p w14:paraId="01674E9E" w14:textId="77777777" w:rsidR="0060042E" w:rsidRPr="00F55D63" w:rsidRDefault="0060042E" w:rsidP="0060042E">
            <w:pPr>
              <w:pStyle w:val="Text"/>
              <w:spacing w:before="0" w:after="0" w:line="240" w:lineRule="auto"/>
              <w:rPr>
                <w:sz w:val="18"/>
                <w:szCs w:val="18"/>
              </w:rPr>
            </w:pPr>
          </w:p>
          <w:p w14:paraId="733FC0FD" w14:textId="2A2A7667" w:rsidR="0060042E" w:rsidRPr="00F55D63" w:rsidRDefault="0060042E" w:rsidP="0060042E">
            <w:pPr>
              <w:pStyle w:val="Text"/>
              <w:spacing w:before="0" w:after="0" w:line="240" w:lineRule="auto"/>
              <w:rPr>
                <w:sz w:val="18"/>
                <w:szCs w:val="18"/>
              </w:rPr>
            </w:pPr>
            <w:r w:rsidRPr="00F55D63">
              <w:rPr>
                <w:sz w:val="18"/>
                <w:szCs w:val="18"/>
              </w:rPr>
              <w:t>With the exception of the Commonwealth Coat of Arms, any ARPANSA logos and any content that is marked as being third party material, this publication,</w:t>
            </w:r>
            <w:r>
              <w:rPr>
                <w:sz w:val="18"/>
                <w:szCs w:val="18"/>
              </w:rPr>
              <w:t xml:space="preserve"> </w:t>
            </w:r>
            <w:r w:rsidR="00CE4096">
              <w:rPr>
                <w:i/>
                <w:sz w:val="18"/>
                <w:szCs w:val="18"/>
              </w:rPr>
              <w:t>2023 Safety Culture Assessment Summary Report</w:t>
            </w:r>
            <w:r w:rsidRPr="0039255A">
              <w:rPr>
                <w:sz w:val="18"/>
                <w:szCs w:val="18"/>
              </w:rPr>
              <w:t>,</w:t>
            </w:r>
            <w:r w:rsidRPr="00F55D63">
              <w:rPr>
                <w:sz w:val="18"/>
                <w:szCs w:val="18"/>
              </w:rPr>
              <w:t xml:space="preserve"> by the Australian Radiation Protection and Nuclear Safety Agency is licensed under a Creative Commons Attribution 3.0 Australia licence (to view a copy of the licence, visit </w:t>
            </w:r>
            <w:hyperlink r:id="rId12" w:history="1">
              <w:r w:rsidRPr="00067C8C">
                <w:rPr>
                  <w:rStyle w:val="Hyperlink"/>
                  <w:i/>
                  <w:iCs/>
                  <w:spacing w:val="-4"/>
                  <w:sz w:val="18"/>
                  <w:szCs w:val="18"/>
                </w:rPr>
                <w:t>http://creativecommons.org/licenses/by/3.0/au</w:t>
              </w:r>
            </w:hyperlink>
            <w:r w:rsidRPr="00067C8C">
              <w:rPr>
                <w:sz w:val="18"/>
                <w:szCs w:val="18"/>
              </w:rPr>
              <w:t>)</w:t>
            </w:r>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6FDB8F96" w14:textId="77777777" w:rsidR="0060042E" w:rsidRPr="00F55D63" w:rsidRDefault="0060042E" w:rsidP="0060042E">
            <w:pPr>
              <w:pStyle w:val="Text"/>
              <w:spacing w:before="0" w:after="0" w:line="240" w:lineRule="auto"/>
              <w:rPr>
                <w:sz w:val="18"/>
                <w:szCs w:val="18"/>
              </w:rPr>
            </w:pPr>
          </w:p>
          <w:p w14:paraId="5520659A" w14:textId="77777777" w:rsidR="0060042E" w:rsidRPr="00F55D63" w:rsidRDefault="0060042E" w:rsidP="0060042E">
            <w:pPr>
              <w:pStyle w:val="Text"/>
              <w:spacing w:before="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56E6A560" w14:textId="77777777" w:rsidR="0060042E" w:rsidRPr="00F55D63" w:rsidRDefault="0060042E" w:rsidP="0060042E">
            <w:pPr>
              <w:pStyle w:val="Text"/>
              <w:spacing w:before="0" w:after="0" w:line="240" w:lineRule="auto"/>
              <w:rPr>
                <w:sz w:val="18"/>
                <w:szCs w:val="18"/>
              </w:rPr>
            </w:pPr>
          </w:p>
          <w:p w14:paraId="69634B4F" w14:textId="77777777" w:rsidR="0060042E" w:rsidRPr="00F55D63" w:rsidRDefault="0060042E" w:rsidP="0060042E">
            <w:pPr>
              <w:pStyle w:val="Text"/>
              <w:spacing w:before="0" w:after="0" w:line="240" w:lineRule="auto"/>
              <w:rPr>
                <w:sz w:val="18"/>
                <w:szCs w:val="18"/>
              </w:rPr>
            </w:pPr>
            <w:r>
              <w:rPr>
                <w:sz w:val="18"/>
                <w:szCs w:val="18"/>
              </w:rPr>
              <w:t>‘</w:t>
            </w:r>
            <w:r w:rsidRPr="00F55D63">
              <w:rPr>
                <w:sz w:val="18"/>
                <w:szCs w:val="18"/>
              </w:rPr>
              <w:t>© Commonwealth of Australia 201</w:t>
            </w:r>
            <w:r>
              <w:rPr>
                <w:sz w:val="18"/>
                <w:szCs w:val="18"/>
              </w:rPr>
              <w:t>7</w:t>
            </w:r>
            <w:r w:rsidRPr="00F55D63">
              <w:rPr>
                <w:sz w:val="18"/>
                <w:szCs w:val="18"/>
              </w:rPr>
              <w:t>, as represented by the Australian Radiation Protection and Nuclear Safety Agency (ARPANSA)</w:t>
            </w:r>
            <w:r>
              <w:rPr>
                <w:sz w:val="18"/>
                <w:szCs w:val="18"/>
              </w:rPr>
              <w:t>’</w:t>
            </w:r>
          </w:p>
          <w:p w14:paraId="214D0412" w14:textId="77777777" w:rsidR="0060042E" w:rsidRPr="00F55D63" w:rsidRDefault="0060042E" w:rsidP="0060042E">
            <w:pPr>
              <w:pStyle w:val="Text"/>
              <w:spacing w:before="0" w:after="0" w:line="240" w:lineRule="auto"/>
              <w:rPr>
                <w:sz w:val="18"/>
                <w:szCs w:val="18"/>
              </w:rPr>
            </w:pPr>
          </w:p>
          <w:p w14:paraId="22A1EF5F" w14:textId="77777777" w:rsidR="0060042E" w:rsidRPr="00F55D63" w:rsidRDefault="0060042E" w:rsidP="0060042E">
            <w:pPr>
              <w:pStyle w:val="Text"/>
              <w:spacing w:before="0" w:after="0" w:line="240" w:lineRule="auto"/>
              <w:rPr>
                <w:sz w:val="18"/>
                <w:szCs w:val="18"/>
              </w:rPr>
            </w:pPr>
            <w:r w:rsidRPr="00F55D63">
              <w:rPr>
                <w:sz w:val="18"/>
                <w:szCs w:val="18"/>
              </w:rPr>
              <w:t>The publicati</w:t>
            </w:r>
            <w:r>
              <w:rPr>
                <w:sz w:val="18"/>
                <w:szCs w:val="18"/>
              </w:rPr>
              <w:t xml:space="preserve">on should be attributed as: </w:t>
            </w:r>
            <w:r w:rsidRPr="004219C4">
              <w:rPr>
                <w:i/>
                <w:sz w:val="18"/>
                <w:szCs w:val="18"/>
              </w:rPr>
              <w:t>Radiofrequency Electromagnetic Energy and Health: Research Needs</w:t>
            </w:r>
            <w:r w:rsidRPr="00F55D63">
              <w:rPr>
                <w:sz w:val="18"/>
                <w:szCs w:val="18"/>
              </w:rPr>
              <w:t>.</w:t>
            </w:r>
          </w:p>
          <w:p w14:paraId="3968D845" w14:textId="77777777" w:rsidR="0060042E" w:rsidRPr="00F55D63" w:rsidRDefault="0060042E" w:rsidP="0060042E">
            <w:pPr>
              <w:pStyle w:val="Text"/>
              <w:spacing w:before="0" w:after="0" w:line="240" w:lineRule="auto"/>
              <w:rPr>
                <w:sz w:val="18"/>
                <w:szCs w:val="18"/>
              </w:rPr>
            </w:pPr>
          </w:p>
          <w:p w14:paraId="063D90DB" w14:textId="77777777" w:rsidR="0060042E" w:rsidRPr="004219C4" w:rsidRDefault="0060042E" w:rsidP="0060042E">
            <w:pPr>
              <w:pStyle w:val="Text"/>
              <w:spacing w:before="0" w:after="0" w:line="240" w:lineRule="auto"/>
              <w:rPr>
                <w:b/>
                <w:sz w:val="18"/>
                <w:szCs w:val="18"/>
              </w:rPr>
            </w:pPr>
            <w:r w:rsidRPr="004219C4">
              <w:rPr>
                <w:b/>
                <w:sz w:val="18"/>
                <w:szCs w:val="18"/>
              </w:rPr>
              <w:t>Use of the Coat of Arms</w:t>
            </w:r>
          </w:p>
          <w:p w14:paraId="02EAE779" w14:textId="77777777" w:rsidR="0060042E" w:rsidRPr="00F55D63" w:rsidRDefault="0060042E" w:rsidP="0060042E">
            <w:pPr>
              <w:pStyle w:val="Text"/>
              <w:spacing w:before="0" w:after="0" w:line="240" w:lineRule="auto"/>
              <w:rPr>
                <w:sz w:val="18"/>
                <w:szCs w:val="18"/>
              </w:rPr>
            </w:pPr>
          </w:p>
          <w:p w14:paraId="08BEAC22" w14:textId="77777777" w:rsidR="0060042E" w:rsidRPr="00F55D63" w:rsidRDefault="0060042E" w:rsidP="0060042E">
            <w:pPr>
              <w:pStyle w:val="Text"/>
              <w:spacing w:before="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3" w:history="1">
              <w:r w:rsidRPr="00067C8C">
                <w:rPr>
                  <w:rStyle w:val="Hyperlink"/>
                  <w:sz w:val="18"/>
                </w:rPr>
                <w:t>www.dpmc.gov.au/government/commonwealth-coat-arms</w:t>
              </w:r>
            </w:hyperlink>
            <w:r w:rsidRPr="00F55D63">
              <w:rPr>
                <w:sz w:val="18"/>
                <w:szCs w:val="18"/>
              </w:rPr>
              <w:t>).</w:t>
            </w:r>
          </w:p>
          <w:p w14:paraId="15DE370C" w14:textId="77777777" w:rsidR="0060042E" w:rsidRPr="00067C8C" w:rsidRDefault="0060042E" w:rsidP="0060042E">
            <w:pPr>
              <w:pStyle w:val="Text"/>
              <w:spacing w:before="0" w:after="0" w:line="240" w:lineRule="auto"/>
              <w:rPr>
                <w:sz w:val="18"/>
                <w:szCs w:val="18"/>
              </w:rPr>
            </w:pPr>
          </w:p>
          <w:p w14:paraId="08F295A7" w14:textId="77777777" w:rsidR="0060042E" w:rsidRPr="00F55D63" w:rsidRDefault="0060042E" w:rsidP="0060042E">
            <w:pPr>
              <w:pStyle w:val="Text"/>
              <w:spacing w:before="0" w:after="0" w:line="240" w:lineRule="auto"/>
              <w:rPr>
                <w:sz w:val="18"/>
                <w:szCs w:val="18"/>
              </w:rPr>
            </w:pPr>
            <w:r w:rsidRPr="00F55D63">
              <w:rPr>
                <w:sz w:val="18"/>
                <w:szCs w:val="18"/>
              </w:rPr>
              <w:t>Enquiries regarding the licence and any use of this report are welcome.</w:t>
            </w:r>
          </w:p>
          <w:p w14:paraId="5D63EB24" w14:textId="77777777" w:rsidR="0060042E" w:rsidRPr="00F55D63" w:rsidRDefault="0060042E" w:rsidP="0060042E">
            <w:pPr>
              <w:pStyle w:val="Text"/>
              <w:spacing w:before="0" w:after="0" w:line="240" w:lineRule="auto"/>
              <w:rPr>
                <w:sz w:val="18"/>
                <w:szCs w:val="18"/>
              </w:rPr>
            </w:pPr>
          </w:p>
          <w:p w14:paraId="5D40A080" w14:textId="77777777" w:rsidR="0060042E" w:rsidRPr="00F55D63" w:rsidRDefault="0060042E" w:rsidP="0060042E">
            <w:pPr>
              <w:pStyle w:val="Text"/>
              <w:spacing w:before="0" w:after="0" w:line="240" w:lineRule="auto"/>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135A3D8C" w14:textId="77777777" w:rsidR="0060042E" w:rsidRPr="0060042E" w:rsidRDefault="0060042E" w:rsidP="0060042E">
            <w:pPr>
              <w:pStyle w:val="Text"/>
              <w:spacing w:before="0" w:after="0" w:line="240" w:lineRule="auto"/>
              <w:rPr>
                <w:sz w:val="18"/>
                <w:szCs w:val="18"/>
              </w:rPr>
            </w:pPr>
            <w:r w:rsidRPr="00F55D63">
              <w:rPr>
                <w:sz w:val="18"/>
                <w:szCs w:val="18"/>
              </w:rPr>
              <w:tab/>
              <w:t>Tel:   1800 022 333 (Freecall) or +61 3 9433 2211</w:t>
            </w:r>
            <w:r w:rsidRPr="00F55D63">
              <w:rPr>
                <w:sz w:val="18"/>
                <w:szCs w:val="18"/>
              </w:rPr>
              <w:br/>
            </w:r>
            <w:r w:rsidRPr="00F55D63">
              <w:rPr>
                <w:sz w:val="18"/>
                <w:szCs w:val="18"/>
              </w:rPr>
              <w:br/>
            </w:r>
            <w:r w:rsidRPr="00F55D63">
              <w:rPr>
                <w:sz w:val="18"/>
                <w:szCs w:val="18"/>
              </w:rPr>
              <w:tab/>
              <w:t xml:space="preserve">Email:  </w:t>
            </w:r>
            <w:hyperlink r:id="rId14" w:history="1">
              <w:r w:rsidRPr="00067C8C">
                <w:rPr>
                  <w:rStyle w:val="Hyperlink"/>
                  <w:sz w:val="18"/>
                  <w:szCs w:val="18"/>
                </w:rPr>
                <w:t>info@arpansa.gov.au</w:t>
              </w:r>
            </w:hyperlink>
            <w:r w:rsidRPr="00F55D63">
              <w:rPr>
                <w:sz w:val="18"/>
                <w:szCs w:val="18"/>
              </w:rPr>
              <w:br/>
            </w:r>
            <w:r w:rsidRPr="00F55D63">
              <w:rPr>
                <w:sz w:val="18"/>
                <w:szCs w:val="18"/>
              </w:rPr>
              <w:tab/>
              <w:t xml:space="preserve">Website:  </w:t>
            </w:r>
            <w:hyperlink r:id="rId15" w:history="1">
              <w:r w:rsidRPr="00067C8C">
                <w:rPr>
                  <w:rStyle w:val="Hyperlink"/>
                  <w:sz w:val="18"/>
                  <w:szCs w:val="18"/>
                </w:rPr>
                <w:t>www.arpansa.gov.au</w:t>
              </w:r>
            </w:hyperlink>
            <w:r>
              <w:rPr>
                <w:rStyle w:val="Hyperlink"/>
                <w:sz w:val="18"/>
                <w:szCs w:val="18"/>
              </w:rPr>
              <w:br/>
            </w:r>
          </w:p>
        </w:tc>
      </w:tr>
    </w:tbl>
    <w:p w14:paraId="65585426" w14:textId="10A2C5CF" w:rsidR="00244A6C" w:rsidRDefault="00244A6C" w:rsidP="4ADB3097">
      <w:r>
        <w:br w:type="page"/>
      </w:r>
    </w:p>
    <w:p w14:paraId="08A12813" w14:textId="77777777" w:rsidR="00067C8C" w:rsidRPr="004219C4" w:rsidRDefault="00067C8C" w:rsidP="004219C4">
      <w:pPr>
        <w:rPr>
          <w:b/>
          <w:color w:val="4E1A74" w:themeColor="text2"/>
          <w:sz w:val="32"/>
        </w:rPr>
      </w:pPr>
      <w:r w:rsidRPr="004219C4">
        <w:rPr>
          <w:b/>
          <w:color w:val="4E1A74" w:themeColor="text2"/>
          <w:sz w:val="32"/>
        </w:rPr>
        <w:lastRenderedPageBreak/>
        <w:t>C</w:t>
      </w:r>
      <w:r w:rsidR="004219C4">
        <w:rPr>
          <w:b/>
          <w:color w:val="4E1A74" w:themeColor="text2"/>
          <w:sz w:val="32"/>
        </w:rPr>
        <w:t>ontents</w:t>
      </w:r>
    </w:p>
    <w:p w14:paraId="459B5207" w14:textId="0678B7F8" w:rsidR="00AE76FA" w:rsidRDefault="00773742">
      <w:pPr>
        <w:pStyle w:val="TOC1"/>
        <w:tabs>
          <w:tab w:val="left" w:pos="567"/>
        </w:tabs>
        <w:rPr>
          <w:rFonts w:eastAsiaTheme="minorEastAsia"/>
          <w:b w:val="0"/>
          <w:noProof/>
          <w:color w:val="auto"/>
          <w:kern w:val="2"/>
          <w:sz w:val="24"/>
          <w:szCs w:val="24"/>
          <w:lang w:eastAsia="en-AU"/>
          <w14:ligatures w14:val="standardContextual"/>
        </w:rPr>
      </w:pPr>
      <w:r>
        <w:rPr>
          <w:bCs/>
        </w:rPr>
        <w:fldChar w:fldCharType="begin"/>
      </w:r>
      <w:r>
        <w:rPr>
          <w:bCs/>
        </w:rPr>
        <w:instrText xml:space="preserve"> TOC \o "1-2" \h \z \u \t "Heading 4,3" </w:instrText>
      </w:r>
      <w:r>
        <w:rPr>
          <w:bCs/>
        </w:rPr>
        <w:fldChar w:fldCharType="separate"/>
      </w:r>
      <w:hyperlink w:anchor="_Toc191984113" w:history="1">
        <w:r w:rsidR="00AE76FA" w:rsidRPr="001D1EF0">
          <w:rPr>
            <w:rStyle w:val="Hyperlink"/>
            <w:noProof/>
          </w:rPr>
          <w:t>1.</w:t>
        </w:r>
        <w:r w:rsidR="00AE76FA">
          <w:rPr>
            <w:rFonts w:eastAsiaTheme="minorEastAsia"/>
            <w:b w:val="0"/>
            <w:noProof/>
            <w:color w:val="auto"/>
            <w:kern w:val="2"/>
            <w:sz w:val="24"/>
            <w:szCs w:val="24"/>
            <w:lang w:eastAsia="en-AU"/>
            <w14:ligatures w14:val="standardContextual"/>
          </w:rPr>
          <w:tab/>
        </w:r>
        <w:r w:rsidR="00AE76FA" w:rsidRPr="001D1EF0">
          <w:rPr>
            <w:rStyle w:val="Hyperlink"/>
            <w:noProof/>
          </w:rPr>
          <w:t>Introduction</w:t>
        </w:r>
        <w:r w:rsidR="00AE76FA">
          <w:rPr>
            <w:noProof/>
            <w:webHidden/>
          </w:rPr>
          <w:tab/>
        </w:r>
        <w:r w:rsidR="00AE76FA">
          <w:rPr>
            <w:noProof/>
            <w:webHidden/>
          </w:rPr>
          <w:fldChar w:fldCharType="begin"/>
        </w:r>
        <w:r w:rsidR="00AE76FA">
          <w:rPr>
            <w:noProof/>
            <w:webHidden/>
          </w:rPr>
          <w:instrText xml:space="preserve"> PAGEREF _Toc191984113 \h </w:instrText>
        </w:r>
        <w:r w:rsidR="00AE76FA">
          <w:rPr>
            <w:noProof/>
            <w:webHidden/>
          </w:rPr>
        </w:r>
        <w:r w:rsidR="00AE76FA">
          <w:rPr>
            <w:noProof/>
            <w:webHidden/>
          </w:rPr>
          <w:fldChar w:fldCharType="separate"/>
        </w:r>
        <w:r w:rsidR="00AE76FA">
          <w:rPr>
            <w:noProof/>
            <w:webHidden/>
          </w:rPr>
          <w:t>1</w:t>
        </w:r>
        <w:r w:rsidR="00AE76FA">
          <w:rPr>
            <w:noProof/>
            <w:webHidden/>
          </w:rPr>
          <w:fldChar w:fldCharType="end"/>
        </w:r>
      </w:hyperlink>
    </w:p>
    <w:p w14:paraId="72A6B660" w14:textId="221968ED"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14" w:history="1">
        <w:r w:rsidRPr="001D1EF0">
          <w:rPr>
            <w:rStyle w:val="Hyperlink"/>
          </w:rPr>
          <w:t>1.1</w:t>
        </w:r>
        <w:r>
          <w:rPr>
            <w:rFonts w:eastAsiaTheme="minorEastAsia"/>
            <w:color w:val="auto"/>
            <w:kern w:val="2"/>
            <w:sz w:val="24"/>
            <w:szCs w:val="24"/>
            <w:lang w:eastAsia="en-AU"/>
            <w14:ligatures w14:val="standardContextual"/>
          </w:rPr>
          <w:tab/>
        </w:r>
        <w:r w:rsidRPr="001D1EF0">
          <w:rPr>
            <w:rStyle w:val="Hyperlink"/>
          </w:rPr>
          <w:t>Purpose</w:t>
        </w:r>
        <w:r>
          <w:rPr>
            <w:webHidden/>
          </w:rPr>
          <w:tab/>
        </w:r>
        <w:r>
          <w:rPr>
            <w:webHidden/>
          </w:rPr>
          <w:fldChar w:fldCharType="begin"/>
        </w:r>
        <w:r>
          <w:rPr>
            <w:webHidden/>
          </w:rPr>
          <w:instrText xml:space="preserve"> PAGEREF _Toc191984114 \h </w:instrText>
        </w:r>
        <w:r>
          <w:rPr>
            <w:webHidden/>
          </w:rPr>
        </w:r>
        <w:r>
          <w:rPr>
            <w:webHidden/>
          </w:rPr>
          <w:fldChar w:fldCharType="separate"/>
        </w:r>
        <w:r>
          <w:rPr>
            <w:webHidden/>
          </w:rPr>
          <w:t>1</w:t>
        </w:r>
        <w:r>
          <w:rPr>
            <w:webHidden/>
          </w:rPr>
          <w:fldChar w:fldCharType="end"/>
        </w:r>
      </w:hyperlink>
    </w:p>
    <w:p w14:paraId="00AF66EE" w14:textId="44071683" w:rsidR="00AE76FA" w:rsidRDefault="00AE76FA">
      <w:pPr>
        <w:pStyle w:val="TOC1"/>
        <w:tabs>
          <w:tab w:val="left" w:pos="567"/>
        </w:tabs>
        <w:rPr>
          <w:rFonts w:eastAsiaTheme="minorEastAsia"/>
          <w:b w:val="0"/>
          <w:noProof/>
          <w:color w:val="auto"/>
          <w:kern w:val="2"/>
          <w:sz w:val="24"/>
          <w:szCs w:val="24"/>
          <w:lang w:eastAsia="en-AU"/>
          <w14:ligatures w14:val="standardContextual"/>
        </w:rPr>
      </w:pPr>
      <w:hyperlink w:anchor="_Toc191984115" w:history="1">
        <w:r w:rsidRPr="001D1EF0">
          <w:rPr>
            <w:rStyle w:val="Hyperlink"/>
            <w:noProof/>
          </w:rPr>
          <w:t>2.</w:t>
        </w:r>
        <w:r>
          <w:rPr>
            <w:rFonts w:eastAsiaTheme="minorEastAsia"/>
            <w:b w:val="0"/>
            <w:noProof/>
            <w:color w:val="auto"/>
            <w:kern w:val="2"/>
            <w:sz w:val="24"/>
            <w:szCs w:val="24"/>
            <w:lang w:eastAsia="en-AU"/>
            <w14:ligatures w14:val="standardContextual"/>
          </w:rPr>
          <w:tab/>
        </w:r>
        <w:r w:rsidRPr="001D1EF0">
          <w:rPr>
            <w:rStyle w:val="Hyperlink"/>
            <w:noProof/>
          </w:rPr>
          <w:t>Methodology</w:t>
        </w:r>
        <w:r>
          <w:rPr>
            <w:noProof/>
            <w:webHidden/>
          </w:rPr>
          <w:tab/>
        </w:r>
        <w:r>
          <w:rPr>
            <w:noProof/>
            <w:webHidden/>
          </w:rPr>
          <w:fldChar w:fldCharType="begin"/>
        </w:r>
        <w:r>
          <w:rPr>
            <w:noProof/>
            <w:webHidden/>
          </w:rPr>
          <w:instrText xml:space="preserve"> PAGEREF _Toc191984115 \h </w:instrText>
        </w:r>
        <w:r>
          <w:rPr>
            <w:noProof/>
            <w:webHidden/>
          </w:rPr>
        </w:r>
        <w:r>
          <w:rPr>
            <w:noProof/>
            <w:webHidden/>
          </w:rPr>
          <w:fldChar w:fldCharType="separate"/>
        </w:r>
        <w:r>
          <w:rPr>
            <w:noProof/>
            <w:webHidden/>
          </w:rPr>
          <w:t>1</w:t>
        </w:r>
        <w:r>
          <w:rPr>
            <w:noProof/>
            <w:webHidden/>
          </w:rPr>
          <w:fldChar w:fldCharType="end"/>
        </w:r>
      </w:hyperlink>
    </w:p>
    <w:p w14:paraId="640C7B38" w14:textId="59198A30"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16" w:history="1">
        <w:r w:rsidRPr="001D1EF0">
          <w:rPr>
            <w:rStyle w:val="Hyperlink"/>
          </w:rPr>
          <w:t>2.1</w:t>
        </w:r>
        <w:r>
          <w:rPr>
            <w:rFonts w:eastAsiaTheme="minorEastAsia"/>
            <w:color w:val="auto"/>
            <w:kern w:val="2"/>
            <w:sz w:val="24"/>
            <w:szCs w:val="24"/>
            <w:lang w:eastAsia="en-AU"/>
            <w14:ligatures w14:val="standardContextual"/>
          </w:rPr>
          <w:tab/>
        </w:r>
        <w:r w:rsidRPr="001D1EF0">
          <w:rPr>
            <w:rStyle w:val="Hyperlink"/>
          </w:rPr>
          <w:t>Safety Culture Model</w:t>
        </w:r>
        <w:r>
          <w:rPr>
            <w:webHidden/>
          </w:rPr>
          <w:tab/>
        </w:r>
        <w:r>
          <w:rPr>
            <w:webHidden/>
          </w:rPr>
          <w:fldChar w:fldCharType="begin"/>
        </w:r>
        <w:r>
          <w:rPr>
            <w:webHidden/>
          </w:rPr>
          <w:instrText xml:space="preserve"> PAGEREF _Toc191984116 \h </w:instrText>
        </w:r>
        <w:r>
          <w:rPr>
            <w:webHidden/>
          </w:rPr>
        </w:r>
        <w:r>
          <w:rPr>
            <w:webHidden/>
          </w:rPr>
          <w:fldChar w:fldCharType="separate"/>
        </w:r>
        <w:r>
          <w:rPr>
            <w:webHidden/>
          </w:rPr>
          <w:t>1</w:t>
        </w:r>
        <w:r>
          <w:rPr>
            <w:webHidden/>
          </w:rPr>
          <w:fldChar w:fldCharType="end"/>
        </w:r>
      </w:hyperlink>
    </w:p>
    <w:p w14:paraId="4DE00D7A" w14:textId="34E1C113"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17" w:history="1">
        <w:r w:rsidRPr="001D1EF0">
          <w:rPr>
            <w:rStyle w:val="Hyperlink"/>
          </w:rPr>
          <w:t>2.2</w:t>
        </w:r>
        <w:r>
          <w:rPr>
            <w:rFonts w:eastAsiaTheme="minorEastAsia"/>
            <w:color w:val="auto"/>
            <w:kern w:val="2"/>
            <w:sz w:val="24"/>
            <w:szCs w:val="24"/>
            <w:lang w:eastAsia="en-AU"/>
            <w14:ligatures w14:val="standardContextual"/>
          </w:rPr>
          <w:tab/>
        </w:r>
        <w:r w:rsidRPr="001D1EF0">
          <w:rPr>
            <w:rStyle w:val="Hyperlink"/>
          </w:rPr>
          <w:t>Maturity rating</w:t>
        </w:r>
        <w:r>
          <w:rPr>
            <w:webHidden/>
          </w:rPr>
          <w:tab/>
        </w:r>
        <w:r>
          <w:rPr>
            <w:webHidden/>
          </w:rPr>
          <w:fldChar w:fldCharType="begin"/>
        </w:r>
        <w:r>
          <w:rPr>
            <w:webHidden/>
          </w:rPr>
          <w:instrText xml:space="preserve"> PAGEREF _Toc191984117 \h </w:instrText>
        </w:r>
        <w:r>
          <w:rPr>
            <w:webHidden/>
          </w:rPr>
        </w:r>
        <w:r>
          <w:rPr>
            <w:webHidden/>
          </w:rPr>
          <w:fldChar w:fldCharType="separate"/>
        </w:r>
        <w:r>
          <w:rPr>
            <w:webHidden/>
          </w:rPr>
          <w:t>2</w:t>
        </w:r>
        <w:r>
          <w:rPr>
            <w:webHidden/>
          </w:rPr>
          <w:fldChar w:fldCharType="end"/>
        </w:r>
      </w:hyperlink>
    </w:p>
    <w:p w14:paraId="2771E979" w14:textId="6FE78D28" w:rsidR="00AE76FA" w:rsidRDefault="00AE76FA">
      <w:pPr>
        <w:pStyle w:val="TOC1"/>
        <w:tabs>
          <w:tab w:val="left" w:pos="567"/>
        </w:tabs>
        <w:rPr>
          <w:rFonts w:eastAsiaTheme="minorEastAsia"/>
          <w:b w:val="0"/>
          <w:noProof/>
          <w:color w:val="auto"/>
          <w:kern w:val="2"/>
          <w:sz w:val="24"/>
          <w:szCs w:val="24"/>
          <w:lang w:eastAsia="en-AU"/>
          <w14:ligatures w14:val="standardContextual"/>
        </w:rPr>
      </w:pPr>
      <w:hyperlink w:anchor="_Toc191984118" w:history="1">
        <w:r w:rsidRPr="001D1EF0">
          <w:rPr>
            <w:rStyle w:val="Hyperlink"/>
            <w:noProof/>
          </w:rPr>
          <w:t>3.</w:t>
        </w:r>
        <w:r>
          <w:rPr>
            <w:rFonts w:eastAsiaTheme="minorEastAsia"/>
            <w:b w:val="0"/>
            <w:noProof/>
            <w:color w:val="auto"/>
            <w:kern w:val="2"/>
            <w:sz w:val="24"/>
            <w:szCs w:val="24"/>
            <w:lang w:eastAsia="en-AU"/>
            <w14:ligatures w14:val="standardContextual"/>
          </w:rPr>
          <w:tab/>
        </w:r>
        <w:r w:rsidRPr="001D1EF0">
          <w:rPr>
            <w:rStyle w:val="Hyperlink"/>
            <w:noProof/>
          </w:rPr>
          <w:t>Data Collection Methods</w:t>
        </w:r>
        <w:r>
          <w:rPr>
            <w:noProof/>
            <w:webHidden/>
          </w:rPr>
          <w:tab/>
        </w:r>
        <w:r>
          <w:rPr>
            <w:noProof/>
            <w:webHidden/>
          </w:rPr>
          <w:fldChar w:fldCharType="begin"/>
        </w:r>
        <w:r>
          <w:rPr>
            <w:noProof/>
            <w:webHidden/>
          </w:rPr>
          <w:instrText xml:space="preserve"> PAGEREF _Toc191984118 \h </w:instrText>
        </w:r>
        <w:r>
          <w:rPr>
            <w:noProof/>
            <w:webHidden/>
          </w:rPr>
        </w:r>
        <w:r>
          <w:rPr>
            <w:noProof/>
            <w:webHidden/>
          </w:rPr>
          <w:fldChar w:fldCharType="separate"/>
        </w:r>
        <w:r>
          <w:rPr>
            <w:noProof/>
            <w:webHidden/>
          </w:rPr>
          <w:t>3</w:t>
        </w:r>
        <w:r>
          <w:rPr>
            <w:noProof/>
            <w:webHidden/>
          </w:rPr>
          <w:fldChar w:fldCharType="end"/>
        </w:r>
      </w:hyperlink>
    </w:p>
    <w:p w14:paraId="58168CDD" w14:textId="4248C00C"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19" w:history="1">
        <w:r w:rsidRPr="001D1EF0">
          <w:rPr>
            <w:rStyle w:val="Hyperlink"/>
          </w:rPr>
          <w:t>3.1</w:t>
        </w:r>
        <w:r>
          <w:rPr>
            <w:rFonts w:eastAsiaTheme="minorEastAsia"/>
            <w:color w:val="auto"/>
            <w:kern w:val="2"/>
            <w:sz w:val="24"/>
            <w:szCs w:val="24"/>
            <w:lang w:eastAsia="en-AU"/>
            <w14:ligatures w14:val="standardContextual"/>
          </w:rPr>
          <w:tab/>
        </w:r>
        <w:r w:rsidRPr="001D1EF0">
          <w:rPr>
            <w:rStyle w:val="Hyperlink"/>
          </w:rPr>
          <w:t>Perception survey</w:t>
        </w:r>
        <w:r>
          <w:rPr>
            <w:webHidden/>
          </w:rPr>
          <w:tab/>
        </w:r>
        <w:r>
          <w:rPr>
            <w:webHidden/>
          </w:rPr>
          <w:fldChar w:fldCharType="begin"/>
        </w:r>
        <w:r>
          <w:rPr>
            <w:webHidden/>
          </w:rPr>
          <w:instrText xml:space="preserve"> PAGEREF _Toc191984119 \h </w:instrText>
        </w:r>
        <w:r>
          <w:rPr>
            <w:webHidden/>
          </w:rPr>
        </w:r>
        <w:r>
          <w:rPr>
            <w:webHidden/>
          </w:rPr>
          <w:fldChar w:fldCharType="separate"/>
        </w:r>
        <w:r>
          <w:rPr>
            <w:webHidden/>
          </w:rPr>
          <w:t>3</w:t>
        </w:r>
        <w:r>
          <w:rPr>
            <w:webHidden/>
          </w:rPr>
          <w:fldChar w:fldCharType="end"/>
        </w:r>
      </w:hyperlink>
    </w:p>
    <w:p w14:paraId="7426E62E" w14:textId="1B1AB906"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0" w:history="1">
        <w:r w:rsidRPr="001D1EF0">
          <w:rPr>
            <w:rStyle w:val="Hyperlink"/>
          </w:rPr>
          <w:t>3.2</w:t>
        </w:r>
        <w:r>
          <w:rPr>
            <w:rFonts w:eastAsiaTheme="minorEastAsia"/>
            <w:color w:val="auto"/>
            <w:kern w:val="2"/>
            <w:sz w:val="24"/>
            <w:szCs w:val="24"/>
            <w:lang w:eastAsia="en-AU"/>
            <w14:ligatures w14:val="standardContextual"/>
          </w:rPr>
          <w:tab/>
        </w:r>
        <w:r w:rsidRPr="001D1EF0">
          <w:rPr>
            <w:rStyle w:val="Hyperlink"/>
          </w:rPr>
          <w:t>Interviews</w:t>
        </w:r>
        <w:r>
          <w:rPr>
            <w:webHidden/>
          </w:rPr>
          <w:tab/>
        </w:r>
        <w:r>
          <w:rPr>
            <w:webHidden/>
          </w:rPr>
          <w:fldChar w:fldCharType="begin"/>
        </w:r>
        <w:r>
          <w:rPr>
            <w:webHidden/>
          </w:rPr>
          <w:instrText xml:space="preserve"> PAGEREF _Toc191984120 \h </w:instrText>
        </w:r>
        <w:r>
          <w:rPr>
            <w:webHidden/>
          </w:rPr>
        </w:r>
        <w:r>
          <w:rPr>
            <w:webHidden/>
          </w:rPr>
          <w:fldChar w:fldCharType="separate"/>
        </w:r>
        <w:r>
          <w:rPr>
            <w:webHidden/>
          </w:rPr>
          <w:t>4</w:t>
        </w:r>
        <w:r>
          <w:rPr>
            <w:webHidden/>
          </w:rPr>
          <w:fldChar w:fldCharType="end"/>
        </w:r>
      </w:hyperlink>
    </w:p>
    <w:p w14:paraId="13596222" w14:textId="7F0081D1"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1" w:history="1">
        <w:r w:rsidRPr="001D1EF0">
          <w:rPr>
            <w:rStyle w:val="Hyperlink"/>
          </w:rPr>
          <w:t>3.3</w:t>
        </w:r>
        <w:r>
          <w:rPr>
            <w:rFonts w:eastAsiaTheme="minorEastAsia"/>
            <w:color w:val="auto"/>
            <w:kern w:val="2"/>
            <w:sz w:val="24"/>
            <w:szCs w:val="24"/>
            <w:lang w:eastAsia="en-AU"/>
            <w14:ligatures w14:val="standardContextual"/>
          </w:rPr>
          <w:tab/>
        </w:r>
        <w:r w:rsidRPr="001D1EF0">
          <w:rPr>
            <w:rStyle w:val="Hyperlink"/>
          </w:rPr>
          <w:t>Focus Groups</w:t>
        </w:r>
        <w:r>
          <w:rPr>
            <w:webHidden/>
          </w:rPr>
          <w:tab/>
        </w:r>
        <w:r>
          <w:rPr>
            <w:webHidden/>
          </w:rPr>
          <w:fldChar w:fldCharType="begin"/>
        </w:r>
        <w:r>
          <w:rPr>
            <w:webHidden/>
          </w:rPr>
          <w:instrText xml:space="preserve"> PAGEREF _Toc191984121 \h </w:instrText>
        </w:r>
        <w:r>
          <w:rPr>
            <w:webHidden/>
          </w:rPr>
        </w:r>
        <w:r>
          <w:rPr>
            <w:webHidden/>
          </w:rPr>
          <w:fldChar w:fldCharType="separate"/>
        </w:r>
        <w:r>
          <w:rPr>
            <w:webHidden/>
          </w:rPr>
          <w:t>4</w:t>
        </w:r>
        <w:r>
          <w:rPr>
            <w:webHidden/>
          </w:rPr>
          <w:fldChar w:fldCharType="end"/>
        </w:r>
      </w:hyperlink>
    </w:p>
    <w:p w14:paraId="671669B9" w14:textId="65BA428F"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2" w:history="1">
        <w:r w:rsidRPr="001D1EF0">
          <w:rPr>
            <w:rStyle w:val="Hyperlink"/>
          </w:rPr>
          <w:t>3.4</w:t>
        </w:r>
        <w:r>
          <w:rPr>
            <w:rFonts w:eastAsiaTheme="minorEastAsia"/>
            <w:color w:val="auto"/>
            <w:kern w:val="2"/>
            <w:sz w:val="24"/>
            <w:szCs w:val="24"/>
            <w:lang w:eastAsia="en-AU"/>
            <w14:ligatures w14:val="standardContextual"/>
          </w:rPr>
          <w:tab/>
        </w:r>
        <w:r w:rsidRPr="001D1EF0">
          <w:rPr>
            <w:rStyle w:val="Hyperlink"/>
          </w:rPr>
          <w:t>Document Review</w:t>
        </w:r>
        <w:r>
          <w:rPr>
            <w:webHidden/>
          </w:rPr>
          <w:tab/>
        </w:r>
        <w:r>
          <w:rPr>
            <w:webHidden/>
          </w:rPr>
          <w:fldChar w:fldCharType="begin"/>
        </w:r>
        <w:r>
          <w:rPr>
            <w:webHidden/>
          </w:rPr>
          <w:instrText xml:space="preserve"> PAGEREF _Toc191984122 \h </w:instrText>
        </w:r>
        <w:r>
          <w:rPr>
            <w:webHidden/>
          </w:rPr>
        </w:r>
        <w:r>
          <w:rPr>
            <w:webHidden/>
          </w:rPr>
          <w:fldChar w:fldCharType="separate"/>
        </w:r>
        <w:r>
          <w:rPr>
            <w:webHidden/>
          </w:rPr>
          <w:t>4</w:t>
        </w:r>
        <w:r>
          <w:rPr>
            <w:webHidden/>
          </w:rPr>
          <w:fldChar w:fldCharType="end"/>
        </w:r>
      </w:hyperlink>
    </w:p>
    <w:p w14:paraId="61E2C0F6" w14:textId="2F7F38C5"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3" w:history="1">
        <w:r w:rsidRPr="001D1EF0">
          <w:rPr>
            <w:rStyle w:val="Hyperlink"/>
          </w:rPr>
          <w:t>3.5</w:t>
        </w:r>
        <w:r>
          <w:rPr>
            <w:rFonts w:eastAsiaTheme="minorEastAsia"/>
            <w:color w:val="auto"/>
            <w:kern w:val="2"/>
            <w:sz w:val="24"/>
            <w:szCs w:val="24"/>
            <w:lang w:eastAsia="en-AU"/>
            <w14:ligatures w14:val="standardContextual"/>
          </w:rPr>
          <w:tab/>
        </w:r>
        <w:r w:rsidRPr="001D1EF0">
          <w:rPr>
            <w:rStyle w:val="Hyperlink"/>
          </w:rPr>
          <w:t>Workplace behavioural interaction observations</w:t>
        </w:r>
        <w:r>
          <w:rPr>
            <w:webHidden/>
          </w:rPr>
          <w:tab/>
        </w:r>
        <w:r>
          <w:rPr>
            <w:webHidden/>
          </w:rPr>
          <w:fldChar w:fldCharType="begin"/>
        </w:r>
        <w:r>
          <w:rPr>
            <w:webHidden/>
          </w:rPr>
          <w:instrText xml:space="preserve"> PAGEREF _Toc191984123 \h </w:instrText>
        </w:r>
        <w:r>
          <w:rPr>
            <w:webHidden/>
          </w:rPr>
        </w:r>
        <w:r>
          <w:rPr>
            <w:webHidden/>
          </w:rPr>
          <w:fldChar w:fldCharType="separate"/>
        </w:r>
        <w:r>
          <w:rPr>
            <w:webHidden/>
          </w:rPr>
          <w:t>5</w:t>
        </w:r>
        <w:r>
          <w:rPr>
            <w:webHidden/>
          </w:rPr>
          <w:fldChar w:fldCharType="end"/>
        </w:r>
      </w:hyperlink>
    </w:p>
    <w:p w14:paraId="531186A4" w14:textId="3EF06F54" w:rsidR="00AE76FA" w:rsidRDefault="00AE76FA">
      <w:pPr>
        <w:pStyle w:val="TOC1"/>
        <w:tabs>
          <w:tab w:val="left" w:pos="567"/>
        </w:tabs>
        <w:rPr>
          <w:rFonts w:eastAsiaTheme="minorEastAsia"/>
          <w:b w:val="0"/>
          <w:noProof/>
          <w:color w:val="auto"/>
          <w:kern w:val="2"/>
          <w:sz w:val="24"/>
          <w:szCs w:val="24"/>
          <w:lang w:eastAsia="en-AU"/>
          <w14:ligatures w14:val="standardContextual"/>
        </w:rPr>
      </w:pPr>
      <w:hyperlink w:anchor="_Toc191984124" w:history="1">
        <w:r w:rsidRPr="001D1EF0">
          <w:rPr>
            <w:rStyle w:val="Hyperlink"/>
            <w:noProof/>
          </w:rPr>
          <w:t>4.</w:t>
        </w:r>
        <w:r>
          <w:rPr>
            <w:rFonts w:eastAsiaTheme="minorEastAsia"/>
            <w:b w:val="0"/>
            <w:noProof/>
            <w:color w:val="auto"/>
            <w:kern w:val="2"/>
            <w:sz w:val="24"/>
            <w:szCs w:val="24"/>
            <w:lang w:eastAsia="en-AU"/>
            <w14:ligatures w14:val="standardContextual"/>
          </w:rPr>
          <w:tab/>
        </w:r>
        <w:r w:rsidRPr="001D1EF0">
          <w:rPr>
            <w:rStyle w:val="Hyperlink"/>
            <w:noProof/>
          </w:rPr>
          <w:t>Results</w:t>
        </w:r>
        <w:r>
          <w:rPr>
            <w:noProof/>
            <w:webHidden/>
          </w:rPr>
          <w:tab/>
        </w:r>
        <w:r>
          <w:rPr>
            <w:noProof/>
            <w:webHidden/>
          </w:rPr>
          <w:fldChar w:fldCharType="begin"/>
        </w:r>
        <w:r>
          <w:rPr>
            <w:noProof/>
            <w:webHidden/>
          </w:rPr>
          <w:instrText xml:space="preserve"> PAGEREF _Toc191984124 \h </w:instrText>
        </w:r>
        <w:r>
          <w:rPr>
            <w:noProof/>
            <w:webHidden/>
          </w:rPr>
        </w:r>
        <w:r>
          <w:rPr>
            <w:noProof/>
            <w:webHidden/>
          </w:rPr>
          <w:fldChar w:fldCharType="separate"/>
        </w:r>
        <w:r>
          <w:rPr>
            <w:noProof/>
            <w:webHidden/>
          </w:rPr>
          <w:t>5</w:t>
        </w:r>
        <w:r>
          <w:rPr>
            <w:noProof/>
            <w:webHidden/>
          </w:rPr>
          <w:fldChar w:fldCharType="end"/>
        </w:r>
      </w:hyperlink>
    </w:p>
    <w:p w14:paraId="62672348" w14:textId="79365A45"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5" w:history="1">
        <w:r w:rsidRPr="001D1EF0">
          <w:rPr>
            <w:rStyle w:val="Hyperlink"/>
          </w:rPr>
          <w:t>4.1</w:t>
        </w:r>
        <w:r>
          <w:rPr>
            <w:rFonts w:eastAsiaTheme="minorEastAsia"/>
            <w:color w:val="auto"/>
            <w:kern w:val="2"/>
            <w:sz w:val="24"/>
            <w:szCs w:val="24"/>
            <w:lang w:eastAsia="en-AU"/>
            <w14:ligatures w14:val="standardContextual"/>
          </w:rPr>
          <w:tab/>
        </w:r>
        <w:r w:rsidRPr="001D1EF0">
          <w:rPr>
            <w:rStyle w:val="Hyperlink"/>
          </w:rPr>
          <w:t>Overall results</w:t>
        </w:r>
        <w:r>
          <w:rPr>
            <w:webHidden/>
          </w:rPr>
          <w:tab/>
        </w:r>
        <w:r>
          <w:rPr>
            <w:webHidden/>
          </w:rPr>
          <w:fldChar w:fldCharType="begin"/>
        </w:r>
        <w:r>
          <w:rPr>
            <w:webHidden/>
          </w:rPr>
          <w:instrText xml:space="preserve"> PAGEREF _Toc191984125 \h </w:instrText>
        </w:r>
        <w:r>
          <w:rPr>
            <w:webHidden/>
          </w:rPr>
        </w:r>
        <w:r>
          <w:rPr>
            <w:webHidden/>
          </w:rPr>
          <w:fldChar w:fldCharType="separate"/>
        </w:r>
        <w:r>
          <w:rPr>
            <w:webHidden/>
          </w:rPr>
          <w:t>5</w:t>
        </w:r>
        <w:r>
          <w:rPr>
            <w:webHidden/>
          </w:rPr>
          <w:fldChar w:fldCharType="end"/>
        </w:r>
      </w:hyperlink>
    </w:p>
    <w:p w14:paraId="29C17BF7" w14:textId="58A66FC0" w:rsidR="00AE76FA" w:rsidRDefault="00AE76FA">
      <w:pPr>
        <w:pStyle w:val="TOC2"/>
        <w:tabs>
          <w:tab w:val="left" w:pos="1200"/>
        </w:tabs>
        <w:rPr>
          <w:rFonts w:eastAsiaTheme="minorEastAsia"/>
          <w:color w:val="auto"/>
          <w:kern w:val="2"/>
          <w:sz w:val="24"/>
          <w:szCs w:val="24"/>
          <w:lang w:eastAsia="en-AU"/>
          <w14:ligatures w14:val="standardContextual"/>
        </w:rPr>
      </w:pPr>
      <w:hyperlink w:anchor="_Toc191984126" w:history="1">
        <w:r w:rsidRPr="001D1EF0">
          <w:rPr>
            <w:rStyle w:val="Hyperlink"/>
          </w:rPr>
          <w:t>4.2</w:t>
        </w:r>
        <w:r>
          <w:rPr>
            <w:rFonts w:eastAsiaTheme="minorEastAsia"/>
            <w:color w:val="auto"/>
            <w:kern w:val="2"/>
            <w:sz w:val="24"/>
            <w:szCs w:val="24"/>
            <w:lang w:eastAsia="en-AU"/>
            <w14:ligatures w14:val="standardContextual"/>
          </w:rPr>
          <w:tab/>
        </w:r>
        <w:r w:rsidRPr="001D1EF0">
          <w:rPr>
            <w:rStyle w:val="Hyperlink"/>
          </w:rPr>
          <w:t>Comparisons with past assessments</w:t>
        </w:r>
        <w:r>
          <w:rPr>
            <w:webHidden/>
          </w:rPr>
          <w:tab/>
        </w:r>
        <w:r>
          <w:rPr>
            <w:webHidden/>
          </w:rPr>
          <w:fldChar w:fldCharType="begin"/>
        </w:r>
        <w:r>
          <w:rPr>
            <w:webHidden/>
          </w:rPr>
          <w:instrText xml:space="preserve"> PAGEREF _Toc191984126 \h </w:instrText>
        </w:r>
        <w:r>
          <w:rPr>
            <w:webHidden/>
          </w:rPr>
        </w:r>
        <w:r>
          <w:rPr>
            <w:webHidden/>
          </w:rPr>
          <w:fldChar w:fldCharType="separate"/>
        </w:r>
        <w:r>
          <w:rPr>
            <w:webHidden/>
          </w:rPr>
          <w:t>6</w:t>
        </w:r>
        <w:r>
          <w:rPr>
            <w:webHidden/>
          </w:rPr>
          <w:fldChar w:fldCharType="end"/>
        </w:r>
      </w:hyperlink>
    </w:p>
    <w:p w14:paraId="4D290D26" w14:textId="7EBD8167" w:rsidR="00937076" w:rsidRDefault="00773742" w:rsidP="00AD297B">
      <w:r>
        <w:rPr>
          <w:b/>
          <w:bCs/>
          <w:color w:val="4E1A74"/>
        </w:rPr>
        <w:fldChar w:fldCharType="end"/>
      </w:r>
    </w:p>
    <w:p w14:paraId="28959F57" w14:textId="4CF73166" w:rsidR="001E2F4E" w:rsidRDefault="00937076" w:rsidP="00A05D88">
      <w:pPr>
        <w:sectPr w:rsidR="001E2F4E" w:rsidSect="005A5E5B">
          <w:footerReference w:type="default" r:id="rId16"/>
          <w:headerReference w:type="first" r:id="rId17"/>
          <w:footerReference w:type="first" r:id="rId18"/>
          <w:pgSz w:w="11906" w:h="16838" w:code="9"/>
          <w:pgMar w:top="1134" w:right="1134" w:bottom="1134" w:left="1134" w:header="567" w:footer="567" w:gutter="0"/>
          <w:pgNumType w:fmt="lowerRoman" w:start="1"/>
          <w:cols w:space="708"/>
          <w:titlePg/>
          <w:docGrid w:linePitch="360"/>
        </w:sectPr>
      </w:pPr>
      <w:r>
        <w:br w:type="page"/>
      </w:r>
    </w:p>
    <w:p w14:paraId="0F0EA0FA" w14:textId="27DE2E96" w:rsidR="00067C8C" w:rsidRPr="00362AB9" w:rsidRDefault="00A05D88" w:rsidP="005C6BE7">
      <w:pPr>
        <w:pStyle w:val="Heading1"/>
      </w:pPr>
      <w:bookmarkStart w:id="0" w:name="_Toc191984113"/>
      <w:r>
        <w:lastRenderedPageBreak/>
        <w:t>Introduction</w:t>
      </w:r>
      <w:bookmarkEnd w:id="0"/>
    </w:p>
    <w:p w14:paraId="211D5400" w14:textId="4291A103" w:rsidR="00546A3B" w:rsidRPr="00546A3B" w:rsidRDefault="00546A3B" w:rsidP="00546A3B">
      <w:r w:rsidRPr="00546A3B">
        <w:t>The Australian Radiation Protection and Nuclear Safety Agency (ARPANSA) is the Australian Government’s primary authority on radiation protection and nuclear safety. ARPANSA undertakes research, provides services, regulates Commonwealth users of radiation, and promotes national uniformity and the implementation of international best practice. </w:t>
      </w:r>
    </w:p>
    <w:p w14:paraId="7D2C4F99" w14:textId="20D08082" w:rsidR="00546A3B" w:rsidRPr="00546A3B" w:rsidRDefault="00546A3B" w:rsidP="00546A3B">
      <w:r>
        <w:t>ARPANSA conducted a</w:t>
      </w:r>
      <w:r w:rsidR="001248DB">
        <w:t>n internal</w:t>
      </w:r>
      <w:r>
        <w:t xml:space="preserve"> safety culture assessment (SCA)</w:t>
      </w:r>
      <w:r w:rsidR="000875D9">
        <w:t xml:space="preserve"> in 2023</w:t>
      </w:r>
      <w:r>
        <w:t xml:space="preserve">. </w:t>
      </w:r>
      <w:r w:rsidR="00A2031A">
        <w:t xml:space="preserve">A good safety culture is where </w:t>
      </w:r>
      <w:r w:rsidR="00960986">
        <w:t>everyone, from operators to managers, take safety seriously. This</w:t>
      </w:r>
      <w:r w:rsidR="00EC50BA">
        <w:t xml:space="preserve"> attitude</w:t>
      </w:r>
      <w:r w:rsidR="00960986">
        <w:t xml:space="preserve"> can significantly reduce the risks of accidents occurring.</w:t>
      </w:r>
      <w:r w:rsidR="00EC50BA">
        <w:t xml:space="preserve"> </w:t>
      </w:r>
      <w:r w:rsidR="008C160A">
        <w:t>Auditing our performance in safety culture</w:t>
      </w:r>
      <w:r>
        <w:t xml:space="preserve"> is consistent with the International Atomic Energy Agency (IAEA) General Safety Requirements Part 2: Leadership and Management for Safety (GSR Part 2) Requirement 14, which states ‘senior management shall regularly commission assessments of leadership for safety and of safety culture in its own organisation’. This requirement applies to all users and regulators of radiation. ARPANSA’s approach is also consistent with the guidance given in the IAEA’s Safety Standard GS-G-3.5 ‘The Management System for Nuclear Installations’ and is informed by the practices outlined in the IAEA’s Safety Reports Series No. 83 ‘Performing Safety Culture Self-assessments’ and the IAEA’s Services Series No. 32 ‘OSART Independent Safety Culture Assessment (ISCA) Guidelines’. </w:t>
      </w:r>
    </w:p>
    <w:p w14:paraId="2CCC0D72" w14:textId="64F1F3C7" w:rsidR="00E31808" w:rsidRDefault="00546A3B" w:rsidP="00244EFF">
      <w:r w:rsidRPr="2CEFB821">
        <w:t>This is ARPANSA’s second formal assessment of its whole of agency safety culture, with the first assessment completed in late 2019, following a pilot study that was undertaken of the agency’s regulatory function in early 2019. A project team was established to deliver this project</w:t>
      </w:r>
      <w:r w:rsidR="00E31808" w:rsidRPr="2CEFB821">
        <w:t>:</w:t>
      </w:r>
    </w:p>
    <w:p w14:paraId="7A2C6B02" w14:textId="5D2267BC" w:rsidR="00E31808" w:rsidRDefault="00E31808" w:rsidP="00E31808">
      <w:pPr>
        <w:pStyle w:val="ListParagraph"/>
        <w:numPr>
          <w:ilvl w:val="0"/>
          <w:numId w:val="29"/>
        </w:numPr>
      </w:pPr>
      <w:r>
        <w:t xml:space="preserve">John </w:t>
      </w:r>
      <w:r w:rsidR="00546A3B" w:rsidRPr="00546A3B">
        <w:t>Ward</w:t>
      </w:r>
      <w:r w:rsidR="00351341">
        <w:t>,</w:t>
      </w:r>
      <w:r w:rsidR="00546A3B" w:rsidRPr="00546A3B">
        <w:t xml:space="preserve"> </w:t>
      </w:r>
      <w:r>
        <w:t>ARPANSA’s Safety Systems Director</w:t>
      </w:r>
      <w:r w:rsidR="00546A3B" w:rsidRPr="00546A3B">
        <w:t xml:space="preserve"> </w:t>
      </w:r>
    </w:p>
    <w:p w14:paraId="2721F156" w14:textId="77F1649B" w:rsidR="00351341" w:rsidRDefault="00546A3B" w:rsidP="00E31808">
      <w:pPr>
        <w:pStyle w:val="ListParagraph"/>
        <w:numPr>
          <w:ilvl w:val="0"/>
          <w:numId w:val="29"/>
        </w:numPr>
      </w:pPr>
      <w:r w:rsidRPr="00546A3B">
        <w:t>Joy Ho</w:t>
      </w:r>
      <w:r w:rsidR="00351341">
        <w:t>,</w:t>
      </w:r>
      <w:r w:rsidRPr="00546A3B">
        <w:t xml:space="preserve"> </w:t>
      </w:r>
      <w:r w:rsidR="00E31808">
        <w:t>ARPANSA’s</w:t>
      </w:r>
      <w:r w:rsidRPr="00546A3B">
        <w:t xml:space="preserve"> Organisational Psychologist </w:t>
      </w:r>
    </w:p>
    <w:p w14:paraId="166ACF2B" w14:textId="6B35E196" w:rsidR="00351341" w:rsidRDefault="00546A3B" w:rsidP="00E31808">
      <w:pPr>
        <w:pStyle w:val="ListParagraph"/>
        <w:numPr>
          <w:ilvl w:val="0"/>
          <w:numId w:val="29"/>
        </w:numPr>
      </w:pPr>
      <w:r w:rsidRPr="00546A3B">
        <w:t>Lachlan Whittle</w:t>
      </w:r>
      <w:r w:rsidR="00351341">
        <w:t>,</w:t>
      </w:r>
      <w:r w:rsidRPr="00546A3B">
        <w:t xml:space="preserve"> </w:t>
      </w:r>
      <w:r w:rsidR="00351341">
        <w:t>ARPANSA</w:t>
      </w:r>
      <w:r w:rsidR="009A41E0">
        <w:t xml:space="preserve"> </w:t>
      </w:r>
      <w:r w:rsidRPr="00546A3B">
        <w:t>Regulatory Office</w:t>
      </w:r>
      <w:r w:rsidR="009A41E0">
        <w:t>r</w:t>
      </w:r>
      <w:r w:rsidRPr="00546A3B">
        <w:t xml:space="preserve"> </w:t>
      </w:r>
    </w:p>
    <w:p w14:paraId="45A8BFA4" w14:textId="6BE76869" w:rsidR="00351341" w:rsidRDefault="00546A3B" w:rsidP="00E31808">
      <w:pPr>
        <w:pStyle w:val="ListParagraph"/>
        <w:numPr>
          <w:ilvl w:val="0"/>
          <w:numId w:val="29"/>
        </w:numPr>
      </w:pPr>
      <w:r w:rsidRPr="00546A3B">
        <w:t>Chris Nickel</w:t>
      </w:r>
      <w:r w:rsidR="008A3517">
        <w:t>,</w:t>
      </w:r>
      <w:r w:rsidRPr="00546A3B">
        <w:t xml:space="preserve"> </w:t>
      </w:r>
      <w:r w:rsidR="00351341">
        <w:t>ARPANSA</w:t>
      </w:r>
      <w:r w:rsidR="009A41E0">
        <w:t xml:space="preserve"> </w:t>
      </w:r>
      <w:r w:rsidRPr="00546A3B">
        <w:t>Senior Regulatory Officer</w:t>
      </w:r>
    </w:p>
    <w:p w14:paraId="3F425E87" w14:textId="5BF2D690" w:rsidR="00067C8C" w:rsidRDefault="00546A3B" w:rsidP="009A41E0">
      <w:pPr>
        <w:pStyle w:val="ListParagraph"/>
        <w:numPr>
          <w:ilvl w:val="0"/>
          <w:numId w:val="29"/>
        </w:numPr>
      </w:pPr>
      <w:r w:rsidRPr="00546A3B">
        <w:t>Dr. Ben Searle</w:t>
      </w:r>
      <w:r w:rsidR="00351341">
        <w:t>, an independent consultant.</w:t>
      </w:r>
      <w:r w:rsidRPr="00546A3B">
        <w:t> </w:t>
      </w:r>
    </w:p>
    <w:p w14:paraId="23A4A5E9" w14:textId="31AC8317" w:rsidR="00067C8C" w:rsidRDefault="00522AB9" w:rsidP="00BB54FF">
      <w:pPr>
        <w:pStyle w:val="Heading2"/>
      </w:pPr>
      <w:bookmarkStart w:id="1" w:name="_Toc191984114"/>
      <w:r>
        <w:t>Purpose</w:t>
      </w:r>
      <w:bookmarkEnd w:id="1"/>
    </w:p>
    <w:p w14:paraId="7E7D903E" w14:textId="31523194" w:rsidR="00067C8C" w:rsidRDefault="00633376" w:rsidP="00067C8C">
      <w:r w:rsidRPr="2CEFB821">
        <w:t>The SCA was designed with the following objectives:</w:t>
      </w:r>
    </w:p>
    <w:p w14:paraId="321387FF" w14:textId="58E70253" w:rsidR="00244EFF" w:rsidRDefault="00522AB9" w:rsidP="00244EFF">
      <w:pPr>
        <w:pStyle w:val="ListParagraph"/>
        <w:numPr>
          <w:ilvl w:val="0"/>
          <w:numId w:val="16"/>
        </w:numPr>
      </w:pPr>
      <w:r>
        <w:t>To</w:t>
      </w:r>
      <w:r w:rsidR="00244EFF">
        <w:t xml:space="preserve"> </w:t>
      </w:r>
      <w:r w:rsidRPr="00522AB9">
        <w:t>provide ARPANSA with insights on its current safety culture</w:t>
      </w:r>
    </w:p>
    <w:p w14:paraId="2897D436" w14:textId="77777777" w:rsidR="00BA3631" w:rsidRDefault="00522AB9" w:rsidP="00BA3631">
      <w:pPr>
        <w:pStyle w:val="ListParagraph"/>
        <w:numPr>
          <w:ilvl w:val="0"/>
          <w:numId w:val="16"/>
        </w:numPr>
      </w:pPr>
      <w:r>
        <w:t>To</w:t>
      </w:r>
      <w:r w:rsidR="00244EFF">
        <w:t xml:space="preserve"> </w:t>
      </w:r>
      <w:r w:rsidRPr="00EE7837">
        <w:t>help develop a vision of where the organisation wants to be in the next 2-3 years in its safety culture performance</w:t>
      </w:r>
    </w:p>
    <w:p w14:paraId="398CA516" w14:textId="39A5CC35" w:rsidR="00522AB9" w:rsidRDefault="00522AB9" w:rsidP="00BA3631">
      <w:pPr>
        <w:pStyle w:val="ListParagraph"/>
        <w:numPr>
          <w:ilvl w:val="0"/>
          <w:numId w:val="16"/>
        </w:numPr>
      </w:pPr>
      <w:r w:rsidRPr="2CEFB821">
        <w:t>To assist in identifying practical steps to maintain and improve safety performance.</w:t>
      </w:r>
    </w:p>
    <w:p w14:paraId="0279D21F" w14:textId="146DDB6C" w:rsidR="00C70958" w:rsidRDefault="00033E8C" w:rsidP="00C70958">
      <w:pPr>
        <w:pStyle w:val="Heading1"/>
      </w:pPr>
      <w:bookmarkStart w:id="2" w:name="_Toc191984115"/>
      <w:r>
        <w:t>Methodology</w:t>
      </w:r>
      <w:bookmarkEnd w:id="2"/>
    </w:p>
    <w:p w14:paraId="167EA86F" w14:textId="51EA8555" w:rsidR="00C70958" w:rsidRDefault="00033E8C" w:rsidP="00C70958">
      <w:pPr>
        <w:pStyle w:val="Heading2"/>
      </w:pPr>
      <w:bookmarkStart w:id="3" w:name="_Toc191984116"/>
      <w:r>
        <w:t>Safety Culture Model</w:t>
      </w:r>
      <w:bookmarkEnd w:id="3"/>
    </w:p>
    <w:p w14:paraId="1CA46B10" w14:textId="2365BE30" w:rsidR="001568F9" w:rsidRDefault="001568F9" w:rsidP="001568F9">
      <w:r w:rsidRPr="2CEFB821">
        <w:t xml:space="preserve">The safety culture model used in this assessment is based on the </w:t>
      </w:r>
      <w:r w:rsidR="0036486A" w:rsidRPr="2CEFB821">
        <w:t>Organisation for Economic Co-operation and Development’s (</w:t>
      </w:r>
      <w:r w:rsidRPr="2CEFB821">
        <w:t>OECD</w:t>
      </w:r>
      <w:r w:rsidR="0036486A" w:rsidRPr="2CEFB821">
        <w:t>)</w:t>
      </w:r>
      <w:r w:rsidRPr="2CEFB821">
        <w:t xml:space="preserve"> Nuclear Energy Agency (NEA) publication ‘Safety Culture of an Effective Nuclear </w:t>
      </w:r>
      <w:r w:rsidRPr="2CEFB821">
        <w:lastRenderedPageBreak/>
        <w:t xml:space="preserve">Regulatory Body’ and was adapted from the ‘Safety Culture Maturity Matrix’ and framework developed by </w:t>
      </w:r>
      <w:r w:rsidR="009A41E0" w:rsidRPr="2CEFB821">
        <w:t xml:space="preserve">Bel V, a subsidiary of the Belgian Federal Agency for Nuclear Control, in 2018. </w:t>
      </w:r>
      <w:r w:rsidRPr="2CEFB821">
        <w:t>Drawing on international safety culture models, this model was developed to cover a large set of relevant safety culture attributes. This was designed to help ARPANSA to understand its current safety culture as well as to help identify areas where work should be carried out to maintain and improve the organisation’s culture in the future. </w:t>
      </w:r>
    </w:p>
    <w:p w14:paraId="14107482" w14:textId="343259FE" w:rsidR="00C70958" w:rsidRPr="00C70958" w:rsidRDefault="001568F9" w:rsidP="008A3517">
      <w:r w:rsidRPr="001568F9">
        <w:t xml:space="preserve">ARPANSA made minor adjustments to the model for its use in the 2023 SCA in response to advice provided by Dr. Ben Searle. These changes impact upon the comparability of outcomes from the 2019 and 2023 SCA (see </w:t>
      </w:r>
      <w:hyperlink w:anchor="_Comparisons_with_past" w:tgtFrame="_blank" w:history="1">
        <w:r w:rsidRPr="00EB5B42">
          <w:rPr>
            <w:rStyle w:val="Hyperlink"/>
          </w:rPr>
          <w:t>here</w:t>
        </w:r>
      </w:hyperlink>
      <w:r w:rsidRPr="001568F9">
        <w:t xml:space="preserve"> for more information).</w:t>
      </w:r>
    </w:p>
    <w:p w14:paraId="565262F6" w14:textId="2677F2D6" w:rsidR="00C70958" w:rsidRDefault="001568F9" w:rsidP="00C70958">
      <w:pPr>
        <w:pStyle w:val="Heading2"/>
      </w:pPr>
      <w:bookmarkStart w:id="4" w:name="_Toc191984117"/>
      <w:r>
        <w:t>Maturity rating</w:t>
      </w:r>
      <w:bookmarkEnd w:id="4"/>
      <w:r w:rsidR="00C70958">
        <w:t xml:space="preserve"> </w:t>
      </w:r>
    </w:p>
    <w:p w14:paraId="4F0A979A" w14:textId="39A8D5DD" w:rsidR="003C2B4C" w:rsidRDefault="00092EA0" w:rsidP="003C2B4C">
      <w:r w:rsidRPr="00092EA0">
        <w:t>Safety culture is assessed against a maturity rating scale. The maturity model is anchored to five maturity levels as described below: </w:t>
      </w:r>
    </w:p>
    <w:p w14:paraId="2145AABE" w14:textId="7B7DC2E6" w:rsidR="00AE378C" w:rsidRPr="003C2B4C" w:rsidRDefault="00AE378C" w:rsidP="003C2B4C">
      <w:r>
        <w:rPr>
          <w:noProof/>
        </w:rPr>
        <w:drawing>
          <wp:inline distT="0" distB="0" distL="0" distR="0" wp14:anchorId="22AAF116" wp14:editId="6FF72BB7">
            <wp:extent cx="6120130" cy="3027680"/>
            <wp:effectExtent l="0" t="0" r="0" b="1270"/>
            <wp:docPr id="135903346" name="Picture 1" descr="A diagram of a company'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3346" name="Picture 1" descr="A diagram of a company's company&#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130" cy="3027680"/>
                    </a:xfrm>
                    <a:prstGeom prst="rect">
                      <a:avLst/>
                    </a:prstGeom>
                  </pic:spPr>
                </pic:pic>
              </a:graphicData>
            </a:graphic>
          </wp:inline>
        </w:drawing>
      </w:r>
    </w:p>
    <w:p w14:paraId="1582227B" w14:textId="7C5E1067" w:rsidR="00937076" w:rsidRDefault="00092EA0" w:rsidP="00051729">
      <w:pPr>
        <w:pStyle w:val="Caption"/>
      </w:pPr>
      <w:r>
        <w:t xml:space="preserve">Figure 1: ARPANSA’s safety culture maturity model. </w:t>
      </w:r>
    </w:p>
    <w:p w14:paraId="7B193B2B" w14:textId="77777777" w:rsidR="00CA2DE8" w:rsidRDefault="00CA2DE8" w:rsidP="00937076">
      <w:r w:rsidRPr="2CEFB821">
        <w:t xml:space="preserve">While the rating levels are in order of maturity, with the more desirable states being to the right, the model is not linear in that each state represents a discrete cultural trait. And, whilst organisations should strive for a mature safety culture, having a </w:t>
      </w:r>
      <w:r w:rsidRPr="2CEFB821">
        <w:rPr>
          <w:i/>
          <w:iCs/>
        </w:rPr>
        <w:t xml:space="preserve">holistic </w:t>
      </w:r>
      <w:r w:rsidRPr="2CEFB821">
        <w:t xml:space="preserve">safety culture across all elements of an organisation is not necessarily achievable. For example, where work is repetitive, routine and where risks remain mostly constant, a </w:t>
      </w:r>
      <w:r w:rsidRPr="2CEFB821">
        <w:rPr>
          <w:i/>
          <w:iCs/>
        </w:rPr>
        <w:t xml:space="preserve">bureaucratic </w:t>
      </w:r>
      <w:r w:rsidRPr="2CEFB821">
        <w:t xml:space="preserve">mode of working may be appropriate and is not a sign of an unsafe work environment. Alternatively, where work is diverse, novel and often involving novel risks, a </w:t>
      </w:r>
      <w:r w:rsidRPr="2CEFB821">
        <w:rPr>
          <w:i/>
          <w:iCs/>
        </w:rPr>
        <w:t xml:space="preserve">cooperative </w:t>
      </w:r>
      <w:r w:rsidRPr="2CEFB821">
        <w:t xml:space="preserve">maturity level may be appropriate. </w:t>
      </w:r>
    </w:p>
    <w:p w14:paraId="5B0CEB76" w14:textId="1D63D804" w:rsidR="00A85955" w:rsidRDefault="00A85955" w:rsidP="00A85955">
      <w:pPr>
        <w:pStyle w:val="Heading1"/>
      </w:pPr>
      <w:bookmarkStart w:id="5" w:name="_Toc191984118"/>
      <w:r>
        <w:t>Data Collection Methods</w:t>
      </w:r>
      <w:bookmarkEnd w:id="5"/>
    </w:p>
    <w:p w14:paraId="5D68C76B" w14:textId="46261CE4" w:rsidR="00C3135B" w:rsidRDefault="00872771" w:rsidP="00872771">
      <w:r>
        <w:t>A comprehensive five-point data collection process was followed to provide a holistic, well-rounded understanding of ARPANSA’s safety culture. This process involved</w:t>
      </w:r>
      <w:r w:rsidR="00C3135B">
        <w:t>:</w:t>
      </w:r>
    </w:p>
    <w:p w14:paraId="65108F2C" w14:textId="0FAFD78B" w:rsidR="00C3135B" w:rsidRDefault="00872771" w:rsidP="008A36F1">
      <w:pPr>
        <w:pStyle w:val="ListParagraph"/>
        <w:numPr>
          <w:ilvl w:val="0"/>
          <w:numId w:val="34"/>
        </w:numPr>
      </w:pPr>
      <w:r w:rsidRPr="2CEFB821">
        <w:lastRenderedPageBreak/>
        <w:t>perception survey</w:t>
      </w:r>
    </w:p>
    <w:p w14:paraId="591DA78F" w14:textId="67ECAA2A" w:rsidR="00C3135B" w:rsidRDefault="00872771" w:rsidP="008A36F1">
      <w:pPr>
        <w:pStyle w:val="ListParagraph"/>
        <w:numPr>
          <w:ilvl w:val="0"/>
          <w:numId w:val="34"/>
        </w:numPr>
      </w:pPr>
      <w:r>
        <w:t xml:space="preserve">interviews </w:t>
      </w:r>
    </w:p>
    <w:p w14:paraId="5424BD35" w14:textId="7D48FB36" w:rsidR="00C3135B" w:rsidRDefault="00872771" w:rsidP="008A36F1">
      <w:pPr>
        <w:pStyle w:val="ListParagraph"/>
        <w:numPr>
          <w:ilvl w:val="0"/>
          <w:numId w:val="34"/>
        </w:numPr>
      </w:pPr>
      <w:r>
        <w:t>focus groups</w:t>
      </w:r>
    </w:p>
    <w:p w14:paraId="177FF62E" w14:textId="73DA48FD" w:rsidR="00C3135B" w:rsidRDefault="00872771" w:rsidP="008A36F1">
      <w:pPr>
        <w:pStyle w:val="ListParagraph"/>
        <w:numPr>
          <w:ilvl w:val="0"/>
          <w:numId w:val="34"/>
        </w:numPr>
      </w:pPr>
      <w:r>
        <w:t xml:space="preserve">documentation review </w:t>
      </w:r>
    </w:p>
    <w:p w14:paraId="5FE2064B" w14:textId="77777777" w:rsidR="00C3135B" w:rsidRDefault="00872771" w:rsidP="008A36F1">
      <w:pPr>
        <w:pStyle w:val="ListParagraph"/>
        <w:numPr>
          <w:ilvl w:val="0"/>
          <w:numId w:val="34"/>
        </w:numPr>
      </w:pPr>
      <w:r>
        <w:t xml:space="preserve">work observations. </w:t>
      </w:r>
    </w:p>
    <w:p w14:paraId="34024AF1" w14:textId="72166307" w:rsidR="00872771" w:rsidRDefault="00872771" w:rsidP="00872771">
      <w:r w:rsidRPr="2CEFB821">
        <w:t xml:space="preserve">All data from participants was de-identified and made confidential to allow staff and leaders to speak openly and thus protect the integrity and validity of the data.  </w:t>
      </w:r>
    </w:p>
    <w:p w14:paraId="2B8987BE" w14:textId="77263499" w:rsidR="00872771" w:rsidRDefault="00872771" w:rsidP="00872771">
      <w:r w:rsidRPr="2CEFB821">
        <w:t xml:space="preserve">All five sources of data were collated and reviewed against the </w:t>
      </w:r>
      <w:r w:rsidR="00C8733D" w:rsidRPr="2CEFB821">
        <w:t>ARPANSA’s</w:t>
      </w:r>
      <w:r w:rsidRPr="2CEFB821">
        <w:t xml:space="preserve"> safety culture maturity model</w:t>
      </w:r>
      <w:r w:rsidR="00C8733D" w:rsidRPr="2CEFB821">
        <w:t>, Figure 1 above,</w:t>
      </w:r>
      <w:r w:rsidRPr="2CEFB821">
        <w:t xml:space="preserve"> to understand ARPANSA’s culture for safety. Final ratings were decided via a group consensus of all SCA project members. This represents a key difference in approach to the 2019 SCA, in which only the perception survey was used to derive the maturity ratings for each sub-topic. This change </w:t>
      </w:r>
      <w:r w:rsidR="00DC264B" w:rsidRPr="2CEFB821">
        <w:t xml:space="preserve">in 2023 </w:t>
      </w:r>
      <w:r w:rsidRPr="2CEFB821">
        <w:t xml:space="preserve">was done to </w:t>
      </w:r>
      <w:r w:rsidR="000D03C2" w:rsidRPr="2CEFB821">
        <w:t xml:space="preserve">make sure that </w:t>
      </w:r>
      <w:r w:rsidR="002A634E" w:rsidRPr="2CEFB821">
        <w:t xml:space="preserve">the </w:t>
      </w:r>
      <w:r w:rsidR="000D03C2" w:rsidRPr="2CEFB821">
        <w:t xml:space="preserve">data collected was </w:t>
      </w:r>
      <w:r w:rsidR="002A634E" w:rsidRPr="2CEFB821">
        <w:t xml:space="preserve">more representative of ARPANSA’s holistic safety culture. </w:t>
      </w:r>
    </w:p>
    <w:p w14:paraId="223A20ED" w14:textId="53471604" w:rsidR="00872771" w:rsidRDefault="00872771" w:rsidP="00872771">
      <w:pPr>
        <w:pStyle w:val="Heading2"/>
      </w:pPr>
      <w:bookmarkStart w:id="6" w:name="_Toc191984119"/>
      <w:r w:rsidRPr="2CEFB821">
        <w:t>Perception survey</w:t>
      </w:r>
      <w:bookmarkEnd w:id="6"/>
      <w:r w:rsidRPr="2CEFB821">
        <w:t xml:space="preserve"> </w:t>
      </w:r>
    </w:p>
    <w:p w14:paraId="1C91B133" w14:textId="2A3B05F0" w:rsidR="00BF7592" w:rsidRDefault="00BF7592" w:rsidP="00BF7592">
      <w:r w:rsidRPr="2CEFB821">
        <w:t xml:space="preserve">This survey was designed to </w:t>
      </w:r>
      <w:r w:rsidR="00E33EB5" w:rsidRPr="2CEFB821">
        <w:t>obtain</w:t>
      </w:r>
      <w:r w:rsidR="00BC5938" w:rsidRPr="2CEFB821">
        <w:t xml:space="preserve"> </w:t>
      </w:r>
      <w:r w:rsidRPr="2CEFB821">
        <w:t xml:space="preserve">information about staff perceptions of ARPANSA’s culture with regards to factors including leadership, risk, rule following, speaking up, and team and divisional dynamics. Further, it was designed to align with the safety culture maturity model topics. Changes were made to 2019 survey items to improve </w:t>
      </w:r>
      <w:r w:rsidR="008644BA" w:rsidRPr="2CEFB821">
        <w:t xml:space="preserve">the </w:t>
      </w:r>
      <w:r w:rsidRPr="2CEFB821">
        <w:t xml:space="preserve">survey design for the 2023 SCA. This included content changes and randomisation of response options. Both changes were designed to improve the veracity of survey data, where participants engaged with response options rather than selecting a maturity rating before reading the options. </w:t>
      </w:r>
    </w:p>
    <w:p w14:paraId="06242B6C" w14:textId="79D3B640" w:rsidR="00BF7592" w:rsidRDefault="00BF7592" w:rsidP="00BF7592">
      <w:r w:rsidRPr="2CEFB821">
        <w:t xml:space="preserve">Respondents were asked to select a ‘statement’ that corresponds to a maturity level that, in their opinion, best represented how they viewed the safety culture within their work area and at ARPANSA. It is worth noting that there are sometimes situations in which perceptions may be incongruent with the reality presented by other evidence.  </w:t>
      </w:r>
    </w:p>
    <w:p w14:paraId="5B92FB0D" w14:textId="4425843F" w:rsidR="00BF7592" w:rsidRDefault="00BF7592" w:rsidP="00BF7592">
      <w:r>
        <w:t xml:space="preserve">The SCA project team took several steps to ensure the privacy and confidentiality of survey respondents by conducting the survey as a voluntary, anonymous online survey and not tracking employee participation. </w:t>
      </w:r>
    </w:p>
    <w:p w14:paraId="4E60739F" w14:textId="77777777" w:rsidR="00440095" w:rsidRDefault="00BF7592" w:rsidP="00BF7592">
      <w:r w:rsidRPr="2CEFB821">
        <w:t xml:space="preserve">The most commonly selected response (i.e., the mode) determined the survey culture score for both the topics and sub-topics of the maturity model. This method, rather than averages, was chosen as it is more representative of the responses individuals actually gave, and more </w:t>
      </w:r>
      <w:r w:rsidR="00440095" w:rsidRPr="2CEFB821">
        <w:t>mathematically appropriate when considering the categorical, discrete nature of maturity levels. The full range of responses were also examined to identify where response distributions had multiple peaks. This was especially important when the second most common response represented a similar proportion of participants as the mode (e.g. 24% vs. 27%).</w:t>
      </w:r>
    </w:p>
    <w:p w14:paraId="65407400" w14:textId="391CE314" w:rsidR="00440095" w:rsidRDefault="00440095" w:rsidP="00440095">
      <w:pPr>
        <w:pStyle w:val="Heading2"/>
      </w:pPr>
      <w:bookmarkStart w:id="7" w:name="_Toc191984120"/>
      <w:r>
        <w:t>Interviews</w:t>
      </w:r>
      <w:bookmarkEnd w:id="7"/>
      <w:r>
        <w:t xml:space="preserve"> </w:t>
      </w:r>
    </w:p>
    <w:p w14:paraId="769FE698" w14:textId="2A0951F4" w:rsidR="0079374E" w:rsidRPr="0079374E" w:rsidRDefault="00440095" w:rsidP="0079374E">
      <w:r w:rsidRPr="2CEFB821">
        <w:t xml:space="preserve">The project </w:t>
      </w:r>
      <w:r w:rsidR="0079374E" w:rsidRPr="2CEFB821">
        <w:t xml:space="preserve">team facilitated interviews and focus groups with a sample population of approximately one third of the ARPANSA workforce from a variety of business areas, functions and levels. This was done to </w:t>
      </w:r>
      <w:r w:rsidR="0079374E" w:rsidRPr="2CEFB821">
        <w:lastRenderedPageBreak/>
        <w:t>confirm, challenge, or extend existing data by asking about the things ARPANSA is doing well (in terms of safety) as well as things that could be improved. </w:t>
      </w:r>
    </w:p>
    <w:p w14:paraId="6F5E556B" w14:textId="36C766F0" w:rsidR="0079374E" w:rsidRPr="0079374E" w:rsidRDefault="0079374E" w:rsidP="00633376">
      <w:r w:rsidRPr="0079374E">
        <w:t xml:space="preserve">A standardised set of instructions for all focus groups and interviews </w:t>
      </w:r>
      <w:r w:rsidR="00FD40C2" w:rsidRPr="0079374E">
        <w:t>w</w:t>
      </w:r>
      <w:r w:rsidR="00FD40C2">
        <w:t xml:space="preserve">as </w:t>
      </w:r>
      <w:r w:rsidRPr="0079374E">
        <w:t>generated by the project team using the safety assessment model topics and the survey responses as points of reference. Open-ended questions were used, with topics including what is working well, not so well, and opportunities for improvement. </w:t>
      </w:r>
    </w:p>
    <w:p w14:paraId="438D3A9E" w14:textId="30336C0B" w:rsidR="0079374E" w:rsidRPr="0079374E" w:rsidRDefault="0079374E" w:rsidP="00633376">
      <w:r w:rsidRPr="0079374E">
        <w:t>Eight interviews were conducted for this assessment</w:t>
      </w:r>
      <w:r w:rsidR="00633365">
        <w:t xml:space="preserve"> with</w:t>
      </w:r>
      <w:r w:rsidRPr="0079374E">
        <w:t>: </w:t>
      </w:r>
    </w:p>
    <w:p w14:paraId="25699CFE" w14:textId="2D872629" w:rsidR="00633376" w:rsidRDefault="00633365" w:rsidP="00633376">
      <w:pPr>
        <w:pStyle w:val="ListParagraph"/>
        <w:numPr>
          <w:ilvl w:val="1"/>
          <w:numId w:val="24"/>
        </w:numPr>
      </w:pPr>
      <w:r>
        <w:t>ARPANSA’s Chief Executive Officer</w:t>
      </w:r>
    </w:p>
    <w:p w14:paraId="5FB86FE6" w14:textId="56B6EDAD" w:rsidR="00633376" w:rsidRDefault="00633376" w:rsidP="00633376">
      <w:pPr>
        <w:pStyle w:val="ListParagraph"/>
        <w:numPr>
          <w:ilvl w:val="1"/>
          <w:numId w:val="24"/>
        </w:numPr>
      </w:pPr>
      <w:r>
        <w:t xml:space="preserve">All six </w:t>
      </w:r>
      <w:r w:rsidR="00490FA2">
        <w:t>ARPANSA b</w:t>
      </w:r>
      <w:r>
        <w:t xml:space="preserve">ranch and </w:t>
      </w:r>
      <w:r w:rsidR="00490FA2">
        <w:t>o</w:t>
      </w:r>
      <w:r>
        <w:t>ffice heads</w:t>
      </w:r>
    </w:p>
    <w:p w14:paraId="41A9AA2A" w14:textId="0E028A56" w:rsidR="00633376" w:rsidRDefault="00633365" w:rsidP="00633376">
      <w:pPr>
        <w:pStyle w:val="ListParagraph"/>
        <w:numPr>
          <w:ilvl w:val="1"/>
          <w:numId w:val="24"/>
        </w:numPr>
      </w:pPr>
      <w:r>
        <w:t xml:space="preserve">A </w:t>
      </w:r>
      <w:r w:rsidR="00633376">
        <w:t>Safety Representative.</w:t>
      </w:r>
    </w:p>
    <w:p w14:paraId="386617DC" w14:textId="1C2848AF" w:rsidR="00C3135B" w:rsidRPr="0061239E" w:rsidRDefault="00C3135B" w:rsidP="0061239E">
      <w:pPr>
        <w:pStyle w:val="Heading2"/>
      </w:pPr>
      <w:bookmarkStart w:id="8" w:name="_Toc191984121"/>
      <w:r w:rsidRPr="0061239E">
        <w:t>Focus Groups</w:t>
      </w:r>
      <w:bookmarkEnd w:id="8"/>
    </w:p>
    <w:p w14:paraId="5E848653" w14:textId="77777777" w:rsidR="0079374E" w:rsidRPr="0079374E" w:rsidRDefault="0079374E" w:rsidP="00633376">
      <w:r w:rsidRPr="0079374E">
        <w:t>Focus groups were held with staff chosen by the consultant based on an organisational chart to ensure a representative mix of work areas and levels. Employees were grouped according to branch/office with separate groups for managers. </w:t>
      </w:r>
    </w:p>
    <w:p w14:paraId="1D220A93" w14:textId="77777777" w:rsidR="0079374E" w:rsidRPr="0079374E" w:rsidRDefault="0079374E" w:rsidP="00633376">
      <w:r w:rsidRPr="2CEFB821">
        <w:t>Participants were asked to write their answers to open-ended questions on sticky notes which were then categorised into 5 topics, or an ‘other’ category if they were unsure or believed it did not fit any one category. This was intended to prompt discussion in the session. </w:t>
      </w:r>
    </w:p>
    <w:p w14:paraId="3DFC7CDF" w14:textId="77777777" w:rsidR="0079374E" w:rsidRDefault="0079374E" w:rsidP="00633376">
      <w:r w:rsidRPr="2CEFB821">
        <w:t>Focus groups provide the opportunity to contextualise observations from other data collection methods and provide people the freedom to express issues that may not have been covered elsewhere. Focus group dynamics and language (verbal and body) are examples of observations that can also support an understanding of culture.</w:t>
      </w:r>
    </w:p>
    <w:p w14:paraId="47C9998C" w14:textId="7AFA679F" w:rsidR="00633376" w:rsidRPr="0061239E" w:rsidRDefault="00633376" w:rsidP="0061239E">
      <w:pPr>
        <w:pStyle w:val="Heading2"/>
      </w:pPr>
      <w:bookmarkStart w:id="9" w:name="_Toc191984122"/>
      <w:r w:rsidRPr="0061239E">
        <w:t>Document Review</w:t>
      </w:r>
      <w:bookmarkEnd w:id="9"/>
    </w:p>
    <w:p w14:paraId="04A07860" w14:textId="3D83C788" w:rsidR="00633376" w:rsidRDefault="003B0E46" w:rsidP="003B0E46">
      <w:r w:rsidRPr="2CEFB821">
        <w:t>The document review involved collecting documentation/data, including systems documents (Human Resources; Work Health and Safety), strategy documents, values documents, policies and procedures, previous reviews and assessments, and communications that contain relevant information to the maturity profiling process.</w:t>
      </w:r>
    </w:p>
    <w:p w14:paraId="57942EC3" w14:textId="305079C9" w:rsidR="003B0E46" w:rsidRPr="0079374E" w:rsidRDefault="003B0E46" w:rsidP="003B0E46">
      <w:r>
        <w:t>In reviewing documents, consideration was given to the degree to which:</w:t>
      </w:r>
    </w:p>
    <w:p w14:paraId="6AD2C1EF" w14:textId="6DBFAC08" w:rsidR="003B0E46" w:rsidRDefault="009A2B3D" w:rsidP="00A5729F">
      <w:pPr>
        <w:pStyle w:val="ListParagraph"/>
        <w:numPr>
          <w:ilvl w:val="0"/>
          <w:numId w:val="33"/>
        </w:numPr>
      </w:pPr>
      <w:r>
        <w:t>t</w:t>
      </w:r>
      <w:r w:rsidR="003B0E46">
        <w:t xml:space="preserve">hey align with the topics </w:t>
      </w:r>
      <w:r>
        <w:t>and sub-topics</w:t>
      </w:r>
    </w:p>
    <w:p w14:paraId="3266D886" w14:textId="0A79AB9D" w:rsidR="003B0E46" w:rsidRDefault="009A2B3D" w:rsidP="00A5729F">
      <w:pPr>
        <w:pStyle w:val="ListParagraph"/>
        <w:numPr>
          <w:ilvl w:val="0"/>
          <w:numId w:val="33"/>
        </w:numPr>
      </w:pPr>
      <w:r w:rsidRPr="2CEFB821">
        <w:t>they provide insights into the organisation’s maturity, e.g. inclusiveness, holistic approach</w:t>
      </w:r>
    </w:p>
    <w:p w14:paraId="2E8D5955" w14:textId="7BBCB076" w:rsidR="003B0E46" w:rsidRDefault="009A2B3D" w:rsidP="00A5729F">
      <w:pPr>
        <w:pStyle w:val="ListParagraph"/>
        <w:numPr>
          <w:ilvl w:val="0"/>
          <w:numId w:val="33"/>
        </w:numPr>
      </w:pPr>
      <w:r>
        <w:t>documentation is consistent</w:t>
      </w:r>
    </w:p>
    <w:p w14:paraId="11873F22" w14:textId="1CB49732" w:rsidR="009A2B3D" w:rsidRDefault="009A2B3D" w:rsidP="00A5729F">
      <w:pPr>
        <w:pStyle w:val="ListParagraph"/>
        <w:numPr>
          <w:ilvl w:val="0"/>
          <w:numId w:val="33"/>
        </w:numPr>
      </w:pPr>
      <w:r>
        <w:t>documentation is available.</w:t>
      </w:r>
    </w:p>
    <w:p w14:paraId="7B2E5165" w14:textId="10279126" w:rsidR="009A2B3D" w:rsidRDefault="00110CC4" w:rsidP="009A2B3D">
      <w:r>
        <w:t xml:space="preserve">The documentation review was not intended to be a comprehensive assessment of all </w:t>
      </w:r>
      <w:r w:rsidR="00330F50">
        <w:t>documentation but</w:t>
      </w:r>
      <w:r>
        <w:t xml:space="preserve"> rather intended to provide insight and areas for discussion, comparison, and consideration alongside the other data collection methods. </w:t>
      </w:r>
    </w:p>
    <w:p w14:paraId="372D703A" w14:textId="70FB5AA8" w:rsidR="00110CC4" w:rsidRPr="0061239E" w:rsidRDefault="00110CC4" w:rsidP="0061239E">
      <w:pPr>
        <w:pStyle w:val="Heading2"/>
      </w:pPr>
      <w:bookmarkStart w:id="10" w:name="_Toc191984123"/>
      <w:r w:rsidRPr="0061239E">
        <w:lastRenderedPageBreak/>
        <w:t>Workplace behavioural interaction observations</w:t>
      </w:r>
      <w:bookmarkEnd w:id="10"/>
    </w:p>
    <w:p w14:paraId="1F3D9F21" w14:textId="1EA16EB2" w:rsidR="00110CC4" w:rsidRDefault="00110CC4" w:rsidP="00110CC4">
      <w:r w:rsidRPr="2CEFB821">
        <w:t>Observations were taken across multiple work groups and work modes, including team meetings, lab work, and other operations. Targeted observations of interaction forums (e.g. meetings, start-up talks) allowed the project team to observe people at work. This provided rich, qualitative data to tell a story about the maturity profile and allowed staff to raise issues in their normal workplace. </w:t>
      </w:r>
    </w:p>
    <w:p w14:paraId="20FF4D70" w14:textId="2CD891AC" w:rsidR="00110CC4" w:rsidRPr="00110CC4" w:rsidRDefault="00110CC4" w:rsidP="00110CC4">
      <w:pPr>
        <w:pStyle w:val="Heading1"/>
      </w:pPr>
      <w:bookmarkStart w:id="11" w:name="_Toc191984124"/>
      <w:r>
        <w:t>Results</w:t>
      </w:r>
      <w:bookmarkEnd w:id="11"/>
    </w:p>
    <w:p w14:paraId="5B1A190F" w14:textId="3993C231" w:rsidR="00D43756" w:rsidRDefault="00D43756" w:rsidP="00D43756">
      <w:pPr>
        <w:pStyle w:val="Heading2"/>
      </w:pPr>
      <w:bookmarkStart w:id="12" w:name="_Toc191984125"/>
      <w:r>
        <w:t>Overall results</w:t>
      </w:r>
      <w:bookmarkEnd w:id="12"/>
    </w:p>
    <w:p w14:paraId="1BC08294" w14:textId="78A06127" w:rsidR="00991C0D" w:rsidRDefault="00401BE0" w:rsidP="00991C0D">
      <w:pPr>
        <w:rPr>
          <w:noProof/>
        </w:rPr>
      </w:pPr>
      <w:r w:rsidRPr="2CEFB821">
        <w:t>Ratings for each safety culture topic were reached through careful consideration and evaluation of each source of data, collected throughout the assessment. Consensus was reached by all members of the project team to assign the final rating for each component. A high-level overview of findings relating to each topic is provided in Figure 2.</w:t>
      </w:r>
    </w:p>
    <w:p w14:paraId="3A1988D9" w14:textId="319B523E" w:rsidR="0061004B" w:rsidRPr="00991C0D" w:rsidRDefault="0061004B" w:rsidP="00991C0D">
      <w:r>
        <w:rPr>
          <w:noProof/>
        </w:rPr>
        <w:drawing>
          <wp:inline distT="0" distB="0" distL="0" distR="0" wp14:anchorId="2EAED69D" wp14:editId="57DCCD02">
            <wp:extent cx="6120130" cy="2908975"/>
            <wp:effectExtent l="0" t="0" r="0" b="5715"/>
            <wp:docPr id="42714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48838"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130" cy="2908975"/>
                    </a:xfrm>
                    <a:prstGeom prst="rect">
                      <a:avLst/>
                    </a:prstGeom>
                  </pic:spPr>
                </pic:pic>
              </a:graphicData>
            </a:graphic>
          </wp:inline>
        </w:drawing>
      </w:r>
    </w:p>
    <w:p w14:paraId="7AF30391" w14:textId="77777777" w:rsidR="009A6473" w:rsidRDefault="009A6473" w:rsidP="00401BE0">
      <w:pPr>
        <w:pStyle w:val="Caption"/>
      </w:pPr>
    </w:p>
    <w:p w14:paraId="2364FD7C" w14:textId="52DCC80A" w:rsidR="00401BE0" w:rsidRDefault="00401BE0" w:rsidP="00401BE0">
      <w:pPr>
        <w:pStyle w:val="Caption"/>
      </w:pPr>
      <w:r>
        <w:t>Figure 2: Overall maturity level ratings broken down by safety culture topic.</w:t>
      </w:r>
    </w:p>
    <w:p w14:paraId="5148FBBF" w14:textId="7E40BC19" w:rsidR="00CA693D" w:rsidRPr="00CA693D" w:rsidDel="00246193" w:rsidRDefault="00CA693D" w:rsidP="00CA693D">
      <w:r w:rsidRPr="2CEFB821">
        <w:t xml:space="preserve">Overall, results show that across the five topics, safety culture in ARPANSA sits mostly at a middling level of maturity, with 4 out of 5 topics being given a rating of </w:t>
      </w:r>
      <w:r w:rsidRPr="2CEFB821">
        <w:rPr>
          <w:i/>
          <w:iCs/>
        </w:rPr>
        <w:t>individual</w:t>
      </w:r>
      <w:r w:rsidRPr="2CEFB821">
        <w:t xml:space="preserve">. </w:t>
      </w:r>
      <w:r w:rsidRPr="2CEFB821">
        <w:rPr>
          <w:i/>
          <w:iCs/>
        </w:rPr>
        <w:t>Individual</w:t>
      </w:r>
      <w:r w:rsidRPr="2CEFB821">
        <w:t xml:space="preserve"> maturity reflects where staff are involved and take personal responsibility for safety of their own work, but where organisation wide systems are not ensuring collaboration across areas and levels. This does not necessarily imply that work is being done in an unsafe manner. For example, in roles where work is repetitive, routine and where risks remain mostly constant, a </w:t>
      </w:r>
      <w:r w:rsidRPr="2CEFB821">
        <w:rPr>
          <w:i/>
          <w:iCs/>
        </w:rPr>
        <w:t xml:space="preserve">bureaucratic </w:t>
      </w:r>
      <w:r w:rsidRPr="2CEFB821">
        <w:t>mode of working may be appropriate. </w:t>
      </w:r>
    </w:p>
    <w:p w14:paraId="77EEBB7B" w14:textId="42410A16" w:rsidR="00CA693D" w:rsidRPr="00CA693D" w:rsidRDefault="00CA693D" w:rsidP="00CA693D">
      <w:r w:rsidRPr="2CEFB821">
        <w:t>The assessment identified areas of good practice and areas of improvement.  </w:t>
      </w:r>
    </w:p>
    <w:p w14:paraId="238A90D4" w14:textId="0EAE4CD2" w:rsidR="00CA693D" w:rsidRPr="0079374E" w:rsidRDefault="00CA693D" w:rsidP="00CA693D">
      <w:r>
        <w:t xml:space="preserve">Area of good practice: </w:t>
      </w:r>
    </w:p>
    <w:p w14:paraId="0D6CDF38" w14:textId="26ACFDDD" w:rsidR="00401BE0" w:rsidRDefault="0071706C" w:rsidP="2CEFB821">
      <w:pPr>
        <w:pStyle w:val="ListParagraph"/>
      </w:pPr>
      <w:r w:rsidRPr="2CEFB821">
        <w:rPr>
          <w:b/>
          <w:bCs/>
        </w:rPr>
        <w:lastRenderedPageBreak/>
        <w:t>External communication and collaboration</w:t>
      </w:r>
      <w:r w:rsidR="00855718" w:rsidRPr="2CEFB821">
        <w:rPr>
          <w:b/>
          <w:bCs/>
        </w:rPr>
        <w:t xml:space="preserve"> - </w:t>
      </w:r>
      <w:r w:rsidR="00855718">
        <w:t>This</w:t>
      </w:r>
      <w:r>
        <w:t xml:space="preserve"> is a point of good practice at ARPANSA. Throughout the agency</w:t>
      </w:r>
      <w:r w:rsidR="003D39FA">
        <w:t>,</w:t>
      </w:r>
      <w:r>
        <w:t xml:space="preserve"> staff report</w:t>
      </w:r>
      <w:r w:rsidR="003D39FA">
        <w:t xml:space="preserve"> the</w:t>
      </w:r>
      <w:r>
        <w:t xml:space="preserve"> positive impacts of their work, and of the </w:t>
      </w:r>
      <w:r w:rsidR="003D39FA">
        <w:t>agency’s work</w:t>
      </w:r>
      <w:r>
        <w:t xml:space="preserve"> in general </w:t>
      </w:r>
      <w:r w:rsidR="00855718">
        <w:t xml:space="preserve">with </w:t>
      </w:r>
      <w:r>
        <w:t>external stakeholders. Staff highly value these relationships, and they are seen to be managed well. ARPANSA has seen benefits from collaborating with external groups.</w:t>
      </w:r>
    </w:p>
    <w:p w14:paraId="72D9ABDB" w14:textId="2B9F3FFB" w:rsidR="0071706C" w:rsidRDefault="0071706C" w:rsidP="0071706C">
      <w:r>
        <w:t>Areas for improvement:</w:t>
      </w:r>
    </w:p>
    <w:p w14:paraId="78603692" w14:textId="3DF92574" w:rsidR="0071706C" w:rsidRDefault="0071706C" w:rsidP="2CEFB821">
      <w:pPr>
        <w:pStyle w:val="ListParagraph"/>
      </w:pPr>
      <w:r w:rsidRPr="2CEFB821">
        <w:rPr>
          <w:b/>
          <w:bCs/>
        </w:rPr>
        <w:t xml:space="preserve">Workload management </w:t>
      </w:r>
      <w:r w:rsidR="00843084" w:rsidRPr="2CEFB821">
        <w:rPr>
          <w:b/>
          <w:bCs/>
        </w:rPr>
        <w:t>and</w:t>
      </w:r>
      <w:r w:rsidRPr="2CEFB821">
        <w:rPr>
          <w:b/>
          <w:bCs/>
        </w:rPr>
        <w:t xml:space="preserve"> support</w:t>
      </w:r>
      <w:r w:rsidRPr="2CEFB821">
        <w:t xml:space="preserve"> – A need to address resourcing and workload, including their implications on safety and wellbeing, was identified. This includes sufficiency in time to analyse mistakes, maintain procedures, or develop new procedures.</w:t>
      </w:r>
    </w:p>
    <w:p w14:paraId="02C2C7E5" w14:textId="77777777" w:rsidR="005C7C31" w:rsidRPr="005C7C31" w:rsidRDefault="005C7C31" w:rsidP="2CEFB821">
      <w:pPr>
        <w:pStyle w:val="ListParagraph"/>
      </w:pPr>
      <w:r w:rsidRPr="2CEFB821">
        <w:rPr>
          <w:b/>
          <w:bCs/>
        </w:rPr>
        <w:t>Leadership for safety</w:t>
      </w:r>
      <w:r w:rsidRPr="2CEFB821">
        <w:t xml:space="preserve"> – A need for leaders to do more in holding staff accountable for safety was identified. This includes clarifying when and how individuals should be held accountable.  </w:t>
      </w:r>
    </w:p>
    <w:p w14:paraId="057B56A4" w14:textId="03A4F8BA" w:rsidR="005C7C31" w:rsidRPr="005C7C31" w:rsidRDefault="005C7C31" w:rsidP="2CEFB821">
      <w:pPr>
        <w:pStyle w:val="ListParagraph"/>
      </w:pPr>
      <w:r w:rsidRPr="2CEFB821">
        <w:rPr>
          <w:b/>
          <w:bCs/>
        </w:rPr>
        <w:t xml:space="preserve">Individual responsibility </w:t>
      </w:r>
      <w:r w:rsidR="00843084" w:rsidRPr="2CEFB821">
        <w:rPr>
          <w:b/>
          <w:bCs/>
        </w:rPr>
        <w:t>and</w:t>
      </w:r>
      <w:r w:rsidRPr="2CEFB821">
        <w:rPr>
          <w:b/>
          <w:bCs/>
        </w:rPr>
        <w:t xml:space="preserve"> accountability</w:t>
      </w:r>
      <w:r w:rsidRPr="2CEFB821">
        <w:t xml:space="preserve"> – Whilst staff value safety and take safety responsibilities of their role seriously, a need to take ownership for safety issues outside of one’s role or when ownership is ambiguous was identified.  </w:t>
      </w:r>
    </w:p>
    <w:p w14:paraId="67B778C4" w14:textId="77777777" w:rsidR="005C7C31" w:rsidRPr="005C7C31" w:rsidRDefault="005C7C31" w:rsidP="2CEFB821">
      <w:pPr>
        <w:pStyle w:val="ListParagraph"/>
      </w:pPr>
      <w:r w:rsidRPr="2CEFB821">
        <w:rPr>
          <w:b/>
          <w:bCs/>
        </w:rPr>
        <w:t>Safety oversight and systemic approach</w:t>
      </w:r>
      <w:r w:rsidRPr="2CEFB821">
        <w:t xml:space="preserve"> – A need to optimise safety tools was identified. This includes making tools fit for purpose, streamlined, and available to all. </w:t>
      </w:r>
    </w:p>
    <w:p w14:paraId="2EDFF4F7" w14:textId="679F27F6" w:rsidR="00246193" w:rsidRPr="005C7C31" w:rsidRDefault="005C7C31" w:rsidP="2CEFB821">
      <w:pPr>
        <w:pStyle w:val="ListParagraph"/>
      </w:pPr>
      <w:r w:rsidRPr="2CEFB821">
        <w:rPr>
          <w:b/>
          <w:bCs/>
        </w:rPr>
        <w:t>Knowledge sharing and communication</w:t>
      </w:r>
      <w:r w:rsidRPr="2CEFB821">
        <w:t xml:space="preserve"> – A need for greater collaboration across, and sometimes within, teams was identified. Indeed, improved collaboration and knowledge sharing are key characteristics needed to transition to a higher maturity level. </w:t>
      </w:r>
    </w:p>
    <w:p w14:paraId="5837385F" w14:textId="1C8AC036" w:rsidR="0071706C" w:rsidRDefault="005C7C31" w:rsidP="005C7C31">
      <w:pPr>
        <w:pStyle w:val="Heading2"/>
      </w:pPr>
      <w:bookmarkStart w:id="13" w:name="_Toc191984126"/>
      <w:bookmarkStart w:id="14" w:name="_Comparisons_with_past"/>
      <w:bookmarkEnd w:id="14"/>
      <w:r>
        <w:t>Comparisons with past assessments</w:t>
      </w:r>
      <w:bookmarkEnd w:id="13"/>
    </w:p>
    <w:p w14:paraId="2AD33A58" w14:textId="07717F3D" w:rsidR="005C7C31" w:rsidRPr="005C7C31" w:rsidRDefault="004628E1" w:rsidP="005C7C31">
      <w:r>
        <w:t>Dire</w:t>
      </w:r>
      <w:r w:rsidRPr="004628E1">
        <w:t>ct comparisons between maturity ratings from the 2019 and 2023 SCA are not appropriate for several reasons. Firstly, the 2019 SCA used perception survey outcomes to assign maturity ratings, and did not use findings from focus groups, interviews, document reviews or work observations in determining ratings. The 2023 SCA considered all evidence to assign more informed maturity ratings. Additionally, perception survey items were updated in 2023, meaning some response options are considerably different when compared to the 2019 SCA. These changes create significant variance in the two assessments, deeming comparisons unsuitable. Future SCAs are likely to adopt the 2023 methodology, thereby enabling comparisons moving forward.</w:t>
      </w:r>
    </w:p>
    <w:p w14:paraId="4D2263A5" w14:textId="77777777" w:rsidR="0071706C" w:rsidRPr="00401BE0" w:rsidRDefault="0071706C" w:rsidP="0071706C"/>
    <w:p w14:paraId="7A6F6711" w14:textId="1A4F5E31" w:rsidR="00440095" w:rsidRPr="00440095" w:rsidRDefault="00440095" w:rsidP="00440095"/>
    <w:p w14:paraId="02877414" w14:textId="57B6AAD4" w:rsidR="00937076" w:rsidRDefault="00440095" w:rsidP="123FFDA6">
      <w:r>
        <w:t xml:space="preserve"> </w:t>
      </w:r>
    </w:p>
    <w:sectPr w:rsidR="00937076" w:rsidSect="001E2F4E">
      <w:footerReference w:type="default" r:id="rId21"/>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7D14A" w14:textId="77777777" w:rsidR="00C06EB4" w:rsidRDefault="00C06EB4" w:rsidP="00037687">
      <w:r>
        <w:separator/>
      </w:r>
    </w:p>
  </w:endnote>
  <w:endnote w:type="continuationSeparator" w:id="0">
    <w:p w14:paraId="2AD6239A" w14:textId="77777777" w:rsidR="00C06EB4" w:rsidRDefault="00C06EB4" w:rsidP="00037687">
      <w:r>
        <w:continuationSeparator/>
      </w:r>
    </w:p>
  </w:endnote>
  <w:endnote w:type="continuationNotice" w:id="1">
    <w:p w14:paraId="21397D65" w14:textId="77777777" w:rsidR="00C06EB4" w:rsidRDefault="00C06E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6C10" w14:textId="5B7712C0" w:rsidR="00D93332" w:rsidRPr="00D93332" w:rsidRDefault="00D93332" w:rsidP="00D93332">
    <w:pPr>
      <w:pStyle w:val="Footer"/>
      <w:tabs>
        <w:tab w:val="clear" w:pos="4513"/>
        <w:tab w:val="clear" w:pos="9026"/>
        <w:tab w:val="center" w:pos="4820"/>
        <w:tab w:val="right" w:pos="9639"/>
      </w:tabs>
      <w:spacing w:before="480" w:line="264" w:lineRule="auto"/>
      <w:rPr>
        <w:sz w:val="18"/>
      </w:rPr>
    </w:pPr>
    <w:r w:rsidRPr="00FF6AB9">
      <w:rPr>
        <w:noProof/>
        <w:sz w:val="18"/>
        <w:lang w:eastAsia="en-AU"/>
      </w:rPr>
      <w:drawing>
        <wp:anchor distT="0" distB="0" distL="114300" distR="114300" simplePos="0" relativeHeight="251658241" behindDoc="0" locked="0" layoutInCell="1" allowOverlap="1" wp14:anchorId="7B14C340" wp14:editId="669357D2">
          <wp:simplePos x="0" y="0"/>
          <wp:positionH relativeFrom="column">
            <wp:posOffset>0</wp:posOffset>
          </wp:positionH>
          <wp:positionV relativeFrom="paragraph">
            <wp:posOffset>175895</wp:posOffset>
          </wp:positionV>
          <wp:extent cx="6120000" cy="54000"/>
          <wp:effectExtent l="0" t="0" r="0" b="3175"/>
          <wp:wrapTopAndBottom/>
          <wp:docPr id="1482024813" name="Picture 1482024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41536">
      <w:rPr>
        <w:sz w:val="18"/>
      </w:rPr>
      <w:t>2023 Safety Culture Assessment Summary Report</w:t>
    </w:r>
    <w:r w:rsidRPr="00FF6AB9">
      <w:rPr>
        <w:sz w:val="18"/>
      </w:rPr>
      <w:tab/>
    </w:r>
    <w:r>
      <w:rPr>
        <w:sz w:val="18"/>
      </w:rPr>
      <w:tab/>
    </w:r>
    <w:r w:rsidR="005A5E5B" w:rsidRPr="005A5E5B">
      <w:rPr>
        <w:sz w:val="18"/>
      </w:rPr>
      <w:fldChar w:fldCharType="begin"/>
    </w:r>
    <w:r w:rsidR="005A5E5B" w:rsidRPr="005A5E5B">
      <w:rPr>
        <w:sz w:val="18"/>
      </w:rPr>
      <w:instrText xml:space="preserve"> PAGE   \* MERGEFORMAT </w:instrText>
    </w:r>
    <w:r w:rsidR="005A5E5B" w:rsidRPr="005A5E5B">
      <w:rPr>
        <w:sz w:val="18"/>
      </w:rPr>
      <w:fldChar w:fldCharType="separate"/>
    </w:r>
    <w:r w:rsidR="00F8269C">
      <w:rPr>
        <w:noProof/>
        <w:sz w:val="18"/>
      </w:rPr>
      <w:t>ii</w:t>
    </w:r>
    <w:r w:rsidR="005A5E5B" w:rsidRPr="005A5E5B">
      <w:rPr>
        <w:noProof/>
        <w:sz w:val="18"/>
      </w:rPr>
      <w:fldChar w:fldCharType="end"/>
    </w:r>
    <w:r>
      <w:rPr>
        <w:sz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2E15" w14:textId="77777777" w:rsidR="00C86EB9" w:rsidRDefault="00C86EB9" w:rsidP="00C86EB9">
    <w:pPr>
      <w:pStyle w:val="Footer"/>
      <w:tabs>
        <w:tab w:val="clear" w:pos="4513"/>
        <w:tab w:val="clear" w:pos="9026"/>
        <w:tab w:val="left" w:pos="3686"/>
        <w:tab w:val="right" w:pos="9639"/>
      </w:tabs>
      <w:rPr>
        <w:sz w:val="16"/>
        <w:szCs w:val="16"/>
      </w:rPr>
    </w:pPr>
    <w:r w:rsidRPr="009F4DCB">
      <w:rPr>
        <w:noProof/>
        <w:sz w:val="16"/>
        <w:szCs w:val="16"/>
        <w:lang w:eastAsia="en-AU"/>
      </w:rPr>
      <w:drawing>
        <wp:anchor distT="0" distB="0" distL="114300" distR="114300" simplePos="0" relativeHeight="251658240" behindDoc="0" locked="0" layoutInCell="1" allowOverlap="1" wp14:anchorId="0934D086" wp14:editId="4A30662B">
          <wp:simplePos x="0" y="0"/>
          <wp:positionH relativeFrom="column">
            <wp:posOffset>3175</wp:posOffset>
          </wp:positionH>
          <wp:positionV relativeFrom="paragraph">
            <wp:posOffset>1905</wp:posOffset>
          </wp:positionV>
          <wp:extent cx="6120765" cy="53975"/>
          <wp:effectExtent l="0" t="0" r="0" b="3175"/>
          <wp:wrapTopAndBottom/>
          <wp:docPr id="1254979185" name="Picture 125497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53975"/>
                  </a:xfrm>
                  <a:prstGeom prst="rect">
                    <a:avLst/>
                  </a:prstGeom>
                </pic:spPr>
              </pic:pic>
            </a:graphicData>
          </a:graphic>
          <wp14:sizeRelH relativeFrom="page">
            <wp14:pctWidth>0</wp14:pctWidth>
          </wp14:sizeRelH>
          <wp14:sizeRelV relativeFrom="page">
            <wp14:pctHeight>0</wp14:pctHeight>
          </wp14:sizeRelV>
        </wp:anchor>
      </w:drawing>
    </w:r>
  </w:p>
  <w:p w14:paraId="1BD6C08F" w14:textId="77777777" w:rsidR="00362AB9" w:rsidRPr="00C86EB9" w:rsidRDefault="00C86EB9" w:rsidP="00C86EB9">
    <w:pPr>
      <w:pStyle w:val="Footer"/>
      <w:tabs>
        <w:tab w:val="clear" w:pos="4513"/>
        <w:tab w:val="clear" w:pos="9026"/>
        <w:tab w:val="left" w:pos="3686"/>
        <w:tab w:val="right" w:pos="9639"/>
      </w:tabs>
      <w:rPr>
        <w:sz w:val="16"/>
        <w:szCs w:val="16"/>
      </w:rPr>
    </w:pPr>
    <w:r w:rsidRPr="009F4DCB">
      <w:rPr>
        <w:sz w:val="16"/>
        <w:szCs w:val="16"/>
      </w:rPr>
      <w:t>619 Lower Plenty Road, Yallambie VIC 3085</w:t>
    </w:r>
    <w:r w:rsidRPr="00197595">
      <w:rPr>
        <w:color w:val="3275CB" w:themeColor="text1" w:themeTint="A6"/>
        <w:sz w:val="16"/>
      </w:rPr>
      <w:tab/>
    </w:r>
    <w:r w:rsidR="00F8269C">
      <w:rPr>
        <w:sz w:val="16"/>
        <w:szCs w:val="16"/>
      </w:rPr>
      <w:t>PO Box 655, Miranda 1490</w:t>
    </w:r>
    <w:r w:rsidRPr="00197595">
      <w:rPr>
        <w:color w:val="3275CB" w:themeColor="text1" w:themeTint="A6"/>
        <w:sz w:val="16"/>
      </w:rPr>
      <w:tab/>
    </w:r>
    <w:r w:rsidRPr="009F4DCB">
      <w:rPr>
        <w:sz w:val="16"/>
        <w:szCs w:val="16"/>
      </w:rPr>
      <w:t>info@arpansa.gov.au</w:t>
    </w:r>
    <w:r w:rsidRPr="00197595">
      <w:rPr>
        <w:color w:val="3275CB" w:themeColor="text1" w:themeTint="A6"/>
        <w:sz w:val="16"/>
      </w:rPr>
      <w:br/>
    </w:r>
    <w:r w:rsidRPr="009F4DCB">
      <w:rPr>
        <w:sz w:val="16"/>
        <w:szCs w:val="16"/>
      </w:rPr>
      <w:t>+61 3 9433 2211</w:t>
    </w:r>
    <w:r w:rsidRPr="00197595">
      <w:rPr>
        <w:color w:val="3275CB" w:themeColor="text1" w:themeTint="A6"/>
        <w:sz w:val="16"/>
        <w:szCs w:val="18"/>
      </w:rPr>
      <w:tab/>
    </w:r>
    <w:r w:rsidRPr="00197595">
      <w:rPr>
        <w:color w:val="3275CB" w:themeColor="text1" w:themeTint="A6"/>
        <w:sz w:val="16"/>
        <w:szCs w:val="18"/>
      </w:rPr>
      <w:tab/>
    </w:r>
    <w:r w:rsidR="00F8269C">
      <w:rPr>
        <w:sz w:val="16"/>
        <w:szCs w:val="16"/>
      </w:rPr>
      <w:t>arpansa.gov.au</w:t>
    </w:r>
    <w:r w:rsidR="00362AB9" w:rsidRPr="00FF6AB9">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D7E9" w14:textId="24CF0925" w:rsidR="001E2F4E" w:rsidRPr="00D93332" w:rsidRDefault="001E2F4E" w:rsidP="00D93332">
    <w:pPr>
      <w:pStyle w:val="Footer"/>
      <w:tabs>
        <w:tab w:val="clear" w:pos="4513"/>
        <w:tab w:val="clear" w:pos="9026"/>
        <w:tab w:val="center" w:pos="4820"/>
        <w:tab w:val="right" w:pos="9639"/>
      </w:tabs>
      <w:spacing w:before="480" w:line="264" w:lineRule="auto"/>
      <w:rPr>
        <w:sz w:val="18"/>
      </w:rPr>
    </w:pPr>
    <w:r w:rsidRPr="00FF6AB9">
      <w:rPr>
        <w:noProof/>
        <w:sz w:val="18"/>
        <w:lang w:eastAsia="en-AU"/>
      </w:rPr>
      <w:drawing>
        <wp:anchor distT="0" distB="0" distL="114300" distR="114300" simplePos="0" relativeHeight="251658242" behindDoc="0" locked="0" layoutInCell="1" allowOverlap="1" wp14:anchorId="3DCC5005" wp14:editId="6226A5D5">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41536">
      <w:rPr>
        <w:sz w:val="18"/>
      </w:rPr>
      <w:t>2023 Safety Culture Assessment Summary Report</w:t>
    </w:r>
    <w:r w:rsidRPr="00FF6AB9">
      <w:rPr>
        <w:sz w:val="18"/>
      </w:rPr>
      <w:tab/>
    </w:r>
    <w:r>
      <w:rPr>
        <w:sz w:val="18"/>
      </w:rPr>
      <w:tab/>
    </w:r>
    <w:r w:rsidR="005A5E5B">
      <w:rPr>
        <w:sz w:val="18"/>
      </w:rPr>
      <w:fldChar w:fldCharType="begin"/>
    </w:r>
    <w:r w:rsidR="005A5E5B">
      <w:rPr>
        <w:sz w:val="18"/>
      </w:rPr>
      <w:instrText xml:space="preserve"> PAGE   \* MERGEFORMAT </w:instrText>
    </w:r>
    <w:r w:rsidR="005A5E5B">
      <w:rPr>
        <w:sz w:val="18"/>
      </w:rPr>
      <w:fldChar w:fldCharType="separate"/>
    </w:r>
    <w:r w:rsidR="00F8269C">
      <w:rPr>
        <w:noProof/>
        <w:sz w:val="18"/>
      </w:rPr>
      <w:t>2</w:t>
    </w:r>
    <w:r w:rsidR="005A5E5B">
      <w:rPr>
        <w:sz w:val="18"/>
      </w:rPr>
      <w:fldChar w:fldCharType="end"/>
    </w:r>
    <w:r>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CF50" w14:textId="77777777" w:rsidR="00C06EB4" w:rsidRDefault="00C06EB4" w:rsidP="00037687">
      <w:r>
        <w:separator/>
      </w:r>
    </w:p>
  </w:footnote>
  <w:footnote w:type="continuationSeparator" w:id="0">
    <w:p w14:paraId="16A594BA" w14:textId="77777777" w:rsidR="00C06EB4" w:rsidRDefault="00C06EB4" w:rsidP="00037687">
      <w:r>
        <w:continuationSeparator/>
      </w:r>
    </w:p>
  </w:footnote>
  <w:footnote w:type="continuationNotice" w:id="1">
    <w:p w14:paraId="71E8CD43" w14:textId="77777777" w:rsidR="00C06EB4" w:rsidRDefault="00C06E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7CFF" w14:textId="77777777" w:rsidR="00D93332" w:rsidRPr="00D93332" w:rsidRDefault="00D93332" w:rsidP="00D93332">
    <w:pPr>
      <w:pStyle w:val="Header"/>
    </w:pPr>
    <w:r>
      <w:rPr>
        <w:noProof/>
        <w:lang w:eastAsia="en-AU"/>
      </w:rPr>
      <w:br/>
    </w:r>
    <w:r>
      <w:rPr>
        <w:noProof/>
        <w:lang w:eastAsia="en-AU"/>
      </w:rPr>
      <w:drawing>
        <wp:inline distT="0" distB="0" distL="0" distR="0" wp14:anchorId="3D9D10F2" wp14:editId="4D9FDED8">
          <wp:extent cx="6120130" cy="731520"/>
          <wp:effectExtent l="0" t="0" r="0" b="0"/>
          <wp:docPr id="2035230287" name="Picture 203523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C71BE"/>
    <w:multiLevelType w:val="multilevel"/>
    <w:tmpl w:val="93E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D7ABD"/>
    <w:multiLevelType w:val="multilevel"/>
    <w:tmpl w:val="06F646AE"/>
    <w:lvl w:ilvl="0">
      <w:numFmt w:val="bullet"/>
      <w:lvlText w:val="•"/>
      <w:lvlJc w:val="left"/>
      <w:pPr>
        <w:ind w:left="454" w:hanging="45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10AA7"/>
    <w:multiLevelType w:val="hybridMultilevel"/>
    <w:tmpl w:val="D4FE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560DF"/>
    <w:multiLevelType w:val="multilevel"/>
    <w:tmpl w:val="20C0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05F9A"/>
    <w:multiLevelType w:val="multilevel"/>
    <w:tmpl w:val="B2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47F96"/>
    <w:multiLevelType w:val="multilevel"/>
    <w:tmpl w:val="CF68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92269"/>
    <w:multiLevelType w:val="multilevel"/>
    <w:tmpl w:val="BE2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00D1A"/>
    <w:multiLevelType w:val="multilevel"/>
    <w:tmpl w:val="9444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36B50F38"/>
    <w:multiLevelType w:val="hybridMultilevel"/>
    <w:tmpl w:val="3874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941292"/>
    <w:multiLevelType w:val="hybridMultilevel"/>
    <w:tmpl w:val="55D8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91928"/>
    <w:multiLevelType w:val="multilevel"/>
    <w:tmpl w:val="7E1096F8"/>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Appendix %4:"/>
      <w:lvlJc w:val="left"/>
      <w:pPr>
        <w:tabs>
          <w:tab w:val="num" w:pos="1701"/>
        </w:tabs>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0" w15:restartNumberingAfterBreak="0">
    <w:nsid w:val="523B5840"/>
    <w:multiLevelType w:val="multilevel"/>
    <w:tmpl w:val="8FC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46E30"/>
    <w:multiLevelType w:val="multilevel"/>
    <w:tmpl w:val="D178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3" w15:restartNumberingAfterBreak="0">
    <w:nsid w:val="59362834"/>
    <w:multiLevelType w:val="hybridMultilevel"/>
    <w:tmpl w:val="222E8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570B8"/>
    <w:multiLevelType w:val="hybridMultilevel"/>
    <w:tmpl w:val="34286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0C38C1"/>
    <w:multiLevelType w:val="multilevel"/>
    <w:tmpl w:val="F58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C31DC5"/>
    <w:multiLevelType w:val="multilevel"/>
    <w:tmpl w:val="9C5C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36430"/>
    <w:multiLevelType w:val="hybridMultilevel"/>
    <w:tmpl w:val="200E347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9" w15:restartNumberingAfterBreak="0">
    <w:nsid w:val="717B59A6"/>
    <w:multiLevelType w:val="hybridMultilevel"/>
    <w:tmpl w:val="E3027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7C1BC3"/>
    <w:multiLevelType w:val="hybridMultilevel"/>
    <w:tmpl w:val="645A3CB4"/>
    <w:lvl w:ilvl="0" w:tplc="23025D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6374B"/>
    <w:multiLevelType w:val="hybridMultilevel"/>
    <w:tmpl w:val="5F4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167015"/>
    <w:multiLevelType w:val="hybridMultilevel"/>
    <w:tmpl w:val="46964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364627">
    <w:abstractNumId w:val="7"/>
  </w:num>
  <w:num w:numId="2" w16cid:durableId="1842887105">
    <w:abstractNumId w:val="13"/>
  </w:num>
  <w:num w:numId="3" w16cid:durableId="2111580733">
    <w:abstractNumId w:val="16"/>
  </w:num>
  <w:num w:numId="4" w16cid:durableId="703988655">
    <w:abstractNumId w:val="12"/>
  </w:num>
  <w:num w:numId="5" w16cid:durableId="507869077">
    <w:abstractNumId w:val="14"/>
  </w:num>
  <w:num w:numId="6" w16cid:durableId="526407755">
    <w:abstractNumId w:val="2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808426143">
    <w:abstractNumId w:val="22"/>
  </w:num>
  <w:num w:numId="8" w16cid:durableId="490869754">
    <w:abstractNumId w:val="0"/>
  </w:num>
  <w:num w:numId="9" w16cid:durableId="452283580">
    <w:abstractNumId w:val="28"/>
  </w:num>
  <w:num w:numId="10" w16cid:durableId="1537156867">
    <w:abstractNumId w:val="10"/>
  </w:num>
  <w:num w:numId="11" w16cid:durableId="971864898">
    <w:abstractNumId w:val="18"/>
  </w:num>
  <w:num w:numId="12" w16cid:durableId="853305304">
    <w:abstractNumId w:val="19"/>
  </w:num>
  <w:num w:numId="13" w16cid:durableId="1833717794">
    <w:abstractNumId w:val="3"/>
  </w:num>
  <w:num w:numId="14" w16cid:durableId="1934899698">
    <w:abstractNumId w:val="30"/>
  </w:num>
  <w:num w:numId="15" w16cid:durableId="1494447503">
    <w:abstractNumId w:val="2"/>
  </w:num>
  <w:num w:numId="16" w16cid:durableId="279382396">
    <w:abstractNumId w:val="31"/>
  </w:num>
  <w:num w:numId="17" w16cid:durableId="1926112950">
    <w:abstractNumId w:val="17"/>
  </w:num>
  <w:num w:numId="18" w16cid:durableId="903486701">
    <w:abstractNumId w:val="8"/>
  </w:num>
  <w:num w:numId="19" w16cid:durableId="1701517140">
    <w:abstractNumId w:val="26"/>
  </w:num>
  <w:num w:numId="20" w16cid:durableId="760880250">
    <w:abstractNumId w:val="9"/>
  </w:num>
  <w:num w:numId="21" w16cid:durableId="627247062">
    <w:abstractNumId w:val="21"/>
  </w:num>
  <w:num w:numId="22" w16cid:durableId="507449057">
    <w:abstractNumId w:val="6"/>
  </w:num>
  <w:num w:numId="23" w16cid:durableId="867178587">
    <w:abstractNumId w:val="25"/>
  </w:num>
  <w:num w:numId="24" w16cid:durableId="1310745980">
    <w:abstractNumId w:val="27"/>
  </w:num>
  <w:num w:numId="25" w16cid:durableId="2072382828">
    <w:abstractNumId w:val="5"/>
  </w:num>
  <w:num w:numId="26" w16cid:durableId="1278830884">
    <w:abstractNumId w:val="4"/>
  </w:num>
  <w:num w:numId="27" w16cid:durableId="1798840738">
    <w:abstractNumId w:val="20"/>
  </w:num>
  <w:num w:numId="28" w16cid:durableId="1021977780">
    <w:abstractNumId w:val="1"/>
  </w:num>
  <w:num w:numId="29" w16cid:durableId="597448677">
    <w:abstractNumId w:val="15"/>
  </w:num>
  <w:num w:numId="30" w16cid:durableId="847599343">
    <w:abstractNumId w:val="24"/>
  </w:num>
  <w:num w:numId="31" w16cid:durableId="1333950811">
    <w:abstractNumId w:val="23"/>
  </w:num>
  <w:num w:numId="32" w16cid:durableId="1323581063">
    <w:abstractNumId w:val="32"/>
  </w:num>
  <w:num w:numId="33" w16cid:durableId="601301889">
    <w:abstractNumId w:val="11"/>
  </w:num>
  <w:num w:numId="34" w16cid:durableId="16315945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8C"/>
    <w:rsid w:val="00012D6C"/>
    <w:rsid w:val="00017945"/>
    <w:rsid w:val="00033E8C"/>
    <w:rsid w:val="00037687"/>
    <w:rsid w:val="00043F41"/>
    <w:rsid w:val="00051729"/>
    <w:rsid w:val="000629E6"/>
    <w:rsid w:val="00066B27"/>
    <w:rsid w:val="00067C8C"/>
    <w:rsid w:val="00082E26"/>
    <w:rsid w:val="000875D9"/>
    <w:rsid w:val="000917AA"/>
    <w:rsid w:val="00092EA0"/>
    <w:rsid w:val="000C509B"/>
    <w:rsid w:val="000C6BD3"/>
    <w:rsid w:val="000D03C2"/>
    <w:rsid w:val="000D27C8"/>
    <w:rsid w:val="000D4FB5"/>
    <w:rsid w:val="000E7CEC"/>
    <w:rsid w:val="000F0F41"/>
    <w:rsid w:val="000F3AB1"/>
    <w:rsid w:val="000F73FB"/>
    <w:rsid w:val="000F7867"/>
    <w:rsid w:val="0010348D"/>
    <w:rsid w:val="00110CC4"/>
    <w:rsid w:val="00123144"/>
    <w:rsid w:val="001248DB"/>
    <w:rsid w:val="00133F3C"/>
    <w:rsid w:val="00155C33"/>
    <w:rsid w:val="001568F9"/>
    <w:rsid w:val="0016551D"/>
    <w:rsid w:val="001660B9"/>
    <w:rsid w:val="001765AC"/>
    <w:rsid w:val="001771DD"/>
    <w:rsid w:val="00182491"/>
    <w:rsid w:val="001829A6"/>
    <w:rsid w:val="00192A8D"/>
    <w:rsid w:val="00192E25"/>
    <w:rsid w:val="001A11CB"/>
    <w:rsid w:val="001A4C9B"/>
    <w:rsid w:val="001A6427"/>
    <w:rsid w:val="001A7D67"/>
    <w:rsid w:val="001B7161"/>
    <w:rsid w:val="001C71F2"/>
    <w:rsid w:val="001D180B"/>
    <w:rsid w:val="001E2F4E"/>
    <w:rsid w:val="001E48B4"/>
    <w:rsid w:val="001E4B07"/>
    <w:rsid w:val="001F5B95"/>
    <w:rsid w:val="00203F85"/>
    <w:rsid w:val="00211B48"/>
    <w:rsid w:val="002165DD"/>
    <w:rsid w:val="002318AB"/>
    <w:rsid w:val="002356D6"/>
    <w:rsid w:val="00241536"/>
    <w:rsid w:val="00244A6C"/>
    <w:rsid w:val="00244EFF"/>
    <w:rsid w:val="00246193"/>
    <w:rsid w:val="00250B92"/>
    <w:rsid w:val="0026126E"/>
    <w:rsid w:val="002773FD"/>
    <w:rsid w:val="00280886"/>
    <w:rsid w:val="00290D6B"/>
    <w:rsid w:val="002A2A3D"/>
    <w:rsid w:val="002A4052"/>
    <w:rsid w:val="002A634E"/>
    <w:rsid w:val="002E1E3E"/>
    <w:rsid w:val="002E450D"/>
    <w:rsid w:val="002E564C"/>
    <w:rsid w:val="002F3C72"/>
    <w:rsid w:val="002F561B"/>
    <w:rsid w:val="003014F6"/>
    <w:rsid w:val="00310092"/>
    <w:rsid w:val="0031095A"/>
    <w:rsid w:val="003117D4"/>
    <w:rsid w:val="0031653E"/>
    <w:rsid w:val="00325188"/>
    <w:rsid w:val="00327077"/>
    <w:rsid w:val="00330F50"/>
    <w:rsid w:val="00334A0D"/>
    <w:rsid w:val="00341853"/>
    <w:rsid w:val="00345FD9"/>
    <w:rsid w:val="00350D2A"/>
    <w:rsid w:val="00351341"/>
    <w:rsid w:val="003564D8"/>
    <w:rsid w:val="00362AB9"/>
    <w:rsid w:val="0036486A"/>
    <w:rsid w:val="00370113"/>
    <w:rsid w:val="003805A5"/>
    <w:rsid w:val="00384922"/>
    <w:rsid w:val="003939E0"/>
    <w:rsid w:val="00396EC5"/>
    <w:rsid w:val="003A17A7"/>
    <w:rsid w:val="003B0414"/>
    <w:rsid w:val="003B0E46"/>
    <w:rsid w:val="003C2B4C"/>
    <w:rsid w:val="003D02C6"/>
    <w:rsid w:val="003D2646"/>
    <w:rsid w:val="003D265D"/>
    <w:rsid w:val="003D39FA"/>
    <w:rsid w:val="003F2551"/>
    <w:rsid w:val="003F50F4"/>
    <w:rsid w:val="00400693"/>
    <w:rsid w:val="00401BE0"/>
    <w:rsid w:val="0041095A"/>
    <w:rsid w:val="00412CF8"/>
    <w:rsid w:val="004219C4"/>
    <w:rsid w:val="00424850"/>
    <w:rsid w:val="00425F03"/>
    <w:rsid w:val="00434381"/>
    <w:rsid w:val="00437AB0"/>
    <w:rsid w:val="00440095"/>
    <w:rsid w:val="004415CC"/>
    <w:rsid w:val="00446584"/>
    <w:rsid w:val="00447CF7"/>
    <w:rsid w:val="00454346"/>
    <w:rsid w:val="004577AE"/>
    <w:rsid w:val="004628E1"/>
    <w:rsid w:val="00475CB9"/>
    <w:rsid w:val="00484A6A"/>
    <w:rsid w:val="004909EF"/>
    <w:rsid w:val="00490FA2"/>
    <w:rsid w:val="00497583"/>
    <w:rsid w:val="004A648C"/>
    <w:rsid w:val="004A71B9"/>
    <w:rsid w:val="004B6A6A"/>
    <w:rsid w:val="004C146C"/>
    <w:rsid w:val="004C28CC"/>
    <w:rsid w:val="004C4B6C"/>
    <w:rsid w:val="004E4746"/>
    <w:rsid w:val="004E4C34"/>
    <w:rsid w:val="004F672E"/>
    <w:rsid w:val="004F775F"/>
    <w:rsid w:val="00502147"/>
    <w:rsid w:val="00520539"/>
    <w:rsid w:val="00522AB9"/>
    <w:rsid w:val="00526CCB"/>
    <w:rsid w:val="0053597D"/>
    <w:rsid w:val="0054455D"/>
    <w:rsid w:val="00546A3B"/>
    <w:rsid w:val="00547B0C"/>
    <w:rsid w:val="005507E9"/>
    <w:rsid w:val="005511B8"/>
    <w:rsid w:val="00560FEB"/>
    <w:rsid w:val="00561136"/>
    <w:rsid w:val="00570B3E"/>
    <w:rsid w:val="0058412B"/>
    <w:rsid w:val="00586DAE"/>
    <w:rsid w:val="005A5E5B"/>
    <w:rsid w:val="005B28E2"/>
    <w:rsid w:val="005C6BE7"/>
    <w:rsid w:val="005C7C31"/>
    <w:rsid w:val="005F2E8B"/>
    <w:rsid w:val="0060042E"/>
    <w:rsid w:val="00601A8B"/>
    <w:rsid w:val="0061004B"/>
    <w:rsid w:val="0061239E"/>
    <w:rsid w:val="00621F3A"/>
    <w:rsid w:val="00633365"/>
    <w:rsid w:val="00633376"/>
    <w:rsid w:val="00647D82"/>
    <w:rsid w:val="00653697"/>
    <w:rsid w:val="00675E49"/>
    <w:rsid w:val="006777F3"/>
    <w:rsid w:val="00681C90"/>
    <w:rsid w:val="006A788A"/>
    <w:rsid w:val="006E59E8"/>
    <w:rsid w:val="00703759"/>
    <w:rsid w:val="0070768D"/>
    <w:rsid w:val="0071706C"/>
    <w:rsid w:val="00722793"/>
    <w:rsid w:val="00735862"/>
    <w:rsid w:val="00740D57"/>
    <w:rsid w:val="00750805"/>
    <w:rsid w:val="00751131"/>
    <w:rsid w:val="00753F15"/>
    <w:rsid w:val="00771738"/>
    <w:rsid w:val="00773742"/>
    <w:rsid w:val="00777636"/>
    <w:rsid w:val="00787C08"/>
    <w:rsid w:val="00787FC5"/>
    <w:rsid w:val="0079374E"/>
    <w:rsid w:val="00796EDC"/>
    <w:rsid w:val="007A0993"/>
    <w:rsid w:val="007A275C"/>
    <w:rsid w:val="007B4720"/>
    <w:rsid w:val="007D70BB"/>
    <w:rsid w:val="007F4DBE"/>
    <w:rsid w:val="0080298A"/>
    <w:rsid w:val="008129E8"/>
    <w:rsid w:val="0082561B"/>
    <w:rsid w:val="00837824"/>
    <w:rsid w:val="00841065"/>
    <w:rsid w:val="008414E4"/>
    <w:rsid w:val="00843084"/>
    <w:rsid w:val="0084313B"/>
    <w:rsid w:val="008448AD"/>
    <w:rsid w:val="00851B87"/>
    <w:rsid w:val="00855718"/>
    <w:rsid w:val="00860817"/>
    <w:rsid w:val="008644BA"/>
    <w:rsid w:val="00872771"/>
    <w:rsid w:val="008920FB"/>
    <w:rsid w:val="00896EC2"/>
    <w:rsid w:val="008A21FF"/>
    <w:rsid w:val="008A3517"/>
    <w:rsid w:val="008A36F1"/>
    <w:rsid w:val="008B14FE"/>
    <w:rsid w:val="008B2E11"/>
    <w:rsid w:val="008B41E1"/>
    <w:rsid w:val="008B66E6"/>
    <w:rsid w:val="008C160A"/>
    <w:rsid w:val="008C3CC9"/>
    <w:rsid w:val="008D4E69"/>
    <w:rsid w:val="00907B49"/>
    <w:rsid w:val="00910399"/>
    <w:rsid w:val="0091658A"/>
    <w:rsid w:val="00917F1F"/>
    <w:rsid w:val="00937076"/>
    <w:rsid w:val="009446B3"/>
    <w:rsid w:val="00954CD0"/>
    <w:rsid w:val="00960986"/>
    <w:rsid w:val="009771A3"/>
    <w:rsid w:val="00991953"/>
    <w:rsid w:val="00991C0D"/>
    <w:rsid w:val="00995CDC"/>
    <w:rsid w:val="009A2B3D"/>
    <w:rsid w:val="009A41E0"/>
    <w:rsid w:val="009A6473"/>
    <w:rsid w:val="009A728B"/>
    <w:rsid w:val="009C03D2"/>
    <w:rsid w:val="009C106A"/>
    <w:rsid w:val="009C6D5A"/>
    <w:rsid w:val="009D316E"/>
    <w:rsid w:val="00A04771"/>
    <w:rsid w:val="00A05D88"/>
    <w:rsid w:val="00A14885"/>
    <w:rsid w:val="00A2031A"/>
    <w:rsid w:val="00A2096C"/>
    <w:rsid w:val="00A26A74"/>
    <w:rsid w:val="00A3426B"/>
    <w:rsid w:val="00A45440"/>
    <w:rsid w:val="00A5729F"/>
    <w:rsid w:val="00A65B78"/>
    <w:rsid w:val="00A71618"/>
    <w:rsid w:val="00A76566"/>
    <w:rsid w:val="00A847BC"/>
    <w:rsid w:val="00A8520D"/>
    <w:rsid w:val="00A85955"/>
    <w:rsid w:val="00A91A4D"/>
    <w:rsid w:val="00AB6DA9"/>
    <w:rsid w:val="00AB7441"/>
    <w:rsid w:val="00AC07C6"/>
    <w:rsid w:val="00AD297B"/>
    <w:rsid w:val="00AD2D61"/>
    <w:rsid w:val="00AE378C"/>
    <w:rsid w:val="00AE76FA"/>
    <w:rsid w:val="00B42D31"/>
    <w:rsid w:val="00B54750"/>
    <w:rsid w:val="00B60FD9"/>
    <w:rsid w:val="00B6306C"/>
    <w:rsid w:val="00B87AB5"/>
    <w:rsid w:val="00BA3631"/>
    <w:rsid w:val="00BB54FF"/>
    <w:rsid w:val="00BC5938"/>
    <w:rsid w:val="00BC698C"/>
    <w:rsid w:val="00BD64D5"/>
    <w:rsid w:val="00BE6683"/>
    <w:rsid w:val="00BF269C"/>
    <w:rsid w:val="00BF7592"/>
    <w:rsid w:val="00C06EB4"/>
    <w:rsid w:val="00C07E84"/>
    <w:rsid w:val="00C145D3"/>
    <w:rsid w:val="00C3135B"/>
    <w:rsid w:val="00C314CC"/>
    <w:rsid w:val="00C67387"/>
    <w:rsid w:val="00C70958"/>
    <w:rsid w:val="00C86EB9"/>
    <w:rsid w:val="00C8733D"/>
    <w:rsid w:val="00C90747"/>
    <w:rsid w:val="00CA2DE8"/>
    <w:rsid w:val="00CA50D1"/>
    <w:rsid w:val="00CA693D"/>
    <w:rsid w:val="00CC011E"/>
    <w:rsid w:val="00CC1541"/>
    <w:rsid w:val="00CC7E1E"/>
    <w:rsid w:val="00CE4096"/>
    <w:rsid w:val="00D024C0"/>
    <w:rsid w:val="00D14335"/>
    <w:rsid w:val="00D17039"/>
    <w:rsid w:val="00D21DFB"/>
    <w:rsid w:val="00D22F8B"/>
    <w:rsid w:val="00D24A37"/>
    <w:rsid w:val="00D33050"/>
    <w:rsid w:val="00D43756"/>
    <w:rsid w:val="00D6081F"/>
    <w:rsid w:val="00D70D97"/>
    <w:rsid w:val="00D756AA"/>
    <w:rsid w:val="00D770E7"/>
    <w:rsid w:val="00D84E16"/>
    <w:rsid w:val="00D865E3"/>
    <w:rsid w:val="00D87798"/>
    <w:rsid w:val="00D909CD"/>
    <w:rsid w:val="00D93332"/>
    <w:rsid w:val="00DA7178"/>
    <w:rsid w:val="00DC23A8"/>
    <w:rsid w:val="00DC264B"/>
    <w:rsid w:val="00DC2756"/>
    <w:rsid w:val="00DD696C"/>
    <w:rsid w:val="00DE0B28"/>
    <w:rsid w:val="00DF4E60"/>
    <w:rsid w:val="00DF6C73"/>
    <w:rsid w:val="00E119D8"/>
    <w:rsid w:val="00E25BD4"/>
    <w:rsid w:val="00E31808"/>
    <w:rsid w:val="00E3187F"/>
    <w:rsid w:val="00E32A56"/>
    <w:rsid w:val="00E33EB5"/>
    <w:rsid w:val="00E54D3A"/>
    <w:rsid w:val="00E56A8D"/>
    <w:rsid w:val="00E624A7"/>
    <w:rsid w:val="00E65FCA"/>
    <w:rsid w:val="00E84E35"/>
    <w:rsid w:val="00E903ED"/>
    <w:rsid w:val="00EB16F0"/>
    <w:rsid w:val="00EB2F75"/>
    <w:rsid w:val="00EB5B42"/>
    <w:rsid w:val="00EB6537"/>
    <w:rsid w:val="00EC313C"/>
    <w:rsid w:val="00EC3D3B"/>
    <w:rsid w:val="00EC50BA"/>
    <w:rsid w:val="00ED0F76"/>
    <w:rsid w:val="00ED11DD"/>
    <w:rsid w:val="00ED4ECB"/>
    <w:rsid w:val="00EE2B95"/>
    <w:rsid w:val="00EE7837"/>
    <w:rsid w:val="00F01F5B"/>
    <w:rsid w:val="00F16D63"/>
    <w:rsid w:val="00F30B42"/>
    <w:rsid w:val="00F45DB8"/>
    <w:rsid w:val="00F5198B"/>
    <w:rsid w:val="00F60ECF"/>
    <w:rsid w:val="00F706A4"/>
    <w:rsid w:val="00F8269C"/>
    <w:rsid w:val="00F87EA5"/>
    <w:rsid w:val="00F96597"/>
    <w:rsid w:val="00FB662D"/>
    <w:rsid w:val="00FC5F33"/>
    <w:rsid w:val="00FD40C2"/>
    <w:rsid w:val="00FD703A"/>
    <w:rsid w:val="00FE4B31"/>
    <w:rsid w:val="00FF28DE"/>
    <w:rsid w:val="00FF6AB9"/>
    <w:rsid w:val="123FFDA6"/>
    <w:rsid w:val="2CEFB821"/>
    <w:rsid w:val="2FD3E2E3"/>
    <w:rsid w:val="30CCB7E1"/>
    <w:rsid w:val="44565737"/>
    <w:rsid w:val="4ADB3097"/>
    <w:rsid w:val="58688C24"/>
    <w:rsid w:val="5ACAEB8E"/>
    <w:rsid w:val="6631FBD8"/>
    <w:rsid w:val="6D2D6702"/>
    <w:rsid w:val="7931E6D2"/>
    <w:rsid w:val="7B55DE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B15B"/>
  <w15:docId w15:val="{AA5CA871-C87D-49E8-8256-CDCB4EE9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3D"/>
  </w:style>
  <w:style w:type="paragraph" w:styleId="Heading1">
    <w:name w:val="heading 1"/>
    <w:basedOn w:val="Normal"/>
    <w:next w:val="Normal"/>
    <w:link w:val="Heading1Char"/>
    <w:uiPriority w:val="9"/>
    <w:qFormat/>
    <w:rsid w:val="00082E26"/>
    <w:pPr>
      <w:keepNext/>
      <w:keepLines/>
      <w:numPr>
        <w:numId w:val="17"/>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numPr>
        <w:ilvl w:val="1"/>
        <w:numId w:val="17"/>
      </w:numPr>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17"/>
      </w:numPr>
      <w:outlineLvl w:val="2"/>
    </w:pPr>
    <w:rPr>
      <w:rFonts w:eastAsiaTheme="majorEastAsia" w:cstheme="majorBidi"/>
      <w:b/>
      <w:bCs/>
      <w:i/>
      <w:color w:val="4E1A74"/>
      <w:sz w:val="24"/>
    </w:rPr>
  </w:style>
  <w:style w:type="paragraph" w:styleId="Heading4">
    <w:name w:val="heading 4"/>
    <w:aliases w:val="Appendix"/>
    <w:basedOn w:val="Normal"/>
    <w:next w:val="Normal"/>
    <w:link w:val="Heading4Char"/>
    <w:uiPriority w:val="9"/>
    <w:unhideWhenUsed/>
    <w:qFormat/>
    <w:rsid w:val="0041095A"/>
    <w:pPr>
      <w:keepNext/>
      <w:keepLines/>
      <w:numPr>
        <w:ilvl w:val="3"/>
        <w:numId w:val="17"/>
      </w:numPr>
      <w:outlineLvl w:val="3"/>
    </w:pPr>
    <w:rPr>
      <w:rFonts w:ascii="Calibri" w:eastAsiaTheme="majorEastAsia" w:hAnsi="Calibri" w:cstheme="majorBidi"/>
      <w:b/>
      <w:bCs/>
      <w:iCs/>
      <w:color w:val="4E1A74" w:themeColor="text2"/>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BB54FF"/>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BB54FF"/>
    <w:rPr>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aliases w:val="Appendix Char"/>
    <w:basedOn w:val="DefaultParagraphFont"/>
    <w:link w:val="Heading4"/>
    <w:uiPriority w:val="9"/>
    <w:rsid w:val="0041095A"/>
    <w:rPr>
      <w:rFonts w:ascii="Calibri" w:eastAsiaTheme="majorEastAsia" w:hAnsi="Calibri" w:cstheme="majorBidi"/>
      <w:b/>
      <w:bCs/>
      <w:iCs/>
      <w:color w:val="4E1A74" w:themeColor="text2"/>
      <w:sz w:val="32"/>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31653E"/>
    <w:pPr>
      <w:tabs>
        <w:tab w:val="right" w:leader="dot" w:pos="9628"/>
      </w:tabs>
    </w:pPr>
    <w:rPr>
      <w:b/>
      <w:color w:val="4E1A74"/>
    </w:rPr>
  </w:style>
  <w:style w:type="paragraph" w:styleId="TOC2">
    <w:name w:val="toc 2"/>
    <w:basedOn w:val="Normal"/>
    <w:next w:val="Normal"/>
    <w:autoRedefine/>
    <w:uiPriority w:val="39"/>
    <w:unhideWhenUsed/>
    <w:rsid w:val="0031653E"/>
    <w:pPr>
      <w:tabs>
        <w:tab w:val="right" w:leader="dot" w:pos="9628"/>
      </w:tabs>
      <w:spacing w:before="120"/>
      <w:ind w:left="567"/>
    </w:pPr>
    <w:rPr>
      <w:noProof/>
    </w:rPr>
  </w:style>
  <w:style w:type="paragraph" w:styleId="TOC3">
    <w:name w:val="toc 3"/>
    <w:basedOn w:val="Normal"/>
    <w:next w:val="Normal"/>
    <w:autoRedefine/>
    <w:uiPriority w:val="39"/>
    <w:unhideWhenUsed/>
    <w:rsid w:val="0031653E"/>
    <w:pPr>
      <w:tabs>
        <w:tab w:val="left" w:pos="1134"/>
        <w:tab w:val="right" w:leader="dot" w:pos="9628"/>
      </w:tabs>
      <w:ind w:left="567" w:hanging="567"/>
    </w:pPr>
    <w:rPr>
      <w:b/>
      <w:noProof/>
      <w:color w:val="4E1A74" w:themeColor="text2"/>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067C8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customStyle="1" w:styleId="TechRep">
    <w:name w:val="Tech Rep"/>
    <w:basedOn w:val="Normal"/>
    <w:link w:val="TechRepChar"/>
    <w:qFormat/>
    <w:rsid w:val="00067C8C"/>
    <w:pPr>
      <w:spacing w:before="200" w:after="240"/>
      <w:jc w:val="both"/>
    </w:pPr>
    <w:rPr>
      <w:rFonts w:ascii="Calibri" w:eastAsia="Calibri" w:hAnsi="Calibri" w:cs="Times New Roman"/>
      <w:color w:val="22508C" w:themeColor="text1" w:themeTint="D9"/>
      <w:szCs w:val="24"/>
    </w:rPr>
  </w:style>
  <w:style w:type="character" w:customStyle="1" w:styleId="TechRepChar">
    <w:name w:val="Tech Rep Char"/>
    <w:link w:val="TechRep"/>
    <w:rsid w:val="00067C8C"/>
    <w:rPr>
      <w:rFonts w:ascii="Calibri" w:eastAsia="Calibri" w:hAnsi="Calibri" w:cs="Times New Roman"/>
      <w:color w:val="22508C" w:themeColor="text1" w:themeTint="D9"/>
      <w:szCs w:val="24"/>
    </w:rPr>
  </w:style>
  <w:style w:type="paragraph" w:customStyle="1" w:styleId="Recommendation">
    <w:name w:val="Recommendation"/>
    <w:basedOn w:val="Normal"/>
    <w:qFormat/>
    <w:rsid w:val="00FE4B31"/>
    <w:pPr>
      <w:pBdr>
        <w:top w:val="single" w:sz="4" w:space="12" w:color="F3EAFA"/>
        <w:left w:val="single" w:sz="4" w:space="12" w:color="F3EAFA"/>
        <w:bottom w:val="single" w:sz="4" w:space="12" w:color="F3EAFA"/>
        <w:right w:val="single" w:sz="4" w:space="12" w:color="F3EAFA"/>
      </w:pBdr>
      <w:shd w:val="clear" w:color="auto" w:fill="F3EAFA"/>
      <w:spacing w:before="360" w:after="360"/>
      <w:ind w:left="284" w:right="284"/>
    </w:pPr>
    <w:rPr>
      <w:b/>
      <w:color w:val="4E1A74" w:themeColor="text2"/>
      <w:sz w:val="24"/>
    </w:rPr>
  </w:style>
  <w:style w:type="character" w:styleId="IntenseReference">
    <w:name w:val="Intense Reference"/>
    <w:basedOn w:val="DefaultParagraphFont"/>
    <w:uiPriority w:val="32"/>
    <w:qFormat/>
    <w:rsid w:val="00051729"/>
    <w:rPr>
      <w:b/>
      <w:bCs/>
      <w:smallCaps/>
      <w:color w:val="2B992B" w:themeColor="accent2"/>
      <w:spacing w:val="5"/>
      <w:u w:val="single"/>
    </w:rPr>
  </w:style>
  <w:style w:type="character" w:styleId="BookTitle">
    <w:name w:val="Book Title"/>
    <w:basedOn w:val="DefaultParagraphFont"/>
    <w:uiPriority w:val="33"/>
    <w:rsid w:val="00051729"/>
    <w:rPr>
      <w:b/>
      <w:bCs/>
      <w:smallCaps/>
      <w:spacing w:val="5"/>
    </w:rPr>
  </w:style>
  <w:style w:type="paragraph" w:styleId="Quote">
    <w:name w:val="Quote"/>
    <w:basedOn w:val="Normal"/>
    <w:next w:val="Normal"/>
    <w:link w:val="QuoteChar"/>
    <w:uiPriority w:val="29"/>
    <w:qFormat/>
    <w:rsid w:val="00051729"/>
    <w:rPr>
      <w:i/>
      <w:iCs/>
      <w:color w:val="17365D" w:themeColor="text1"/>
    </w:rPr>
  </w:style>
  <w:style w:type="character" w:customStyle="1" w:styleId="QuoteChar">
    <w:name w:val="Quote Char"/>
    <w:basedOn w:val="DefaultParagraphFont"/>
    <w:link w:val="Quote"/>
    <w:uiPriority w:val="29"/>
    <w:rsid w:val="00051729"/>
    <w:rPr>
      <w:i/>
      <w:iCs/>
      <w:color w:val="17365D" w:themeColor="text1"/>
    </w:rPr>
  </w:style>
  <w:style w:type="character" w:styleId="Strong">
    <w:name w:val="Strong"/>
    <w:basedOn w:val="DefaultParagraphFont"/>
    <w:uiPriority w:val="22"/>
    <w:qFormat/>
    <w:rsid w:val="00051729"/>
    <w:rPr>
      <w:b/>
      <w:bCs/>
    </w:rPr>
  </w:style>
  <w:style w:type="paragraph" w:customStyle="1" w:styleId="Heading1Nonumber">
    <w:name w:val="Heading 1 No number"/>
    <w:basedOn w:val="Heading1"/>
    <w:qFormat/>
    <w:rsid w:val="00AD297B"/>
    <w:pPr>
      <w:numPr>
        <w:numId w:val="0"/>
      </w:numPr>
    </w:pPr>
  </w:style>
  <w:style w:type="paragraph" w:styleId="TOC4">
    <w:name w:val="toc 4"/>
    <w:basedOn w:val="Heading1"/>
    <w:next w:val="Normal"/>
    <w:autoRedefine/>
    <w:uiPriority w:val="39"/>
    <w:semiHidden/>
    <w:unhideWhenUsed/>
    <w:rsid w:val="002E450D"/>
    <w:pPr>
      <w:spacing w:after="100"/>
      <w:ind w:left="660"/>
    </w:pPr>
  </w:style>
  <w:style w:type="character" w:styleId="UnresolvedMention">
    <w:name w:val="Unresolved Mention"/>
    <w:basedOn w:val="DefaultParagraphFont"/>
    <w:uiPriority w:val="99"/>
    <w:semiHidden/>
    <w:unhideWhenUsed/>
    <w:rsid w:val="001568F9"/>
    <w:rPr>
      <w:color w:val="605E5C"/>
      <w:shd w:val="clear" w:color="auto" w:fill="E1DFDD"/>
    </w:rPr>
  </w:style>
  <w:style w:type="character" w:styleId="CommentReference">
    <w:name w:val="annotation reference"/>
    <w:basedOn w:val="DefaultParagraphFont"/>
    <w:uiPriority w:val="99"/>
    <w:semiHidden/>
    <w:unhideWhenUsed/>
    <w:rsid w:val="00FF28DE"/>
    <w:rPr>
      <w:sz w:val="16"/>
      <w:szCs w:val="16"/>
    </w:rPr>
  </w:style>
  <w:style w:type="paragraph" w:styleId="CommentText">
    <w:name w:val="annotation text"/>
    <w:basedOn w:val="Normal"/>
    <w:link w:val="CommentTextChar"/>
    <w:uiPriority w:val="99"/>
    <w:unhideWhenUsed/>
    <w:rsid w:val="00FF28DE"/>
    <w:pPr>
      <w:spacing w:line="240" w:lineRule="auto"/>
    </w:pPr>
    <w:rPr>
      <w:sz w:val="20"/>
      <w:szCs w:val="20"/>
    </w:rPr>
  </w:style>
  <w:style w:type="character" w:customStyle="1" w:styleId="CommentTextChar">
    <w:name w:val="Comment Text Char"/>
    <w:basedOn w:val="DefaultParagraphFont"/>
    <w:link w:val="CommentText"/>
    <w:uiPriority w:val="99"/>
    <w:rsid w:val="00FF28DE"/>
    <w:rPr>
      <w:sz w:val="20"/>
      <w:szCs w:val="20"/>
    </w:rPr>
  </w:style>
  <w:style w:type="paragraph" w:styleId="CommentSubject">
    <w:name w:val="annotation subject"/>
    <w:basedOn w:val="CommentText"/>
    <w:next w:val="CommentText"/>
    <w:link w:val="CommentSubjectChar"/>
    <w:uiPriority w:val="99"/>
    <w:semiHidden/>
    <w:unhideWhenUsed/>
    <w:rsid w:val="00FF28DE"/>
    <w:rPr>
      <w:b/>
      <w:bCs/>
    </w:rPr>
  </w:style>
  <w:style w:type="character" w:customStyle="1" w:styleId="CommentSubjectChar">
    <w:name w:val="Comment Subject Char"/>
    <w:basedOn w:val="CommentTextChar"/>
    <w:link w:val="CommentSubject"/>
    <w:uiPriority w:val="99"/>
    <w:semiHidden/>
    <w:rsid w:val="00FF28DE"/>
    <w:rPr>
      <w:b/>
      <w:bCs/>
      <w:sz w:val="20"/>
      <w:szCs w:val="20"/>
    </w:rPr>
  </w:style>
  <w:style w:type="paragraph" w:styleId="Revision">
    <w:name w:val="Revision"/>
    <w:hidden/>
    <w:uiPriority w:val="99"/>
    <w:semiHidden/>
    <w:rsid w:val="00FF28DE"/>
    <w:pPr>
      <w:spacing w:before="0" w:line="240" w:lineRule="auto"/>
    </w:pPr>
  </w:style>
  <w:style w:type="character" w:styleId="Mention">
    <w:name w:val="Mention"/>
    <w:basedOn w:val="DefaultParagraphFont"/>
    <w:uiPriority w:val="99"/>
    <w:unhideWhenUsed/>
    <w:rsid w:val="00FF28DE"/>
    <w:rPr>
      <w:color w:val="2B579A"/>
      <w:shd w:val="clear" w:color="auto" w:fill="E1DFDD"/>
    </w:rPr>
  </w:style>
  <w:style w:type="paragraph" w:styleId="NormalWeb">
    <w:name w:val="Normal (Web)"/>
    <w:basedOn w:val="Normal"/>
    <w:uiPriority w:val="99"/>
    <w:semiHidden/>
    <w:unhideWhenUsed/>
    <w:rsid w:val="003C2B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594">
      <w:bodyDiv w:val="1"/>
      <w:marLeft w:val="0"/>
      <w:marRight w:val="0"/>
      <w:marTop w:val="0"/>
      <w:marBottom w:val="0"/>
      <w:divBdr>
        <w:top w:val="none" w:sz="0" w:space="0" w:color="auto"/>
        <w:left w:val="none" w:sz="0" w:space="0" w:color="auto"/>
        <w:bottom w:val="none" w:sz="0" w:space="0" w:color="auto"/>
        <w:right w:val="none" w:sz="0" w:space="0" w:color="auto"/>
      </w:divBdr>
      <w:divsChild>
        <w:div w:id="83690497">
          <w:marLeft w:val="0"/>
          <w:marRight w:val="0"/>
          <w:marTop w:val="0"/>
          <w:marBottom w:val="0"/>
          <w:divBdr>
            <w:top w:val="none" w:sz="0" w:space="0" w:color="auto"/>
            <w:left w:val="none" w:sz="0" w:space="0" w:color="auto"/>
            <w:bottom w:val="none" w:sz="0" w:space="0" w:color="auto"/>
            <w:right w:val="none" w:sz="0" w:space="0" w:color="auto"/>
          </w:divBdr>
        </w:div>
        <w:div w:id="687291206">
          <w:marLeft w:val="0"/>
          <w:marRight w:val="0"/>
          <w:marTop w:val="0"/>
          <w:marBottom w:val="0"/>
          <w:divBdr>
            <w:top w:val="none" w:sz="0" w:space="0" w:color="auto"/>
            <w:left w:val="none" w:sz="0" w:space="0" w:color="auto"/>
            <w:bottom w:val="none" w:sz="0" w:space="0" w:color="auto"/>
            <w:right w:val="none" w:sz="0" w:space="0" w:color="auto"/>
          </w:divBdr>
        </w:div>
        <w:div w:id="1294558272">
          <w:marLeft w:val="0"/>
          <w:marRight w:val="0"/>
          <w:marTop w:val="0"/>
          <w:marBottom w:val="0"/>
          <w:divBdr>
            <w:top w:val="none" w:sz="0" w:space="0" w:color="auto"/>
            <w:left w:val="none" w:sz="0" w:space="0" w:color="auto"/>
            <w:bottom w:val="none" w:sz="0" w:space="0" w:color="auto"/>
            <w:right w:val="none" w:sz="0" w:space="0" w:color="auto"/>
          </w:divBdr>
        </w:div>
      </w:divsChild>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67465155">
      <w:bodyDiv w:val="1"/>
      <w:marLeft w:val="0"/>
      <w:marRight w:val="0"/>
      <w:marTop w:val="0"/>
      <w:marBottom w:val="0"/>
      <w:divBdr>
        <w:top w:val="none" w:sz="0" w:space="0" w:color="auto"/>
        <w:left w:val="none" w:sz="0" w:space="0" w:color="auto"/>
        <w:bottom w:val="none" w:sz="0" w:space="0" w:color="auto"/>
        <w:right w:val="none" w:sz="0" w:space="0" w:color="auto"/>
      </w:divBdr>
    </w:div>
    <w:div w:id="97529304">
      <w:bodyDiv w:val="1"/>
      <w:marLeft w:val="0"/>
      <w:marRight w:val="0"/>
      <w:marTop w:val="0"/>
      <w:marBottom w:val="0"/>
      <w:divBdr>
        <w:top w:val="none" w:sz="0" w:space="0" w:color="auto"/>
        <w:left w:val="none" w:sz="0" w:space="0" w:color="auto"/>
        <w:bottom w:val="none" w:sz="0" w:space="0" w:color="auto"/>
        <w:right w:val="none" w:sz="0" w:space="0" w:color="auto"/>
      </w:divBdr>
    </w:div>
    <w:div w:id="145633423">
      <w:bodyDiv w:val="1"/>
      <w:marLeft w:val="0"/>
      <w:marRight w:val="0"/>
      <w:marTop w:val="0"/>
      <w:marBottom w:val="0"/>
      <w:divBdr>
        <w:top w:val="none" w:sz="0" w:space="0" w:color="auto"/>
        <w:left w:val="none" w:sz="0" w:space="0" w:color="auto"/>
        <w:bottom w:val="none" w:sz="0" w:space="0" w:color="auto"/>
        <w:right w:val="none" w:sz="0" w:space="0" w:color="auto"/>
      </w:divBdr>
      <w:divsChild>
        <w:div w:id="718630610">
          <w:marLeft w:val="0"/>
          <w:marRight w:val="0"/>
          <w:marTop w:val="0"/>
          <w:marBottom w:val="0"/>
          <w:divBdr>
            <w:top w:val="none" w:sz="0" w:space="0" w:color="auto"/>
            <w:left w:val="none" w:sz="0" w:space="0" w:color="auto"/>
            <w:bottom w:val="none" w:sz="0" w:space="0" w:color="auto"/>
            <w:right w:val="none" w:sz="0" w:space="0" w:color="auto"/>
          </w:divBdr>
        </w:div>
        <w:div w:id="1676299326">
          <w:marLeft w:val="0"/>
          <w:marRight w:val="0"/>
          <w:marTop w:val="0"/>
          <w:marBottom w:val="0"/>
          <w:divBdr>
            <w:top w:val="none" w:sz="0" w:space="0" w:color="auto"/>
            <w:left w:val="none" w:sz="0" w:space="0" w:color="auto"/>
            <w:bottom w:val="none" w:sz="0" w:space="0" w:color="auto"/>
            <w:right w:val="none" w:sz="0" w:space="0" w:color="auto"/>
          </w:divBdr>
        </w:div>
        <w:div w:id="1971932782">
          <w:marLeft w:val="0"/>
          <w:marRight w:val="0"/>
          <w:marTop w:val="0"/>
          <w:marBottom w:val="0"/>
          <w:divBdr>
            <w:top w:val="none" w:sz="0" w:space="0" w:color="auto"/>
            <w:left w:val="none" w:sz="0" w:space="0" w:color="auto"/>
            <w:bottom w:val="none" w:sz="0" w:space="0" w:color="auto"/>
            <w:right w:val="none" w:sz="0" w:space="0" w:color="auto"/>
          </w:divBdr>
        </w:div>
        <w:div w:id="2127041652">
          <w:marLeft w:val="0"/>
          <w:marRight w:val="0"/>
          <w:marTop w:val="0"/>
          <w:marBottom w:val="0"/>
          <w:divBdr>
            <w:top w:val="none" w:sz="0" w:space="0" w:color="auto"/>
            <w:left w:val="none" w:sz="0" w:space="0" w:color="auto"/>
            <w:bottom w:val="none" w:sz="0" w:space="0" w:color="auto"/>
            <w:right w:val="none" w:sz="0" w:space="0" w:color="auto"/>
          </w:divBdr>
        </w:div>
      </w:divsChild>
    </w:div>
    <w:div w:id="279648249">
      <w:bodyDiv w:val="1"/>
      <w:marLeft w:val="0"/>
      <w:marRight w:val="0"/>
      <w:marTop w:val="0"/>
      <w:marBottom w:val="0"/>
      <w:divBdr>
        <w:top w:val="none" w:sz="0" w:space="0" w:color="auto"/>
        <w:left w:val="none" w:sz="0" w:space="0" w:color="auto"/>
        <w:bottom w:val="none" w:sz="0" w:space="0" w:color="auto"/>
        <w:right w:val="none" w:sz="0" w:space="0" w:color="auto"/>
      </w:divBdr>
      <w:divsChild>
        <w:div w:id="192308391">
          <w:marLeft w:val="0"/>
          <w:marRight w:val="0"/>
          <w:marTop w:val="0"/>
          <w:marBottom w:val="0"/>
          <w:divBdr>
            <w:top w:val="none" w:sz="0" w:space="0" w:color="auto"/>
            <w:left w:val="none" w:sz="0" w:space="0" w:color="auto"/>
            <w:bottom w:val="none" w:sz="0" w:space="0" w:color="auto"/>
            <w:right w:val="none" w:sz="0" w:space="0" w:color="auto"/>
          </w:divBdr>
        </w:div>
        <w:div w:id="217322208">
          <w:marLeft w:val="0"/>
          <w:marRight w:val="0"/>
          <w:marTop w:val="0"/>
          <w:marBottom w:val="0"/>
          <w:divBdr>
            <w:top w:val="none" w:sz="0" w:space="0" w:color="auto"/>
            <w:left w:val="none" w:sz="0" w:space="0" w:color="auto"/>
            <w:bottom w:val="none" w:sz="0" w:space="0" w:color="auto"/>
            <w:right w:val="none" w:sz="0" w:space="0" w:color="auto"/>
          </w:divBdr>
        </w:div>
        <w:div w:id="240800093">
          <w:marLeft w:val="0"/>
          <w:marRight w:val="0"/>
          <w:marTop w:val="0"/>
          <w:marBottom w:val="0"/>
          <w:divBdr>
            <w:top w:val="none" w:sz="0" w:space="0" w:color="auto"/>
            <w:left w:val="none" w:sz="0" w:space="0" w:color="auto"/>
            <w:bottom w:val="none" w:sz="0" w:space="0" w:color="auto"/>
            <w:right w:val="none" w:sz="0" w:space="0" w:color="auto"/>
          </w:divBdr>
        </w:div>
        <w:div w:id="325091220">
          <w:marLeft w:val="0"/>
          <w:marRight w:val="0"/>
          <w:marTop w:val="0"/>
          <w:marBottom w:val="0"/>
          <w:divBdr>
            <w:top w:val="none" w:sz="0" w:space="0" w:color="auto"/>
            <w:left w:val="none" w:sz="0" w:space="0" w:color="auto"/>
            <w:bottom w:val="none" w:sz="0" w:space="0" w:color="auto"/>
            <w:right w:val="none" w:sz="0" w:space="0" w:color="auto"/>
          </w:divBdr>
        </w:div>
        <w:div w:id="463356029">
          <w:marLeft w:val="0"/>
          <w:marRight w:val="0"/>
          <w:marTop w:val="0"/>
          <w:marBottom w:val="0"/>
          <w:divBdr>
            <w:top w:val="none" w:sz="0" w:space="0" w:color="auto"/>
            <w:left w:val="none" w:sz="0" w:space="0" w:color="auto"/>
            <w:bottom w:val="none" w:sz="0" w:space="0" w:color="auto"/>
            <w:right w:val="none" w:sz="0" w:space="0" w:color="auto"/>
          </w:divBdr>
        </w:div>
        <w:div w:id="879243921">
          <w:marLeft w:val="0"/>
          <w:marRight w:val="0"/>
          <w:marTop w:val="0"/>
          <w:marBottom w:val="0"/>
          <w:divBdr>
            <w:top w:val="none" w:sz="0" w:space="0" w:color="auto"/>
            <w:left w:val="none" w:sz="0" w:space="0" w:color="auto"/>
            <w:bottom w:val="none" w:sz="0" w:space="0" w:color="auto"/>
            <w:right w:val="none" w:sz="0" w:space="0" w:color="auto"/>
          </w:divBdr>
        </w:div>
        <w:div w:id="1122268120">
          <w:marLeft w:val="0"/>
          <w:marRight w:val="0"/>
          <w:marTop w:val="0"/>
          <w:marBottom w:val="0"/>
          <w:divBdr>
            <w:top w:val="none" w:sz="0" w:space="0" w:color="auto"/>
            <w:left w:val="none" w:sz="0" w:space="0" w:color="auto"/>
            <w:bottom w:val="none" w:sz="0" w:space="0" w:color="auto"/>
            <w:right w:val="none" w:sz="0" w:space="0" w:color="auto"/>
          </w:divBdr>
        </w:div>
        <w:div w:id="1155148360">
          <w:marLeft w:val="0"/>
          <w:marRight w:val="0"/>
          <w:marTop w:val="0"/>
          <w:marBottom w:val="0"/>
          <w:divBdr>
            <w:top w:val="none" w:sz="0" w:space="0" w:color="auto"/>
            <w:left w:val="none" w:sz="0" w:space="0" w:color="auto"/>
            <w:bottom w:val="none" w:sz="0" w:space="0" w:color="auto"/>
            <w:right w:val="none" w:sz="0" w:space="0" w:color="auto"/>
          </w:divBdr>
        </w:div>
        <w:div w:id="1710958223">
          <w:marLeft w:val="0"/>
          <w:marRight w:val="0"/>
          <w:marTop w:val="0"/>
          <w:marBottom w:val="0"/>
          <w:divBdr>
            <w:top w:val="none" w:sz="0" w:space="0" w:color="auto"/>
            <w:left w:val="none" w:sz="0" w:space="0" w:color="auto"/>
            <w:bottom w:val="none" w:sz="0" w:space="0" w:color="auto"/>
            <w:right w:val="none" w:sz="0" w:space="0" w:color="auto"/>
          </w:divBdr>
        </w:div>
        <w:div w:id="1855340899">
          <w:marLeft w:val="0"/>
          <w:marRight w:val="0"/>
          <w:marTop w:val="0"/>
          <w:marBottom w:val="0"/>
          <w:divBdr>
            <w:top w:val="none" w:sz="0" w:space="0" w:color="auto"/>
            <w:left w:val="none" w:sz="0" w:space="0" w:color="auto"/>
            <w:bottom w:val="none" w:sz="0" w:space="0" w:color="auto"/>
            <w:right w:val="none" w:sz="0" w:space="0" w:color="auto"/>
          </w:divBdr>
        </w:div>
        <w:div w:id="1890846684">
          <w:marLeft w:val="0"/>
          <w:marRight w:val="0"/>
          <w:marTop w:val="0"/>
          <w:marBottom w:val="0"/>
          <w:divBdr>
            <w:top w:val="none" w:sz="0" w:space="0" w:color="auto"/>
            <w:left w:val="none" w:sz="0" w:space="0" w:color="auto"/>
            <w:bottom w:val="none" w:sz="0" w:space="0" w:color="auto"/>
            <w:right w:val="none" w:sz="0" w:space="0" w:color="auto"/>
          </w:divBdr>
        </w:div>
      </w:divsChild>
    </w:div>
    <w:div w:id="321936532">
      <w:bodyDiv w:val="1"/>
      <w:marLeft w:val="0"/>
      <w:marRight w:val="0"/>
      <w:marTop w:val="0"/>
      <w:marBottom w:val="0"/>
      <w:divBdr>
        <w:top w:val="none" w:sz="0" w:space="0" w:color="auto"/>
        <w:left w:val="none" w:sz="0" w:space="0" w:color="auto"/>
        <w:bottom w:val="none" w:sz="0" w:space="0" w:color="auto"/>
        <w:right w:val="none" w:sz="0" w:space="0" w:color="auto"/>
      </w:divBdr>
    </w:div>
    <w:div w:id="373431717">
      <w:bodyDiv w:val="1"/>
      <w:marLeft w:val="0"/>
      <w:marRight w:val="0"/>
      <w:marTop w:val="0"/>
      <w:marBottom w:val="0"/>
      <w:divBdr>
        <w:top w:val="none" w:sz="0" w:space="0" w:color="auto"/>
        <w:left w:val="none" w:sz="0" w:space="0" w:color="auto"/>
        <w:bottom w:val="none" w:sz="0" w:space="0" w:color="auto"/>
        <w:right w:val="none" w:sz="0" w:space="0" w:color="auto"/>
      </w:divBdr>
    </w:div>
    <w:div w:id="438986774">
      <w:bodyDiv w:val="1"/>
      <w:marLeft w:val="0"/>
      <w:marRight w:val="0"/>
      <w:marTop w:val="0"/>
      <w:marBottom w:val="0"/>
      <w:divBdr>
        <w:top w:val="none" w:sz="0" w:space="0" w:color="auto"/>
        <w:left w:val="none" w:sz="0" w:space="0" w:color="auto"/>
        <w:bottom w:val="none" w:sz="0" w:space="0" w:color="auto"/>
        <w:right w:val="none" w:sz="0" w:space="0" w:color="auto"/>
      </w:divBdr>
      <w:divsChild>
        <w:div w:id="324089724">
          <w:marLeft w:val="0"/>
          <w:marRight w:val="0"/>
          <w:marTop w:val="0"/>
          <w:marBottom w:val="0"/>
          <w:divBdr>
            <w:top w:val="none" w:sz="0" w:space="0" w:color="auto"/>
            <w:left w:val="none" w:sz="0" w:space="0" w:color="auto"/>
            <w:bottom w:val="none" w:sz="0" w:space="0" w:color="auto"/>
            <w:right w:val="none" w:sz="0" w:space="0" w:color="auto"/>
          </w:divBdr>
        </w:div>
        <w:div w:id="1344161986">
          <w:marLeft w:val="0"/>
          <w:marRight w:val="0"/>
          <w:marTop w:val="0"/>
          <w:marBottom w:val="0"/>
          <w:divBdr>
            <w:top w:val="none" w:sz="0" w:space="0" w:color="auto"/>
            <w:left w:val="none" w:sz="0" w:space="0" w:color="auto"/>
            <w:bottom w:val="none" w:sz="0" w:space="0" w:color="auto"/>
            <w:right w:val="none" w:sz="0" w:space="0" w:color="auto"/>
          </w:divBdr>
        </w:div>
        <w:div w:id="1368679782">
          <w:marLeft w:val="0"/>
          <w:marRight w:val="0"/>
          <w:marTop w:val="0"/>
          <w:marBottom w:val="0"/>
          <w:divBdr>
            <w:top w:val="none" w:sz="0" w:space="0" w:color="auto"/>
            <w:left w:val="none" w:sz="0" w:space="0" w:color="auto"/>
            <w:bottom w:val="none" w:sz="0" w:space="0" w:color="auto"/>
            <w:right w:val="none" w:sz="0" w:space="0" w:color="auto"/>
          </w:divBdr>
        </w:div>
      </w:divsChild>
    </w:div>
    <w:div w:id="452099630">
      <w:bodyDiv w:val="1"/>
      <w:marLeft w:val="0"/>
      <w:marRight w:val="0"/>
      <w:marTop w:val="0"/>
      <w:marBottom w:val="0"/>
      <w:divBdr>
        <w:top w:val="none" w:sz="0" w:space="0" w:color="auto"/>
        <w:left w:val="none" w:sz="0" w:space="0" w:color="auto"/>
        <w:bottom w:val="none" w:sz="0" w:space="0" w:color="auto"/>
        <w:right w:val="none" w:sz="0" w:space="0" w:color="auto"/>
      </w:divBdr>
      <w:divsChild>
        <w:div w:id="82536777">
          <w:marLeft w:val="0"/>
          <w:marRight w:val="0"/>
          <w:marTop w:val="0"/>
          <w:marBottom w:val="0"/>
          <w:divBdr>
            <w:top w:val="none" w:sz="0" w:space="0" w:color="auto"/>
            <w:left w:val="none" w:sz="0" w:space="0" w:color="auto"/>
            <w:bottom w:val="none" w:sz="0" w:space="0" w:color="auto"/>
            <w:right w:val="none" w:sz="0" w:space="0" w:color="auto"/>
          </w:divBdr>
        </w:div>
        <w:div w:id="799688911">
          <w:marLeft w:val="0"/>
          <w:marRight w:val="0"/>
          <w:marTop w:val="0"/>
          <w:marBottom w:val="0"/>
          <w:divBdr>
            <w:top w:val="none" w:sz="0" w:space="0" w:color="auto"/>
            <w:left w:val="none" w:sz="0" w:space="0" w:color="auto"/>
            <w:bottom w:val="none" w:sz="0" w:space="0" w:color="auto"/>
            <w:right w:val="none" w:sz="0" w:space="0" w:color="auto"/>
          </w:divBdr>
        </w:div>
        <w:div w:id="938372144">
          <w:marLeft w:val="0"/>
          <w:marRight w:val="0"/>
          <w:marTop w:val="0"/>
          <w:marBottom w:val="0"/>
          <w:divBdr>
            <w:top w:val="none" w:sz="0" w:space="0" w:color="auto"/>
            <w:left w:val="none" w:sz="0" w:space="0" w:color="auto"/>
            <w:bottom w:val="none" w:sz="0" w:space="0" w:color="auto"/>
            <w:right w:val="none" w:sz="0" w:space="0" w:color="auto"/>
          </w:divBdr>
        </w:div>
      </w:divsChild>
    </w:div>
    <w:div w:id="485635431">
      <w:bodyDiv w:val="1"/>
      <w:marLeft w:val="0"/>
      <w:marRight w:val="0"/>
      <w:marTop w:val="0"/>
      <w:marBottom w:val="0"/>
      <w:divBdr>
        <w:top w:val="none" w:sz="0" w:space="0" w:color="auto"/>
        <w:left w:val="none" w:sz="0" w:space="0" w:color="auto"/>
        <w:bottom w:val="none" w:sz="0" w:space="0" w:color="auto"/>
        <w:right w:val="none" w:sz="0" w:space="0" w:color="auto"/>
      </w:divBdr>
    </w:div>
    <w:div w:id="615988154">
      <w:bodyDiv w:val="1"/>
      <w:marLeft w:val="0"/>
      <w:marRight w:val="0"/>
      <w:marTop w:val="0"/>
      <w:marBottom w:val="0"/>
      <w:divBdr>
        <w:top w:val="none" w:sz="0" w:space="0" w:color="auto"/>
        <w:left w:val="none" w:sz="0" w:space="0" w:color="auto"/>
        <w:bottom w:val="none" w:sz="0" w:space="0" w:color="auto"/>
        <w:right w:val="none" w:sz="0" w:space="0" w:color="auto"/>
      </w:divBdr>
      <w:divsChild>
        <w:div w:id="928269176">
          <w:marLeft w:val="0"/>
          <w:marRight w:val="0"/>
          <w:marTop w:val="0"/>
          <w:marBottom w:val="0"/>
          <w:divBdr>
            <w:top w:val="none" w:sz="0" w:space="0" w:color="auto"/>
            <w:left w:val="none" w:sz="0" w:space="0" w:color="auto"/>
            <w:bottom w:val="none" w:sz="0" w:space="0" w:color="auto"/>
            <w:right w:val="none" w:sz="0" w:space="0" w:color="auto"/>
          </w:divBdr>
        </w:div>
        <w:div w:id="1692298529">
          <w:marLeft w:val="0"/>
          <w:marRight w:val="0"/>
          <w:marTop w:val="0"/>
          <w:marBottom w:val="0"/>
          <w:divBdr>
            <w:top w:val="none" w:sz="0" w:space="0" w:color="auto"/>
            <w:left w:val="none" w:sz="0" w:space="0" w:color="auto"/>
            <w:bottom w:val="none" w:sz="0" w:space="0" w:color="auto"/>
            <w:right w:val="none" w:sz="0" w:space="0" w:color="auto"/>
          </w:divBdr>
        </w:div>
      </w:divsChild>
    </w:div>
    <w:div w:id="678391777">
      <w:bodyDiv w:val="1"/>
      <w:marLeft w:val="0"/>
      <w:marRight w:val="0"/>
      <w:marTop w:val="0"/>
      <w:marBottom w:val="0"/>
      <w:divBdr>
        <w:top w:val="none" w:sz="0" w:space="0" w:color="auto"/>
        <w:left w:val="none" w:sz="0" w:space="0" w:color="auto"/>
        <w:bottom w:val="none" w:sz="0" w:space="0" w:color="auto"/>
        <w:right w:val="none" w:sz="0" w:space="0" w:color="auto"/>
      </w:divBdr>
      <w:divsChild>
        <w:div w:id="578369760">
          <w:marLeft w:val="0"/>
          <w:marRight w:val="0"/>
          <w:marTop w:val="0"/>
          <w:marBottom w:val="0"/>
          <w:divBdr>
            <w:top w:val="none" w:sz="0" w:space="0" w:color="auto"/>
            <w:left w:val="none" w:sz="0" w:space="0" w:color="auto"/>
            <w:bottom w:val="none" w:sz="0" w:space="0" w:color="auto"/>
            <w:right w:val="none" w:sz="0" w:space="0" w:color="auto"/>
          </w:divBdr>
        </w:div>
        <w:div w:id="1113406062">
          <w:marLeft w:val="0"/>
          <w:marRight w:val="0"/>
          <w:marTop w:val="0"/>
          <w:marBottom w:val="0"/>
          <w:divBdr>
            <w:top w:val="none" w:sz="0" w:space="0" w:color="auto"/>
            <w:left w:val="none" w:sz="0" w:space="0" w:color="auto"/>
            <w:bottom w:val="none" w:sz="0" w:space="0" w:color="auto"/>
            <w:right w:val="none" w:sz="0" w:space="0" w:color="auto"/>
          </w:divBdr>
        </w:div>
        <w:div w:id="2071072741">
          <w:marLeft w:val="0"/>
          <w:marRight w:val="0"/>
          <w:marTop w:val="0"/>
          <w:marBottom w:val="0"/>
          <w:divBdr>
            <w:top w:val="none" w:sz="0" w:space="0" w:color="auto"/>
            <w:left w:val="none" w:sz="0" w:space="0" w:color="auto"/>
            <w:bottom w:val="none" w:sz="0" w:space="0" w:color="auto"/>
            <w:right w:val="none" w:sz="0" w:space="0" w:color="auto"/>
          </w:divBdr>
        </w:div>
      </w:divsChild>
    </w:div>
    <w:div w:id="722362876">
      <w:bodyDiv w:val="1"/>
      <w:marLeft w:val="0"/>
      <w:marRight w:val="0"/>
      <w:marTop w:val="0"/>
      <w:marBottom w:val="0"/>
      <w:divBdr>
        <w:top w:val="none" w:sz="0" w:space="0" w:color="auto"/>
        <w:left w:val="none" w:sz="0" w:space="0" w:color="auto"/>
        <w:bottom w:val="none" w:sz="0" w:space="0" w:color="auto"/>
        <w:right w:val="none" w:sz="0" w:space="0" w:color="auto"/>
      </w:divBdr>
    </w:div>
    <w:div w:id="738210704">
      <w:bodyDiv w:val="1"/>
      <w:marLeft w:val="0"/>
      <w:marRight w:val="0"/>
      <w:marTop w:val="0"/>
      <w:marBottom w:val="0"/>
      <w:divBdr>
        <w:top w:val="none" w:sz="0" w:space="0" w:color="auto"/>
        <w:left w:val="none" w:sz="0" w:space="0" w:color="auto"/>
        <w:bottom w:val="none" w:sz="0" w:space="0" w:color="auto"/>
        <w:right w:val="none" w:sz="0" w:space="0" w:color="auto"/>
      </w:divBdr>
    </w:div>
    <w:div w:id="926614136">
      <w:bodyDiv w:val="1"/>
      <w:marLeft w:val="0"/>
      <w:marRight w:val="0"/>
      <w:marTop w:val="0"/>
      <w:marBottom w:val="0"/>
      <w:divBdr>
        <w:top w:val="none" w:sz="0" w:space="0" w:color="auto"/>
        <w:left w:val="none" w:sz="0" w:space="0" w:color="auto"/>
        <w:bottom w:val="none" w:sz="0" w:space="0" w:color="auto"/>
        <w:right w:val="none" w:sz="0" w:space="0" w:color="auto"/>
      </w:divBdr>
    </w:div>
    <w:div w:id="931203528">
      <w:bodyDiv w:val="1"/>
      <w:marLeft w:val="0"/>
      <w:marRight w:val="0"/>
      <w:marTop w:val="0"/>
      <w:marBottom w:val="0"/>
      <w:divBdr>
        <w:top w:val="none" w:sz="0" w:space="0" w:color="auto"/>
        <w:left w:val="none" w:sz="0" w:space="0" w:color="auto"/>
        <w:bottom w:val="none" w:sz="0" w:space="0" w:color="auto"/>
        <w:right w:val="none" w:sz="0" w:space="0" w:color="auto"/>
      </w:divBdr>
      <w:divsChild>
        <w:div w:id="665479687">
          <w:marLeft w:val="0"/>
          <w:marRight w:val="0"/>
          <w:marTop w:val="0"/>
          <w:marBottom w:val="0"/>
          <w:divBdr>
            <w:top w:val="none" w:sz="0" w:space="0" w:color="auto"/>
            <w:left w:val="none" w:sz="0" w:space="0" w:color="auto"/>
            <w:bottom w:val="none" w:sz="0" w:space="0" w:color="auto"/>
            <w:right w:val="none" w:sz="0" w:space="0" w:color="auto"/>
          </w:divBdr>
        </w:div>
        <w:div w:id="2025981803">
          <w:marLeft w:val="0"/>
          <w:marRight w:val="0"/>
          <w:marTop w:val="0"/>
          <w:marBottom w:val="0"/>
          <w:divBdr>
            <w:top w:val="none" w:sz="0" w:space="0" w:color="auto"/>
            <w:left w:val="none" w:sz="0" w:space="0" w:color="auto"/>
            <w:bottom w:val="none" w:sz="0" w:space="0" w:color="auto"/>
            <w:right w:val="none" w:sz="0" w:space="0" w:color="auto"/>
          </w:divBdr>
        </w:div>
      </w:divsChild>
    </w:div>
    <w:div w:id="932589233">
      <w:bodyDiv w:val="1"/>
      <w:marLeft w:val="0"/>
      <w:marRight w:val="0"/>
      <w:marTop w:val="0"/>
      <w:marBottom w:val="0"/>
      <w:divBdr>
        <w:top w:val="none" w:sz="0" w:space="0" w:color="auto"/>
        <w:left w:val="none" w:sz="0" w:space="0" w:color="auto"/>
        <w:bottom w:val="none" w:sz="0" w:space="0" w:color="auto"/>
        <w:right w:val="none" w:sz="0" w:space="0" w:color="auto"/>
      </w:divBdr>
    </w:div>
    <w:div w:id="936714326">
      <w:bodyDiv w:val="1"/>
      <w:marLeft w:val="0"/>
      <w:marRight w:val="0"/>
      <w:marTop w:val="0"/>
      <w:marBottom w:val="0"/>
      <w:divBdr>
        <w:top w:val="none" w:sz="0" w:space="0" w:color="auto"/>
        <w:left w:val="none" w:sz="0" w:space="0" w:color="auto"/>
        <w:bottom w:val="none" w:sz="0" w:space="0" w:color="auto"/>
        <w:right w:val="none" w:sz="0" w:space="0" w:color="auto"/>
      </w:divBdr>
    </w:div>
    <w:div w:id="1076241087">
      <w:bodyDiv w:val="1"/>
      <w:marLeft w:val="0"/>
      <w:marRight w:val="0"/>
      <w:marTop w:val="0"/>
      <w:marBottom w:val="0"/>
      <w:divBdr>
        <w:top w:val="none" w:sz="0" w:space="0" w:color="auto"/>
        <w:left w:val="none" w:sz="0" w:space="0" w:color="auto"/>
        <w:bottom w:val="none" w:sz="0" w:space="0" w:color="auto"/>
        <w:right w:val="none" w:sz="0" w:space="0" w:color="auto"/>
      </w:divBdr>
    </w:div>
    <w:div w:id="1201628974">
      <w:bodyDiv w:val="1"/>
      <w:marLeft w:val="0"/>
      <w:marRight w:val="0"/>
      <w:marTop w:val="0"/>
      <w:marBottom w:val="0"/>
      <w:divBdr>
        <w:top w:val="none" w:sz="0" w:space="0" w:color="auto"/>
        <w:left w:val="none" w:sz="0" w:space="0" w:color="auto"/>
        <w:bottom w:val="none" w:sz="0" w:space="0" w:color="auto"/>
        <w:right w:val="none" w:sz="0" w:space="0" w:color="auto"/>
      </w:divBdr>
    </w:div>
    <w:div w:id="1364481817">
      <w:bodyDiv w:val="1"/>
      <w:marLeft w:val="0"/>
      <w:marRight w:val="0"/>
      <w:marTop w:val="0"/>
      <w:marBottom w:val="0"/>
      <w:divBdr>
        <w:top w:val="none" w:sz="0" w:space="0" w:color="auto"/>
        <w:left w:val="none" w:sz="0" w:space="0" w:color="auto"/>
        <w:bottom w:val="none" w:sz="0" w:space="0" w:color="auto"/>
        <w:right w:val="none" w:sz="0" w:space="0" w:color="auto"/>
      </w:divBdr>
    </w:div>
    <w:div w:id="1442336295">
      <w:bodyDiv w:val="1"/>
      <w:marLeft w:val="0"/>
      <w:marRight w:val="0"/>
      <w:marTop w:val="0"/>
      <w:marBottom w:val="0"/>
      <w:divBdr>
        <w:top w:val="none" w:sz="0" w:space="0" w:color="auto"/>
        <w:left w:val="none" w:sz="0" w:space="0" w:color="auto"/>
        <w:bottom w:val="none" w:sz="0" w:space="0" w:color="auto"/>
        <w:right w:val="none" w:sz="0" w:space="0" w:color="auto"/>
      </w:divBdr>
    </w:div>
    <w:div w:id="1569344950">
      <w:bodyDiv w:val="1"/>
      <w:marLeft w:val="0"/>
      <w:marRight w:val="0"/>
      <w:marTop w:val="0"/>
      <w:marBottom w:val="0"/>
      <w:divBdr>
        <w:top w:val="none" w:sz="0" w:space="0" w:color="auto"/>
        <w:left w:val="none" w:sz="0" w:space="0" w:color="auto"/>
        <w:bottom w:val="none" w:sz="0" w:space="0" w:color="auto"/>
        <w:right w:val="none" w:sz="0" w:space="0" w:color="auto"/>
      </w:divBdr>
    </w:div>
    <w:div w:id="1594818792">
      <w:bodyDiv w:val="1"/>
      <w:marLeft w:val="0"/>
      <w:marRight w:val="0"/>
      <w:marTop w:val="0"/>
      <w:marBottom w:val="0"/>
      <w:divBdr>
        <w:top w:val="none" w:sz="0" w:space="0" w:color="auto"/>
        <w:left w:val="none" w:sz="0" w:space="0" w:color="auto"/>
        <w:bottom w:val="none" w:sz="0" w:space="0" w:color="auto"/>
        <w:right w:val="none" w:sz="0" w:space="0" w:color="auto"/>
      </w:divBdr>
    </w:div>
    <w:div w:id="1972710467">
      <w:bodyDiv w:val="1"/>
      <w:marLeft w:val="0"/>
      <w:marRight w:val="0"/>
      <w:marTop w:val="0"/>
      <w:marBottom w:val="0"/>
      <w:divBdr>
        <w:top w:val="none" w:sz="0" w:space="0" w:color="auto"/>
        <w:left w:val="none" w:sz="0" w:space="0" w:color="auto"/>
        <w:bottom w:val="none" w:sz="0" w:space="0" w:color="auto"/>
        <w:right w:val="none" w:sz="0" w:space="0" w:color="auto"/>
      </w:divBdr>
      <w:divsChild>
        <w:div w:id="376929685">
          <w:marLeft w:val="0"/>
          <w:marRight w:val="0"/>
          <w:marTop w:val="0"/>
          <w:marBottom w:val="0"/>
          <w:divBdr>
            <w:top w:val="none" w:sz="0" w:space="0" w:color="auto"/>
            <w:left w:val="none" w:sz="0" w:space="0" w:color="auto"/>
            <w:bottom w:val="none" w:sz="0" w:space="0" w:color="auto"/>
            <w:right w:val="none" w:sz="0" w:space="0" w:color="auto"/>
          </w:divBdr>
        </w:div>
        <w:div w:id="421612747">
          <w:marLeft w:val="0"/>
          <w:marRight w:val="0"/>
          <w:marTop w:val="0"/>
          <w:marBottom w:val="0"/>
          <w:divBdr>
            <w:top w:val="none" w:sz="0" w:space="0" w:color="auto"/>
            <w:left w:val="none" w:sz="0" w:space="0" w:color="auto"/>
            <w:bottom w:val="none" w:sz="0" w:space="0" w:color="auto"/>
            <w:right w:val="none" w:sz="0" w:space="0" w:color="auto"/>
          </w:divBdr>
        </w:div>
        <w:div w:id="1136026421">
          <w:marLeft w:val="0"/>
          <w:marRight w:val="0"/>
          <w:marTop w:val="0"/>
          <w:marBottom w:val="0"/>
          <w:divBdr>
            <w:top w:val="none" w:sz="0" w:space="0" w:color="auto"/>
            <w:left w:val="none" w:sz="0" w:space="0" w:color="auto"/>
            <w:bottom w:val="none" w:sz="0" w:space="0" w:color="auto"/>
            <w:right w:val="none" w:sz="0" w:space="0" w:color="auto"/>
          </w:divBdr>
        </w:div>
      </w:divsChild>
    </w:div>
    <w:div w:id="1993291750">
      <w:bodyDiv w:val="1"/>
      <w:marLeft w:val="0"/>
      <w:marRight w:val="0"/>
      <w:marTop w:val="0"/>
      <w:marBottom w:val="0"/>
      <w:divBdr>
        <w:top w:val="none" w:sz="0" w:space="0" w:color="auto"/>
        <w:left w:val="none" w:sz="0" w:space="0" w:color="auto"/>
        <w:bottom w:val="none" w:sz="0" w:space="0" w:color="auto"/>
        <w:right w:val="none" w:sz="0" w:space="0" w:color="auto"/>
      </w:divBdr>
    </w:div>
    <w:div w:id="2006977041">
      <w:bodyDiv w:val="1"/>
      <w:marLeft w:val="0"/>
      <w:marRight w:val="0"/>
      <w:marTop w:val="0"/>
      <w:marBottom w:val="0"/>
      <w:divBdr>
        <w:top w:val="none" w:sz="0" w:space="0" w:color="auto"/>
        <w:left w:val="none" w:sz="0" w:space="0" w:color="auto"/>
        <w:bottom w:val="none" w:sz="0" w:space="0" w:color="auto"/>
        <w:right w:val="none" w:sz="0" w:space="0" w:color="auto"/>
      </w:divBdr>
    </w:div>
    <w:div w:id="2087994842">
      <w:bodyDiv w:val="1"/>
      <w:marLeft w:val="0"/>
      <w:marRight w:val="0"/>
      <w:marTop w:val="0"/>
      <w:marBottom w:val="0"/>
      <w:divBdr>
        <w:top w:val="none" w:sz="0" w:space="0" w:color="auto"/>
        <w:left w:val="none" w:sz="0" w:space="0" w:color="auto"/>
        <w:bottom w:val="none" w:sz="0" w:space="0" w:color="auto"/>
        <w:right w:val="none" w:sz="0" w:space="0" w:color="auto"/>
      </w:divBdr>
    </w:div>
    <w:div w:id="2093433285">
      <w:bodyDiv w:val="1"/>
      <w:marLeft w:val="0"/>
      <w:marRight w:val="0"/>
      <w:marTop w:val="0"/>
      <w:marBottom w:val="0"/>
      <w:divBdr>
        <w:top w:val="none" w:sz="0" w:space="0" w:color="auto"/>
        <w:left w:val="none" w:sz="0" w:space="0" w:color="auto"/>
        <w:bottom w:val="none" w:sz="0" w:space="0" w:color="auto"/>
        <w:right w:val="none" w:sz="0" w:space="0" w:color="auto"/>
      </w:divBdr>
    </w:div>
    <w:div w:id="2103067359">
      <w:bodyDiv w:val="1"/>
      <w:marLeft w:val="0"/>
      <w:marRight w:val="0"/>
      <w:marTop w:val="0"/>
      <w:marBottom w:val="0"/>
      <w:divBdr>
        <w:top w:val="none" w:sz="0" w:space="0" w:color="auto"/>
        <w:left w:val="none" w:sz="0" w:space="0" w:color="auto"/>
        <w:bottom w:val="none" w:sz="0" w:space="0" w:color="auto"/>
        <w:right w:val="none" w:sz="0" w:space="0" w:color="auto"/>
      </w:divBdr>
    </w:div>
    <w:div w:id="2104452604">
      <w:bodyDiv w:val="1"/>
      <w:marLeft w:val="0"/>
      <w:marRight w:val="0"/>
      <w:marTop w:val="0"/>
      <w:marBottom w:val="0"/>
      <w:divBdr>
        <w:top w:val="none" w:sz="0" w:space="0" w:color="auto"/>
        <w:left w:val="none" w:sz="0" w:space="0" w:color="auto"/>
        <w:bottom w:val="none" w:sz="0" w:space="0" w:color="auto"/>
        <w:right w:val="none" w:sz="0" w:space="0" w:color="auto"/>
      </w:divBdr>
      <w:divsChild>
        <w:div w:id="2362035">
          <w:marLeft w:val="0"/>
          <w:marRight w:val="0"/>
          <w:marTop w:val="0"/>
          <w:marBottom w:val="0"/>
          <w:divBdr>
            <w:top w:val="none" w:sz="0" w:space="0" w:color="auto"/>
            <w:left w:val="none" w:sz="0" w:space="0" w:color="auto"/>
            <w:bottom w:val="none" w:sz="0" w:space="0" w:color="auto"/>
            <w:right w:val="none" w:sz="0" w:space="0" w:color="auto"/>
          </w:divBdr>
        </w:div>
        <w:div w:id="38282399">
          <w:marLeft w:val="0"/>
          <w:marRight w:val="0"/>
          <w:marTop w:val="0"/>
          <w:marBottom w:val="0"/>
          <w:divBdr>
            <w:top w:val="none" w:sz="0" w:space="0" w:color="auto"/>
            <w:left w:val="none" w:sz="0" w:space="0" w:color="auto"/>
            <w:bottom w:val="none" w:sz="0" w:space="0" w:color="auto"/>
            <w:right w:val="none" w:sz="0" w:space="0" w:color="auto"/>
          </w:divBdr>
        </w:div>
        <w:div w:id="93788044">
          <w:marLeft w:val="0"/>
          <w:marRight w:val="0"/>
          <w:marTop w:val="0"/>
          <w:marBottom w:val="0"/>
          <w:divBdr>
            <w:top w:val="none" w:sz="0" w:space="0" w:color="auto"/>
            <w:left w:val="none" w:sz="0" w:space="0" w:color="auto"/>
            <w:bottom w:val="none" w:sz="0" w:space="0" w:color="auto"/>
            <w:right w:val="none" w:sz="0" w:space="0" w:color="auto"/>
          </w:divBdr>
        </w:div>
        <w:div w:id="145973807">
          <w:marLeft w:val="0"/>
          <w:marRight w:val="0"/>
          <w:marTop w:val="0"/>
          <w:marBottom w:val="0"/>
          <w:divBdr>
            <w:top w:val="none" w:sz="0" w:space="0" w:color="auto"/>
            <w:left w:val="none" w:sz="0" w:space="0" w:color="auto"/>
            <w:bottom w:val="none" w:sz="0" w:space="0" w:color="auto"/>
            <w:right w:val="none" w:sz="0" w:space="0" w:color="auto"/>
          </w:divBdr>
        </w:div>
        <w:div w:id="534276302">
          <w:marLeft w:val="0"/>
          <w:marRight w:val="0"/>
          <w:marTop w:val="0"/>
          <w:marBottom w:val="0"/>
          <w:divBdr>
            <w:top w:val="none" w:sz="0" w:space="0" w:color="auto"/>
            <w:left w:val="none" w:sz="0" w:space="0" w:color="auto"/>
            <w:bottom w:val="none" w:sz="0" w:space="0" w:color="auto"/>
            <w:right w:val="none" w:sz="0" w:space="0" w:color="auto"/>
          </w:divBdr>
        </w:div>
        <w:div w:id="988752233">
          <w:marLeft w:val="0"/>
          <w:marRight w:val="0"/>
          <w:marTop w:val="0"/>
          <w:marBottom w:val="0"/>
          <w:divBdr>
            <w:top w:val="none" w:sz="0" w:space="0" w:color="auto"/>
            <w:left w:val="none" w:sz="0" w:space="0" w:color="auto"/>
            <w:bottom w:val="none" w:sz="0" w:space="0" w:color="auto"/>
            <w:right w:val="none" w:sz="0" w:space="0" w:color="auto"/>
          </w:divBdr>
        </w:div>
        <w:div w:id="1127432537">
          <w:marLeft w:val="0"/>
          <w:marRight w:val="0"/>
          <w:marTop w:val="0"/>
          <w:marBottom w:val="0"/>
          <w:divBdr>
            <w:top w:val="none" w:sz="0" w:space="0" w:color="auto"/>
            <w:left w:val="none" w:sz="0" w:space="0" w:color="auto"/>
            <w:bottom w:val="none" w:sz="0" w:space="0" w:color="auto"/>
            <w:right w:val="none" w:sz="0" w:space="0" w:color="auto"/>
          </w:divBdr>
        </w:div>
        <w:div w:id="1296065678">
          <w:marLeft w:val="0"/>
          <w:marRight w:val="0"/>
          <w:marTop w:val="0"/>
          <w:marBottom w:val="0"/>
          <w:divBdr>
            <w:top w:val="none" w:sz="0" w:space="0" w:color="auto"/>
            <w:left w:val="none" w:sz="0" w:space="0" w:color="auto"/>
            <w:bottom w:val="none" w:sz="0" w:space="0" w:color="auto"/>
            <w:right w:val="none" w:sz="0" w:space="0" w:color="auto"/>
          </w:divBdr>
        </w:div>
        <w:div w:id="1660184430">
          <w:marLeft w:val="0"/>
          <w:marRight w:val="0"/>
          <w:marTop w:val="0"/>
          <w:marBottom w:val="0"/>
          <w:divBdr>
            <w:top w:val="none" w:sz="0" w:space="0" w:color="auto"/>
            <w:left w:val="none" w:sz="0" w:space="0" w:color="auto"/>
            <w:bottom w:val="none" w:sz="0" w:space="0" w:color="auto"/>
            <w:right w:val="none" w:sz="0" w:space="0" w:color="auto"/>
          </w:divBdr>
        </w:div>
        <w:div w:id="1820030511">
          <w:marLeft w:val="0"/>
          <w:marRight w:val="0"/>
          <w:marTop w:val="0"/>
          <w:marBottom w:val="0"/>
          <w:divBdr>
            <w:top w:val="none" w:sz="0" w:space="0" w:color="auto"/>
            <w:left w:val="none" w:sz="0" w:space="0" w:color="auto"/>
            <w:bottom w:val="none" w:sz="0" w:space="0" w:color="auto"/>
            <w:right w:val="none" w:sz="0" w:space="0" w:color="auto"/>
          </w:divBdr>
        </w:div>
        <w:div w:id="189303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mc.gov.au/government/commonwealth-coat-ar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reativecommons.org/licenses/by/3.0/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rpans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rpansa.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9a914a-410e-4c1b-8ccd-33cc445b923c" xsi:nil="true"/>
    <lcf76f155ced4ddcb4097134ff3c332f xmlns="dcf84c4b-09d4-4bcf-98c7-7d5b0f4be0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8" ma:contentTypeDescription="Create a new document." ma:contentTypeScope="" ma:versionID="5edf05433a2fd3effccdf9bd632208ae">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b04836332f0ffa8f7deeec309ef4df48"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8317a36-9209-4dcd-8b64-6dffd17e9e18}" ma:internalName="TaxCatchAll" ma:showField="CatchAllData" ma:web="0e9a914a-410e-4c1b-8ccd-33cc445b9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EF47A7D-C42E-4B5E-AE8B-0514A96BA822}">
  <ds:schemaRefs>
    <ds:schemaRef ds:uri="dcf84c4b-09d4-4bcf-98c7-7d5b0f4be011"/>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0e9a914a-410e-4c1b-8ccd-33cc445b923c"/>
    <ds:schemaRef ds:uri="http://schemas.microsoft.com/office/2006/metadata/properties"/>
  </ds:schemaRefs>
</ds:datastoreItem>
</file>

<file path=customXml/itemProps2.xml><?xml version="1.0" encoding="utf-8"?>
<ds:datastoreItem xmlns:ds="http://schemas.openxmlformats.org/officeDocument/2006/customXml" ds:itemID="{CAF8E145-FCC6-4327-8363-CE0DFC42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22B9C-EE79-45AB-B3EB-A1151B1A3CDF}">
  <ds:schemaRefs>
    <ds:schemaRef ds:uri="http://schemas.microsoft.com/sharepoint/v3/contenttype/forms"/>
  </ds:schemaRefs>
</ds:datastoreItem>
</file>

<file path=customXml/itemProps4.xml><?xml version="1.0" encoding="utf-8"?>
<ds:datastoreItem xmlns:ds="http://schemas.openxmlformats.org/officeDocument/2006/customXml" ds:itemID="{D53E6EE8-50B2-4685-8716-28EBCAD8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Links>
    <vt:vector size="114" baseType="variant">
      <vt:variant>
        <vt:i4>5439602</vt:i4>
      </vt:variant>
      <vt:variant>
        <vt:i4>99</vt:i4>
      </vt:variant>
      <vt:variant>
        <vt:i4>0</vt:i4>
      </vt:variant>
      <vt:variant>
        <vt:i4>5</vt:i4>
      </vt:variant>
      <vt:variant>
        <vt:lpwstr/>
      </vt:variant>
      <vt:variant>
        <vt:lpwstr>_Comparisons_with_past</vt:lpwstr>
      </vt:variant>
      <vt:variant>
        <vt:i4>1114169</vt:i4>
      </vt:variant>
      <vt:variant>
        <vt:i4>92</vt:i4>
      </vt:variant>
      <vt:variant>
        <vt:i4>0</vt:i4>
      </vt:variant>
      <vt:variant>
        <vt:i4>5</vt:i4>
      </vt:variant>
      <vt:variant>
        <vt:lpwstr/>
      </vt:variant>
      <vt:variant>
        <vt:lpwstr>_Toc191984126</vt:lpwstr>
      </vt:variant>
      <vt:variant>
        <vt:i4>1114169</vt:i4>
      </vt:variant>
      <vt:variant>
        <vt:i4>86</vt:i4>
      </vt:variant>
      <vt:variant>
        <vt:i4>0</vt:i4>
      </vt:variant>
      <vt:variant>
        <vt:i4>5</vt:i4>
      </vt:variant>
      <vt:variant>
        <vt:lpwstr/>
      </vt:variant>
      <vt:variant>
        <vt:lpwstr>_Toc191984125</vt:lpwstr>
      </vt:variant>
      <vt:variant>
        <vt:i4>1114169</vt:i4>
      </vt:variant>
      <vt:variant>
        <vt:i4>80</vt:i4>
      </vt:variant>
      <vt:variant>
        <vt:i4>0</vt:i4>
      </vt:variant>
      <vt:variant>
        <vt:i4>5</vt:i4>
      </vt:variant>
      <vt:variant>
        <vt:lpwstr/>
      </vt:variant>
      <vt:variant>
        <vt:lpwstr>_Toc191984124</vt:lpwstr>
      </vt:variant>
      <vt:variant>
        <vt:i4>1114169</vt:i4>
      </vt:variant>
      <vt:variant>
        <vt:i4>74</vt:i4>
      </vt:variant>
      <vt:variant>
        <vt:i4>0</vt:i4>
      </vt:variant>
      <vt:variant>
        <vt:i4>5</vt:i4>
      </vt:variant>
      <vt:variant>
        <vt:lpwstr/>
      </vt:variant>
      <vt:variant>
        <vt:lpwstr>_Toc191984123</vt:lpwstr>
      </vt:variant>
      <vt:variant>
        <vt:i4>1114169</vt:i4>
      </vt:variant>
      <vt:variant>
        <vt:i4>68</vt:i4>
      </vt:variant>
      <vt:variant>
        <vt:i4>0</vt:i4>
      </vt:variant>
      <vt:variant>
        <vt:i4>5</vt:i4>
      </vt:variant>
      <vt:variant>
        <vt:lpwstr/>
      </vt:variant>
      <vt:variant>
        <vt:lpwstr>_Toc191984122</vt:lpwstr>
      </vt:variant>
      <vt:variant>
        <vt:i4>1114169</vt:i4>
      </vt:variant>
      <vt:variant>
        <vt:i4>62</vt:i4>
      </vt:variant>
      <vt:variant>
        <vt:i4>0</vt:i4>
      </vt:variant>
      <vt:variant>
        <vt:i4>5</vt:i4>
      </vt:variant>
      <vt:variant>
        <vt:lpwstr/>
      </vt:variant>
      <vt:variant>
        <vt:lpwstr>_Toc191984121</vt:lpwstr>
      </vt:variant>
      <vt:variant>
        <vt:i4>1114169</vt:i4>
      </vt:variant>
      <vt:variant>
        <vt:i4>56</vt:i4>
      </vt:variant>
      <vt:variant>
        <vt:i4>0</vt:i4>
      </vt:variant>
      <vt:variant>
        <vt:i4>5</vt:i4>
      </vt:variant>
      <vt:variant>
        <vt:lpwstr/>
      </vt:variant>
      <vt:variant>
        <vt:lpwstr>_Toc191984120</vt:lpwstr>
      </vt:variant>
      <vt:variant>
        <vt:i4>1179705</vt:i4>
      </vt:variant>
      <vt:variant>
        <vt:i4>50</vt:i4>
      </vt:variant>
      <vt:variant>
        <vt:i4>0</vt:i4>
      </vt:variant>
      <vt:variant>
        <vt:i4>5</vt:i4>
      </vt:variant>
      <vt:variant>
        <vt:lpwstr/>
      </vt:variant>
      <vt:variant>
        <vt:lpwstr>_Toc191984119</vt:lpwstr>
      </vt:variant>
      <vt:variant>
        <vt:i4>1179705</vt:i4>
      </vt:variant>
      <vt:variant>
        <vt:i4>44</vt:i4>
      </vt:variant>
      <vt:variant>
        <vt:i4>0</vt:i4>
      </vt:variant>
      <vt:variant>
        <vt:i4>5</vt:i4>
      </vt:variant>
      <vt:variant>
        <vt:lpwstr/>
      </vt:variant>
      <vt:variant>
        <vt:lpwstr>_Toc191984118</vt:lpwstr>
      </vt:variant>
      <vt:variant>
        <vt:i4>1179705</vt:i4>
      </vt:variant>
      <vt:variant>
        <vt:i4>38</vt:i4>
      </vt:variant>
      <vt:variant>
        <vt:i4>0</vt:i4>
      </vt:variant>
      <vt:variant>
        <vt:i4>5</vt:i4>
      </vt:variant>
      <vt:variant>
        <vt:lpwstr/>
      </vt:variant>
      <vt:variant>
        <vt:lpwstr>_Toc191984117</vt:lpwstr>
      </vt:variant>
      <vt:variant>
        <vt:i4>1179705</vt:i4>
      </vt:variant>
      <vt:variant>
        <vt:i4>32</vt:i4>
      </vt:variant>
      <vt:variant>
        <vt:i4>0</vt:i4>
      </vt:variant>
      <vt:variant>
        <vt:i4>5</vt:i4>
      </vt:variant>
      <vt:variant>
        <vt:lpwstr/>
      </vt:variant>
      <vt:variant>
        <vt:lpwstr>_Toc191984116</vt:lpwstr>
      </vt:variant>
      <vt:variant>
        <vt:i4>1179705</vt:i4>
      </vt:variant>
      <vt:variant>
        <vt:i4>26</vt:i4>
      </vt:variant>
      <vt:variant>
        <vt:i4>0</vt:i4>
      </vt:variant>
      <vt:variant>
        <vt:i4>5</vt:i4>
      </vt:variant>
      <vt:variant>
        <vt:lpwstr/>
      </vt:variant>
      <vt:variant>
        <vt:lpwstr>_Toc191984115</vt:lpwstr>
      </vt:variant>
      <vt:variant>
        <vt:i4>1179705</vt:i4>
      </vt:variant>
      <vt:variant>
        <vt:i4>20</vt:i4>
      </vt:variant>
      <vt:variant>
        <vt:i4>0</vt:i4>
      </vt:variant>
      <vt:variant>
        <vt:i4>5</vt:i4>
      </vt:variant>
      <vt:variant>
        <vt:lpwstr/>
      </vt:variant>
      <vt:variant>
        <vt:lpwstr>_Toc191984114</vt:lpwstr>
      </vt:variant>
      <vt:variant>
        <vt:i4>1179705</vt:i4>
      </vt:variant>
      <vt:variant>
        <vt:i4>14</vt:i4>
      </vt:variant>
      <vt:variant>
        <vt:i4>0</vt:i4>
      </vt:variant>
      <vt:variant>
        <vt:i4>5</vt:i4>
      </vt:variant>
      <vt:variant>
        <vt:lpwstr/>
      </vt:variant>
      <vt:variant>
        <vt:lpwstr>_Toc191984113</vt:lpwstr>
      </vt:variant>
      <vt:variant>
        <vt:i4>6946858</vt:i4>
      </vt:variant>
      <vt:variant>
        <vt:i4>9</vt:i4>
      </vt:variant>
      <vt:variant>
        <vt:i4>0</vt:i4>
      </vt:variant>
      <vt:variant>
        <vt:i4>5</vt:i4>
      </vt:variant>
      <vt:variant>
        <vt:lpwstr>http://www.arpansa.gov.au/</vt:lpwstr>
      </vt:variant>
      <vt:variant>
        <vt:lpwstr/>
      </vt:variant>
      <vt:variant>
        <vt:i4>5701669</vt:i4>
      </vt:variant>
      <vt:variant>
        <vt:i4>6</vt:i4>
      </vt:variant>
      <vt:variant>
        <vt:i4>0</vt:i4>
      </vt:variant>
      <vt:variant>
        <vt:i4>5</vt:i4>
      </vt:variant>
      <vt:variant>
        <vt:lpwstr>mailto:info@arpansa.gov.au</vt:lpwstr>
      </vt:variant>
      <vt:variant>
        <vt:lpwstr/>
      </vt:variant>
      <vt:variant>
        <vt:i4>5505104</vt:i4>
      </vt:variant>
      <vt:variant>
        <vt:i4>3</vt:i4>
      </vt:variant>
      <vt:variant>
        <vt:i4>0</vt:i4>
      </vt:variant>
      <vt:variant>
        <vt:i4>5</vt:i4>
      </vt:variant>
      <vt:variant>
        <vt:lpwstr>http://www.dpmc.gov.au/government/commonwealth-coat-arms</vt:lpwstr>
      </vt:variant>
      <vt:variant>
        <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Dellora</dc:creator>
  <cp:keywords/>
  <cp:lastModifiedBy>Prachi Batra</cp:lastModifiedBy>
  <cp:revision>2</cp:revision>
  <dcterms:created xsi:type="dcterms:W3CDTF">2025-03-04T02:22:00Z</dcterms:created>
  <dcterms:modified xsi:type="dcterms:W3CDTF">2025-03-04T02:22:00Z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0x010100F5ADA1D2CAB76C4285A4CBAA89C422D0</vt:lpwstr>
  </property>
  <property fmtid="{D5CDD505-2E9C-101B-9397-08002B2CF9AE}" pid="3" name="MediaServiceImageTags">
    <vt:lpwstr/>
  </property>
</Properties>
</file>