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6A" w:rsidRPr="00C16012" w:rsidRDefault="00170A6A">
      <w:pPr>
        <w:pStyle w:val="Heading7"/>
        <w:jc w:val="center"/>
        <w:rPr>
          <w:rFonts w:ascii="Calibri" w:hAnsi="Calibri"/>
          <w:sz w:val="36"/>
        </w:rPr>
      </w:pPr>
      <w:r w:rsidRPr="00C16012">
        <w:rPr>
          <w:rFonts w:ascii="Calibri" w:hAnsi="Calibri"/>
          <w:sz w:val="36"/>
        </w:rPr>
        <w:t>Personal Radiation Monitoring Service</w:t>
      </w:r>
    </w:p>
    <w:tbl>
      <w:tblPr>
        <w:tblW w:w="9600" w:type="dxa"/>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9600"/>
      </w:tblGrid>
      <w:tr w:rsidR="00170A6A" w:rsidRPr="00C16012" w:rsidTr="0019659F">
        <w:trPr>
          <w:trHeight w:hRule="exact" w:val="353"/>
          <w:jc w:val="center"/>
        </w:trPr>
        <w:tc>
          <w:tcPr>
            <w:tcW w:w="9600" w:type="dxa"/>
            <w:vAlign w:val="center"/>
          </w:tcPr>
          <w:p w:rsidR="00170A6A" w:rsidRPr="00C16012" w:rsidRDefault="00170A6A" w:rsidP="0019659F">
            <w:pPr>
              <w:pStyle w:val="BalloonText"/>
              <w:spacing w:before="0"/>
              <w:jc w:val="center"/>
              <w:rPr>
                <w:rFonts w:ascii="Calibri" w:hAnsi="Calibri"/>
                <w:color w:val="000080"/>
                <w:sz w:val="14"/>
                <w:lang w:val="en-AU"/>
              </w:rPr>
            </w:pPr>
            <w:r w:rsidRPr="00C16012">
              <w:rPr>
                <w:rFonts w:ascii="Calibri" w:hAnsi="Calibri"/>
                <w:color w:val="000080"/>
                <w:sz w:val="14"/>
              </w:rPr>
              <w:t xml:space="preserve">619 Lower Plenty Road, Yallambie, Victoria 3085 Phone:  (03) 9433 2211 FREECALL: 1800 678 112 </w:t>
            </w:r>
            <w:r w:rsidRPr="00C16012">
              <w:rPr>
                <w:rFonts w:ascii="Calibri" w:hAnsi="Calibri"/>
                <w:color w:val="000080"/>
                <w:sz w:val="14"/>
                <w:lang w:val="en-AU"/>
              </w:rPr>
              <w:t>E-mail: prms@arpansa.gov.au</w:t>
            </w:r>
          </w:p>
        </w:tc>
      </w:tr>
    </w:tbl>
    <w:p w:rsidR="00371034" w:rsidRPr="00074BFC" w:rsidRDefault="00B24C0F" w:rsidP="000505A8">
      <w:pPr>
        <w:tabs>
          <w:tab w:val="left" w:pos="-1416"/>
          <w:tab w:val="left" w:pos="-708"/>
        </w:tabs>
        <w:spacing w:before="480"/>
        <w:jc w:val="center"/>
        <w:rPr>
          <w:rFonts w:ascii="Calibri" w:hAnsi="Calibri"/>
          <w:b/>
          <w:color w:val="1F497D" w:themeColor="text2"/>
          <w:sz w:val="28"/>
        </w:rPr>
      </w:pPr>
      <w:r w:rsidRPr="00074BFC">
        <w:rPr>
          <w:rFonts w:ascii="Calibri" w:hAnsi="Calibri"/>
          <w:b/>
          <w:color w:val="1F497D" w:themeColor="text2"/>
          <w:sz w:val="28"/>
        </w:rPr>
        <w:t>User Guide for Uranium/Mineral Sand Mines and Processing Plants</w:t>
      </w:r>
    </w:p>
    <w:p w:rsidR="00371034" w:rsidRPr="00C16012" w:rsidRDefault="005F58EB" w:rsidP="00B24C0F">
      <w:r>
        <w:t xml:space="preserve">Your new </w:t>
      </w:r>
      <w:proofErr w:type="spellStart"/>
      <w:r>
        <w:t>BeO</w:t>
      </w:r>
      <w:proofErr w:type="spellEnd"/>
      <w:r>
        <w:t xml:space="preserve"> OSL Monitor</w:t>
      </w:r>
      <w:r w:rsidR="00371034" w:rsidRPr="00C16012">
        <w:t xml:space="preserve"> is sealed in </w:t>
      </w:r>
      <w:bookmarkStart w:id="0" w:name="_GoBack"/>
      <w:bookmarkEnd w:id="0"/>
      <w:r w:rsidR="006958C9">
        <w:t xml:space="preserve">a </w:t>
      </w:r>
      <w:r>
        <w:t>PET blister pack</w:t>
      </w:r>
      <w:r w:rsidR="009C30DF">
        <w:t xml:space="preserve"> </w:t>
      </w:r>
      <w:r w:rsidR="00371034" w:rsidRPr="00C16012">
        <w:t xml:space="preserve">prior to issue.  Each </w:t>
      </w:r>
      <w:r w:rsidR="00C16012" w:rsidRPr="00C16012">
        <w:t>monitor</w:t>
      </w:r>
      <w:r w:rsidR="00371034" w:rsidRPr="00C16012">
        <w:t xml:space="preserve"> must be returned to </w:t>
      </w:r>
      <w:r w:rsidR="00371034" w:rsidRPr="00B24C0F">
        <w:t>the</w:t>
      </w:r>
      <w:r w:rsidR="00371034" w:rsidRPr="00C16012">
        <w:t xml:space="preserve"> Personal Radiation Monitoring Service intact at the end of each wearing period. They are checked for radioactive contamination upon return.  </w:t>
      </w:r>
    </w:p>
    <w:p w:rsidR="00371034" w:rsidRPr="00C16012" w:rsidRDefault="005F58EB" w:rsidP="00B24C0F">
      <w:r>
        <w:t xml:space="preserve">Your new </w:t>
      </w:r>
      <w:proofErr w:type="spellStart"/>
      <w:r>
        <w:t>BeO</w:t>
      </w:r>
      <w:proofErr w:type="spellEnd"/>
      <w:r>
        <w:t xml:space="preserve"> OSL Monitor can be </w:t>
      </w:r>
      <w:r w:rsidR="00371034" w:rsidRPr="00C16012">
        <w:t xml:space="preserve">used </w:t>
      </w:r>
      <w:r w:rsidR="00525373" w:rsidRPr="00C16012">
        <w:t>in</w:t>
      </w:r>
      <w:r w:rsidR="00371034" w:rsidRPr="00C16012">
        <w:t xml:space="preserve"> uranium and mineral sand mining </w:t>
      </w:r>
      <w:r>
        <w:t xml:space="preserve">and processing plant </w:t>
      </w:r>
      <w:r w:rsidR="00371034" w:rsidRPr="00C16012">
        <w:t xml:space="preserve">operations where conditions may be dusty and in </w:t>
      </w:r>
      <w:r>
        <w:t>l</w:t>
      </w:r>
      <w:r w:rsidR="00371034" w:rsidRPr="00C16012">
        <w:t>aboratories where there is a significant risk of radioactive contamination.</w:t>
      </w:r>
    </w:p>
    <w:p w:rsidR="00371034" w:rsidRPr="00C16012" w:rsidRDefault="00E702BC" w:rsidP="00B24C0F">
      <w:r>
        <w:t xml:space="preserve">In uranium and mineral sand mining and processing </w:t>
      </w:r>
      <w:r w:rsidR="009C30DF">
        <w:t>plants</w:t>
      </w:r>
      <w:r w:rsidR="00371034" w:rsidRPr="00C16012">
        <w:t>, it may not be possible to store them in a low radiation background area when they are not in use. Under these circumstances, extra controls are issued to measure the radiation background of the storage sites. Each monitor issued to a wearer must be associated with the particular control with which it is to be stored whilst not in use.</w:t>
      </w:r>
    </w:p>
    <w:p w:rsidR="00371034" w:rsidRPr="00C16012" w:rsidRDefault="00371034">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rPr>
      </w:pPr>
      <w:r w:rsidRPr="00C16012">
        <w:rPr>
          <w:rFonts w:ascii="Calibri" w:hAnsi="Calibri"/>
        </w:rPr>
        <w:t xml:space="preserve">The use of the various controls is as </w:t>
      </w:r>
      <w:r w:rsidR="009C30DF" w:rsidRPr="00C16012">
        <w:rPr>
          <w:rFonts w:ascii="Calibri" w:hAnsi="Calibri"/>
        </w:rPr>
        <w:t>follows:</w:t>
      </w:r>
    </w:p>
    <w:p w:rsidR="00371034" w:rsidRPr="00C16012" w:rsidRDefault="00371034" w:rsidP="0019659F">
      <w:pPr>
        <w:pStyle w:val="ListParagraph"/>
        <w:numPr>
          <w:ilvl w:val="0"/>
          <w:numId w:val="2"/>
        </w:numPr>
        <w:ind w:left="426" w:hanging="426"/>
      </w:pPr>
      <w:r w:rsidRPr="0019659F">
        <w:rPr>
          <w:b/>
        </w:rPr>
        <w:t>CONTROL A</w:t>
      </w:r>
      <w:r w:rsidR="00C16012" w:rsidRPr="00C16012">
        <w:t xml:space="preserve"> is the main C</w:t>
      </w:r>
      <w:r w:rsidRPr="00C16012">
        <w:t xml:space="preserve">ontrol which </w:t>
      </w:r>
      <w:r w:rsidRPr="0019659F">
        <w:rPr>
          <w:b/>
        </w:rPr>
        <w:t>must</w:t>
      </w:r>
      <w:r w:rsidRPr="00C16012">
        <w:t xml:space="preserve"> be kept in a low background area typical of the </w:t>
      </w:r>
      <w:r w:rsidR="00C16012" w:rsidRPr="00C16012">
        <w:t>everyday</w:t>
      </w:r>
      <w:r w:rsidRPr="00C16012">
        <w:t xml:space="preserve"> </w:t>
      </w:r>
      <w:r w:rsidRPr="0019659F">
        <w:rPr>
          <w:b/>
        </w:rPr>
        <w:t>non-work</w:t>
      </w:r>
      <w:r w:rsidRPr="00C16012">
        <w:t xml:space="preserve"> environment. The dose measure</w:t>
      </w:r>
      <w:r w:rsidR="00C16012" w:rsidRPr="00C16012">
        <w:t>d on this C</w:t>
      </w:r>
      <w:r w:rsidRPr="00C16012">
        <w:t>ontrol will be assumed to be the natural background radiation reading and any reading on a monitor which is above this reading will be reported as the occupational radiation dose received by the wearer. Consequently, Control A must be kept well away from sources of radiation and be left in the selected low background area for the full wearing period of t</w:t>
      </w:r>
      <w:r w:rsidR="00C16012" w:rsidRPr="00C16012">
        <w:t>he monitors. The sites for the C</w:t>
      </w:r>
      <w:r w:rsidRPr="00C16012">
        <w:t xml:space="preserve">ontrols should be chosen with care. It is expected that the regulatory authority </w:t>
      </w:r>
      <w:r w:rsidR="00C16012" w:rsidRPr="00C16012">
        <w:t>will require inspection of the C</w:t>
      </w:r>
      <w:r w:rsidRPr="00C16012">
        <w:t>ontrol sites to be part of the regulatory control process.</w:t>
      </w:r>
    </w:p>
    <w:p w:rsidR="00371034" w:rsidRPr="00C16012" w:rsidRDefault="00371034" w:rsidP="0019659F">
      <w:pPr>
        <w:pStyle w:val="ListParagraph"/>
        <w:numPr>
          <w:ilvl w:val="0"/>
          <w:numId w:val="2"/>
        </w:numPr>
        <w:ind w:left="426" w:hanging="426"/>
        <w:rPr>
          <w:rFonts w:ascii="Calibri" w:hAnsi="Calibri"/>
        </w:rPr>
      </w:pPr>
      <w:r w:rsidRPr="00C16012">
        <w:rPr>
          <w:rFonts w:ascii="Calibri" w:hAnsi="Calibri"/>
          <w:b/>
        </w:rPr>
        <w:t>CONTROL B</w:t>
      </w:r>
      <w:r w:rsidR="00C16012" w:rsidRPr="00C16012">
        <w:rPr>
          <w:rFonts w:ascii="Calibri" w:hAnsi="Calibri"/>
        </w:rPr>
        <w:t xml:space="preserve"> is the subsidiary C</w:t>
      </w:r>
      <w:r w:rsidRPr="00C16012">
        <w:rPr>
          <w:rFonts w:ascii="Calibri" w:hAnsi="Calibri"/>
        </w:rPr>
        <w:t xml:space="preserve">ontrol which is placed at the storage site. All monitors issued under this Control </w:t>
      </w:r>
      <w:r w:rsidRPr="00C16012">
        <w:rPr>
          <w:rFonts w:ascii="Calibri" w:hAnsi="Calibri"/>
          <w:b/>
        </w:rPr>
        <w:t>must</w:t>
      </w:r>
      <w:r w:rsidRPr="00C16012">
        <w:rPr>
          <w:rFonts w:ascii="Calibri" w:hAnsi="Calibri"/>
        </w:rPr>
        <w:t xml:space="preserve"> be stored with the Control during the wearing period whilst they are not being worn. As the control storage site is likely to be subjected to a higher dose rate than the low background (Control A) site, the pro-rata dose received by the monitors whilst they are not being worn needs to be subtracted from their readings.</w:t>
      </w:r>
    </w:p>
    <w:p w:rsidR="00371034" w:rsidRPr="00074BFC" w:rsidRDefault="00371034" w:rsidP="0019659F">
      <w:pPr>
        <w:pStyle w:val="ListParagraph"/>
        <w:numPr>
          <w:ilvl w:val="0"/>
          <w:numId w:val="2"/>
        </w:numPr>
        <w:ind w:left="426" w:hanging="426"/>
        <w:rPr>
          <w:rFonts w:ascii="Calibri" w:hAnsi="Calibri"/>
          <w:spacing w:val="-4"/>
        </w:rPr>
      </w:pPr>
      <w:r w:rsidRPr="00074BFC">
        <w:rPr>
          <w:rFonts w:ascii="Calibri" w:hAnsi="Calibri"/>
          <w:b/>
          <w:spacing w:val="-4"/>
        </w:rPr>
        <w:t>CONTROL C, CONTROL D</w:t>
      </w:r>
      <w:r w:rsidRPr="00074BFC">
        <w:rPr>
          <w:rFonts w:ascii="Calibri" w:hAnsi="Calibri"/>
          <w:spacing w:val="-4"/>
        </w:rPr>
        <w:t>, etc</w:t>
      </w:r>
      <w:r w:rsidR="005F664F">
        <w:rPr>
          <w:rFonts w:ascii="Calibri" w:hAnsi="Calibri"/>
          <w:spacing w:val="-4"/>
        </w:rPr>
        <w:t>.</w:t>
      </w:r>
      <w:r w:rsidRPr="00074BFC">
        <w:rPr>
          <w:rFonts w:ascii="Calibri" w:hAnsi="Calibri"/>
          <w:spacing w:val="-4"/>
        </w:rPr>
        <w:t xml:space="preserve"> have the same use as Control B, but at different control storage sites.</w:t>
      </w:r>
    </w:p>
    <w:p w:rsidR="00371034" w:rsidRPr="00C16012" w:rsidRDefault="00371034" w:rsidP="00DF07C7">
      <w:r w:rsidRPr="00C16012">
        <w:t xml:space="preserve">The accuracy of the </w:t>
      </w:r>
      <w:r w:rsidRPr="00DF07C7">
        <w:t>reported</w:t>
      </w:r>
      <w:r w:rsidRPr="00C16012">
        <w:t xml:space="preserve"> doses is dependent on the accuracy of the information provided by the user on the Monitor Details Forms. If incorrect information is supplied, it is difficult to reassess the reported doses.</w:t>
      </w:r>
    </w:p>
    <w:p w:rsidR="00074BFC" w:rsidRDefault="00074BFC">
      <w:pPr>
        <w:spacing w:before="0" w:line="240" w:lineRule="auto"/>
      </w:pPr>
    </w:p>
    <w:p w:rsidR="00371034" w:rsidRPr="00C16012" w:rsidRDefault="00371034" w:rsidP="00AB7D70">
      <w:pPr>
        <w:keepNext/>
      </w:pPr>
      <w:r w:rsidRPr="00C16012">
        <w:lastRenderedPageBreak/>
        <w:t xml:space="preserve">It is important that the following information is as accurate as possible: </w:t>
      </w:r>
    </w:p>
    <w:p w:rsidR="00AB7D70" w:rsidRDefault="00371034" w:rsidP="00DF07C7">
      <w:pPr>
        <w:pStyle w:val="ListParagraph"/>
        <w:numPr>
          <w:ilvl w:val="0"/>
          <w:numId w:val="3"/>
        </w:numPr>
        <w:ind w:left="426" w:hanging="426"/>
        <w:rPr>
          <w:rFonts w:ascii="Calibri" w:hAnsi="Calibri"/>
        </w:rPr>
      </w:pPr>
      <w:r w:rsidRPr="00AB7D70">
        <w:rPr>
          <w:rFonts w:ascii="Calibri" w:hAnsi="Calibri"/>
          <w:spacing w:val="-2"/>
        </w:rPr>
        <w:t>The</w:t>
      </w:r>
      <w:r w:rsidRPr="00AB7D70">
        <w:rPr>
          <w:rFonts w:ascii="Calibri" w:hAnsi="Calibri"/>
          <w:b/>
          <w:spacing w:val="-2"/>
        </w:rPr>
        <w:t xml:space="preserve"> INCLUSIVE DATES OF WEARING</w:t>
      </w:r>
      <w:r w:rsidRPr="00AB7D70">
        <w:rPr>
          <w:rFonts w:ascii="Calibri" w:hAnsi="Calibri"/>
          <w:spacing w:val="-2"/>
        </w:rPr>
        <w:t xml:space="preserve"> of the monitors </w:t>
      </w:r>
      <w:r w:rsidRPr="00AB7D70">
        <w:rPr>
          <w:rFonts w:ascii="Calibri" w:hAnsi="Calibri"/>
          <w:b/>
          <w:spacing w:val="-2"/>
        </w:rPr>
        <w:t>must</w:t>
      </w:r>
      <w:r w:rsidRPr="00AB7D70">
        <w:rPr>
          <w:rFonts w:ascii="Calibri" w:hAnsi="Calibri"/>
          <w:spacing w:val="-2"/>
        </w:rPr>
        <w:t xml:space="preserve"> be the date that the monitors were </w:t>
      </w:r>
      <w:r w:rsidRPr="00AB7D70">
        <w:rPr>
          <w:rFonts w:ascii="Calibri" w:hAnsi="Calibri"/>
          <w:b/>
          <w:spacing w:val="-2"/>
        </w:rPr>
        <w:t>first</w:t>
      </w:r>
      <w:r w:rsidRPr="00AB7D70">
        <w:rPr>
          <w:rFonts w:ascii="Calibri" w:hAnsi="Calibri"/>
          <w:spacing w:val="-2"/>
        </w:rPr>
        <w:t xml:space="preserve"> placed at the control storage site of Control B, etc., and the date that the monitors were </w:t>
      </w:r>
      <w:r w:rsidRPr="00AB7D70">
        <w:rPr>
          <w:rFonts w:ascii="Calibri" w:hAnsi="Calibri"/>
          <w:b/>
          <w:spacing w:val="-2"/>
        </w:rPr>
        <w:t>finally</w:t>
      </w:r>
      <w:r w:rsidRPr="00AB7D70">
        <w:rPr>
          <w:rFonts w:ascii="Calibri" w:hAnsi="Calibri"/>
          <w:spacing w:val="-2"/>
        </w:rPr>
        <w:t xml:space="preserve"> removed from the control storage site and returned to the Control </w:t>
      </w:r>
      <w:proofErr w:type="gramStart"/>
      <w:r w:rsidRPr="00AB7D70">
        <w:rPr>
          <w:rFonts w:ascii="Calibri" w:hAnsi="Calibri"/>
          <w:spacing w:val="-2"/>
        </w:rPr>
        <w:t>A</w:t>
      </w:r>
      <w:proofErr w:type="gramEnd"/>
      <w:r w:rsidRPr="00AB7D70">
        <w:rPr>
          <w:rFonts w:ascii="Calibri" w:hAnsi="Calibri"/>
          <w:spacing w:val="-2"/>
        </w:rPr>
        <w:t xml:space="preserve"> site. If no inclusive dates of wearing are listed, it will be assumed that the recommended wearing period has been used</w:t>
      </w:r>
      <w:r w:rsidRPr="00DF07C7">
        <w:rPr>
          <w:rFonts w:ascii="Calibri" w:hAnsi="Calibri"/>
        </w:rPr>
        <w:t>.</w:t>
      </w:r>
    </w:p>
    <w:p w:rsidR="00371034" w:rsidRPr="00AB7D70" w:rsidRDefault="00371034" w:rsidP="00AB7D70">
      <w:pPr>
        <w:spacing w:before="120"/>
        <w:ind w:left="425"/>
        <w:rPr>
          <w:rFonts w:ascii="Calibri" w:hAnsi="Calibri"/>
        </w:rPr>
      </w:pPr>
      <w:r w:rsidRPr="00AB7D70">
        <w:rPr>
          <w:rFonts w:ascii="Calibri" w:hAnsi="Calibri"/>
        </w:rPr>
        <w:t xml:space="preserve">Any unnamed monitor which has been issued against the Control A, but has been used at a different control storage site </w:t>
      </w:r>
      <w:r w:rsidRPr="00AB7D70">
        <w:rPr>
          <w:rFonts w:ascii="Calibri" w:hAnsi="Calibri"/>
          <w:b/>
        </w:rPr>
        <w:t>must</w:t>
      </w:r>
      <w:r w:rsidRPr="00AB7D70">
        <w:rPr>
          <w:rFonts w:ascii="Calibri" w:hAnsi="Calibri"/>
        </w:rPr>
        <w:t xml:space="preserve"> have a clear indication of control storage site at which it was used. The inclusive dates of wearing are the date that it was first moved to this control storage site and the date that it was finally returned to the Control A. If it is not clear at which control storage site the monitor was used, it will be assumed that it was stored for the full wearing period at the control storage site to which it was issued.</w:t>
      </w:r>
    </w:p>
    <w:p w:rsidR="00AB7D70" w:rsidRDefault="00371034" w:rsidP="00DF07C7">
      <w:pPr>
        <w:pStyle w:val="ListParagraph"/>
        <w:numPr>
          <w:ilvl w:val="0"/>
          <w:numId w:val="3"/>
        </w:numPr>
        <w:ind w:left="426" w:hanging="426"/>
        <w:rPr>
          <w:rFonts w:ascii="Calibri" w:hAnsi="Calibri"/>
        </w:rPr>
      </w:pPr>
      <w:r w:rsidRPr="00DF07C7">
        <w:rPr>
          <w:rFonts w:ascii="Calibri" w:hAnsi="Calibri"/>
        </w:rPr>
        <w:t xml:space="preserve">The </w:t>
      </w:r>
      <w:r w:rsidRPr="00DF07C7">
        <w:rPr>
          <w:rFonts w:ascii="Calibri" w:hAnsi="Calibri"/>
          <w:b/>
        </w:rPr>
        <w:t>SHIFT HOURS</w:t>
      </w:r>
      <w:r w:rsidRPr="00DF07C7">
        <w:rPr>
          <w:rFonts w:ascii="Calibri" w:hAnsi="Calibri"/>
        </w:rPr>
        <w:t xml:space="preserve"> is the </w:t>
      </w:r>
      <w:r w:rsidRPr="00DF07C7">
        <w:rPr>
          <w:rFonts w:ascii="Calibri" w:hAnsi="Calibri"/>
          <w:b/>
        </w:rPr>
        <w:t>TOTAL HOURS MONITORED</w:t>
      </w:r>
      <w:r w:rsidRPr="00DF07C7">
        <w:rPr>
          <w:rFonts w:ascii="Calibri" w:hAnsi="Calibri"/>
        </w:rPr>
        <w:t xml:space="preserve"> in the wearing period. This allows for the radiation received by the worn monitor whilst it was stored at the control storage site to be subtracted from the monitor reading.</w:t>
      </w:r>
    </w:p>
    <w:p w:rsidR="00371034" w:rsidRPr="00DF07C7" w:rsidRDefault="00371034" w:rsidP="00AB7D70">
      <w:pPr>
        <w:spacing w:before="120"/>
        <w:ind w:left="425"/>
        <w:rPr>
          <w:rFonts w:ascii="Calibri" w:hAnsi="Calibri"/>
        </w:rPr>
      </w:pPr>
      <w:r w:rsidRPr="00DF07C7">
        <w:rPr>
          <w:rFonts w:ascii="Calibri" w:hAnsi="Calibri"/>
        </w:rPr>
        <w:t xml:space="preserve">If no shift hours are recorded against a monitor, a default value will be calculated based on a value of </w:t>
      </w:r>
      <w:r w:rsidRPr="00DF07C7">
        <w:rPr>
          <w:rFonts w:ascii="Calibri" w:hAnsi="Calibri"/>
          <w:b/>
        </w:rPr>
        <w:t>40 hours</w:t>
      </w:r>
      <w:r w:rsidRPr="00DF07C7">
        <w:rPr>
          <w:rFonts w:ascii="Calibri" w:hAnsi="Calibri"/>
        </w:rPr>
        <w:t xml:space="preserve"> for each week of wearing.</w:t>
      </w:r>
    </w:p>
    <w:p w:rsidR="00371034" w:rsidRPr="00C16012" w:rsidRDefault="00371034" w:rsidP="00DF07C7">
      <w:pPr>
        <w:pStyle w:val="ListParagraph"/>
        <w:numPr>
          <w:ilvl w:val="0"/>
          <w:numId w:val="3"/>
        </w:numPr>
        <w:ind w:left="426" w:hanging="426"/>
        <w:rPr>
          <w:rFonts w:ascii="Calibri" w:hAnsi="Calibri"/>
        </w:rPr>
      </w:pPr>
      <w:r w:rsidRPr="00C16012">
        <w:rPr>
          <w:rFonts w:ascii="Calibri" w:hAnsi="Calibri"/>
        </w:rPr>
        <w:t xml:space="preserve">The reported dose for a monitor clearly marked as being an </w:t>
      </w:r>
      <w:r w:rsidRPr="00C16012">
        <w:rPr>
          <w:rFonts w:ascii="Calibri" w:hAnsi="Calibri"/>
          <w:b/>
        </w:rPr>
        <w:t>ENVIRONMENTAL</w:t>
      </w:r>
      <w:r w:rsidRPr="00C16012">
        <w:rPr>
          <w:rFonts w:ascii="Calibri" w:hAnsi="Calibri"/>
        </w:rPr>
        <w:t xml:space="preserve"> monitor will be the total dose received minus a component which takes into account the transit dose received whilst the monitor was not at the monitoring position. It is therefore important that the inclusive dates for which the monitor was in position are listed. The default period will be the recommended wearing period.</w:t>
      </w:r>
    </w:p>
    <w:p w:rsidR="00074BFC" w:rsidRPr="00AB7D70" w:rsidRDefault="0077388A" w:rsidP="00AB7D70">
      <w:pPr>
        <w:rPr>
          <w:rFonts w:ascii="Calibri" w:hAnsi="Calibri"/>
          <w:spacing w:val="-4"/>
        </w:rPr>
      </w:pPr>
      <w:r w:rsidRPr="00AB7D70">
        <w:rPr>
          <w:spacing w:val="-4"/>
        </w:rPr>
        <w:t xml:space="preserve">Your </w:t>
      </w:r>
      <w:proofErr w:type="spellStart"/>
      <w:r w:rsidRPr="00AB7D70">
        <w:rPr>
          <w:spacing w:val="-4"/>
        </w:rPr>
        <w:t>BeO</w:t>
      </w:r>
      <w:proofErr w:type="spellEnd"/>
      <w:r w:rsidRPr="00AB7D70">
        <w:rPr>
          <w:spacing w:val="-4"/>
        </w:rPr>
        <w:t xml:space="preserve"> OSL monitor</w:t>
      </w:r>
      <w:r w:rsidR="00371034" w:rsidRPr="00AB7D70">
        <w:rPr>
          <w:spacing w:val="-4"/>
        </w:rPr>
        <w:t xml:space="preserve"> should be returned to the Personal Radiation Monitoring Service immediately after the end of the wearing period together with the appropriate Monitor Details Form. There is a </w:t>
      </w:r>
      <w:r w:rsidR="00371034" w:rsidRPr="00AB7D70">
        <w:rPr>
          <w:b/>
          <w:spacing w:val="-4"/>
        </w:rPr>
        <w:t>charge</w:t>
      </w:r>
      <w:r w:rsidR="00371034" w:rsidRPr="00AB7D70">
        <w:rPr>
          <w:spacing w:val="-4"/>
        </w:rPr>
        <w:t xml:space="preserve"> for non-returned or irreparably damaged monitors. This charge is listed on the schedule of charges. </w:t>
      </w:r>
    </w:p>
    <w:p w:rsidR="00A23F5B" w:rsidRPr="00A23F5B" w:rsidRDefault="00256684" w:rsidP="00256684">
      <w:pPr>
        <w:pStyle w:val="Caption"/>
        <w:ind w:left="142"/>
      </w:pPr>
      <w:r>
        <w:rPr>
          <w:noProof/>
        </w:rPr>
        <mc:AlternateContent>
          <mc:Choice Requires="wpg">
            <w:drawing>
              <wp:anchor distT="0" distB="0" distL="114300" distR="114300" simplePos="0" relativeHeight="251670528" behindDoc="0" locked="0" layoutInCell="1" allowOverlap="1" wp14:anchorId="3D0E1BE0" wp14:editId="61502947">
                <wp:simplePos x="0" y="0"/>
                <wp:positionH relativeFrom="column">
                  <wp:posOffset>237490</wp:posOffset>
                </wp:positionH>
                <wp:positionV relativeFrom="paragraph">
                  <wp:posOffset>125730</wp:posOffset>
                </wp:positionV>
                <wp:extent cx="3479800" cy="3317875"/>
                <wp:effectExtent l="0" t="0" r="25400" b="15875"/>
                <wp:wrapSquare wrapText="bothSides"/>
                <wp:docPr id="8" name="Group 8"/>
                <wp:cNvGraphicFramePr/>
                <a:graphic xmlns:a="http://schemas.openxmlformats.org/drawingml/2006/main">
                  <a:graphicData uri="http://schemas.microsoft.com/office/word/2010/wordprocessingGroup">
                    <wpg:wgp>
                      <wpg:cNvGrpSpPr/>
                      <wpg:grpSpPr>
                        <a:xfrm>
                          <a:off x="0" y="0"/>
                          <a:ext cx="3479800" cy="3317875"/>
                          <a:chOff x="0" y="0"/>
                          <a:chExt cx="3928110" cy="3745230"/>
                        </a:xfrm>
                      </wpg:grpSpPr>
                      <wps:wsp>
                        <wps:cNvPr id="4" name="Text Box 4"/>
                        <wps:cNvSpPr txBox="1"/>
                        <wps:spPr>
                          <a:xfrm>
                            <a:off x="7315" y="3306470"/>
                            <a:ext cx="1777593" cy="4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6684" w:rsidRPr="00256684" w:rsidRDefault="00256684" w:rsidP="00256684">
                              <w:pPr>
                                <w:spacing w:before="0" w:line="240" w:lineRule="auto"/>
                                <w:rPr>
                                  <w:b/>
                                  <w:color w:val="4F81BD" w:themeColor="accent1"/>
                                  <w:sz w:val="18"/>
                                </w:rPr>
                              </w:pPr>
                              <w:r w:rsidRPr="00256684">
                                <w:rPr>
                                  <w:b/>
                                  <w:color w:val="4F81BD" w:themeColor="accent1"/>
                                  <w:sz w:val="18"/>
                                </w:rPr>
                                <w:t>Natural Background/</w:t>
                              </w:r>
                              <w:r w:rsidRPr="00256684">
                                <w:rPr>
                                  <w:b/>
                                  <w:color w:val="4F81BD" w:themeColor="accent1"/>
                                  <w:sz w:val="18"/>
                                </w:rPr>
                                <w:br/>
                                <w:t xml:space="preserve">Control </w:t>
                              </w:r>
                              <w:proofErr w:type="gramStart"/>
                              <w:r w:rsidRPr="00256684">
                                <w:rPr>
                                  <w:b/>
                                  <w:color w:val="4F81BD" w:themeColor="accent1"/>
                                  <w:sz w:val="18"/>
                                </w:rPr>
                                <w:t>A</w:t>
                              </w:r>
                              <w:proofErr w:type="gramEnd"/>
                              <w:r w:rsidRPr="00256684">
                                <w:rPr>
                                  <w:b/>
                                  <w:color w:val="4F81BD" w:themeColor="accent1"/>
                                  <w:sz w:val="18"/>
                                </w:rPr>
                                <w:t xml:space="preserve"> monitor Storage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Donut 2"/>
                        <wps:cNvSpPr/>
                        <wps:spPr>
                          <a:xfrm>
                            <a:off x="168250" y="80467"/>
                            <a:ext cx="3635375" cy="3373755"/>
                          </a:xfrm>
                          <a:prstGeom prst="donut">
                            <a:avLst>
                              <a:gd name="adj" fmla="val 19756"/>
                            </a:avLst>
                          </a:prstGeom>
                          <a:solidFill>
                            <a:srgbClr val="159B8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177751" y="1675181"/>
                            <a:ext cx="1719860" cy="346888"/>
                          </a:xfrm>
                          <a:prstGeom prst="rect">
                            <a:avLst/>
                          </a:prstGeom>
                          <a:solidFill>
                            <a:srgbClr val="FFFFFF">
                              <a:alpha val="0"/>
                            </a:srgbClr>
                          </a:solidFill>
                          <a:ln w="9525">
                            <a:noFill/>
                            <a:miter lim="800000"/>
                            <a:headEnd/>
                            <a:tailEnd/>
                          </a:ln>
                        </wps:spPr>
                        <wps:txbx>
                          <w:txbxContent>
                            <w:p w:rsidR="00256684" w:rsidRPr="00256684" w:rsidRDefault="00256684" w:rsidP="00256684">
                              <w:pPr>
                                <w:spacing w:before="0" w:line="240" w:lineRule="auto"/>
                                <w:rPr>
                                  <w:b/>
                                  <w:color w:val="4F81BD" w:themeColor="accent1"/>
                                  <w:sz w:val="18"/>
                                </w:rPr>
                              </w:pPr>
                              <w:r w:rsidRPr="00256684">
                                <w:rPr>
                                  <w:b/>
                                  <w:color w:val="4F81BD" w:themeColor="accent1"/>
                                  <w:sz w:val="18"/>
                                </w:rPr>
                                <w:t>Mine/Ore Body/Stock Pile</w:t>
                              </w:r>
                            </w:p>
                          </w:txbxContent>
                        </wps:txbx>
                        <wps:bodyPr rot="0" vert="horz" wrap="square" lIns="91440" tIns="45720" rIns="91440" bIns="45720" anchor="t" anchorCtr="0">
                          <a:noAutofit/>
                        </wps:bodyPr>
                      </wps:wsp>
                      <wps:wsp>
                        <wps:cNvPr id="3" name="Text Box 3"/>
                        <wps:cNvSpPr txBox="1"/>
                        <wps:spPr>
                          <a:xfrm>
                            <a:off x="1221638" y="2830982"/>
                            <a:ext cx="1739976" cy="469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6684" w:rsidRPr="00256684" w:rsidRDefault="00256684" w:rsidP="00256684">
                              <w:pPr>
                                <w:spacing w:before="0" w:line="240" w:lineRule="auto"/>
                                <w:rPr>
                                  <w:b/>
                                  <w:color w:val="FFFFFF" w:themeColor="background1"/>
                                  <w:sz w:val="18"/>
                                </w:rPr>
                              </w:pPr>
                              <w:proofErr w:type="gramStart"/>
                              <w:r w:rsidRPr="00256684">
                                <w:rPr>
                                  <w:b/>
                                  <w:color w:val="FFFFFF" w:themeColor="background1"/>
                                  <w:sz w:val="18"/>
                                </w:rPr>
                                <w:t>Change Room/Control B, C, D etc.</w:t>
                              </w:r>
                              <w:proofErr w:type="gramEnd"/>
                              <w:r w:rsidRPr="00256684">
                                <w:rPr>
                                  <w:b/>
                                  <w:color w:val="FFFFFF" w:themeColor="background1"/>
                                  <w:sz w:val="18"/>
                                </w:rPr>
                                <w:t xml:space="preserve"> Monitor Storage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0" y="0"/>
                            <a:ext cx="3928110" cy="374523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left:0;text-align:left;margin-left:18.7pt;margin-top:9.9pt;width:274pt;height:261.25pt;z-index:251670528;mso-width-relative:margin;mso-height-relative:margin" coordsize="39281,3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">
                <v:shapetype id="_x0000_t202" coordsize="21600,21600" o:spt="202" path="m,l,21600r21600,l21600,xe">
                  <v:stroke joinstyle="miter"/>
                  <v:path gradientshapeok="t" o:connecttype="rect"/>
                </v:shapetype>
                <v:shape id="Text Box 4" o:spid="_x0000_s1027" type="#_x0000_t202" style="position:absolute;left:73;top:33064;width:17776;height:4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256684" w:rsidRPr="00256684" w:rsidRDefault="00256684" w:rsidP="00256684">
                        <w:pPr>
                          <w:spacing w:before="0" w:line="240" w:lineRule="auto"/>
                          <w:rPr>
                            <w:b/>
                            <w:color w:val="4F81BD" w:themeColor="accent1"/>
                            <w:sz w:val="18"/>
                          </w:rPr>
                        </w:pPr>
                        <w:r w:rsidRPr="00256684">
                          <w:rPr>
                            <w:b/>
                            <w:color w:val="4F81BD" w:themeColor="accent1"/>
                            <w:sz w:val="18"/>
                          </w:rPr>
                          <w:t>Natural Background/</w:t>
                        </w:r>
                        <w:r w:rsidRPr="00256684">
                          <w:rPr>
                            <w:b/>
                            <w:color w:val="4F81BD" w:themeColor="accent1"/>
                            <w:sz w:val="18"/>
                          </w:rPr>
                          <w:br/>
                          <w:t xml:space="preserve">Control </w:t>
                        </w:r>
                        <w:proofErr w:type="gramStart"/>
                        <w:r w:rsidRPr="00256684">
                          <w:rPr>
                            <w:b/>
                            <w:color w:val="4F81BD" w:themeColor="accent1"/>
                            <w:sz w:val="18"/>
                          </w:rPr>
                          <w:t>A</w:t>
                        </w:r>
                        <w:proofErr w:type="gramEnd"/>
                        <w:r w:rsidRPr="00256684">
                          <w:rPr>
                            <w:b/>
                            <w:color w:val="4F81BD" w:themeColor="accent1"/>
                            <w:sz w:val="18"/>
                          </w:rPr>
                          <w:t xml:space="preserve"> monitor Storage </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 o:spid="_x0000_s1028" type="#_x0000_t23" style="position:absolute;left:1682;top:804;width:36354;height:33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1c+cMA&#10;AADaAAAADwAAAGRycy9kb3ducmV2LnhtbESPQYvCMBSE78L+h/AWvMia6kGXahRZWFD3IGo9eHs0&#10;z7bavNQm2u6/N4LgcZiZb5jpvDWluFPtCssKBv0IBHFqdcGZgmT/+/UNwnlkjaVlUvBPDuazj84U&#10;Y20b3tJ95zMRIOxiVJB7X8VSujQng65vK+LgnWxt0AdZZ1LX2AS4KeUwikbSYMFhIceKfnJKL7ub&#10;UdC7bv5WRzq045uxo0OTrhN5RqW6n+1iAsJT69/hV3upFQzh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1c+cMAAADaAAAADwAAAAAAAAAAAAAAAACYAgAAZHJzL2Rv&#10;d25yZXYueG1sUEsFBgAAAAAEAAQA9QAAAIgDAAAAAA==&#10;" adj="3960" fillcolor="#159b8b" strokecolor="#243f60 [1604]" strokeweight="2pt"/>
                <v:shape id="Text Box 2" o:spid="_x0000_s1029" type="#_x0000_t202" style="position:absolute;left:11777;top:16751;width:17199;height:3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bisUA&#10;AADcAAAADwAAAGRycy9kb3ducmV2LnhtbESPW2vCQBCF34X+h2UKvpS60UINqRsRUWhBBdP2fZKd&#10;5mJ2NmS3Gv+9Wyj4eDiXj7NYDqYVZ+pdbVnBdBKBIC6srrlU8PW5fY5BOI+ssbVMCq7kYJk+jBaY&#10;aHvhI50zX4owwi5BBZX3XSKlKyoy6Ca2Iw7ej+0N+iD7UuoeL2HctHIWRa/SYM2BUGFH64qKU/Zr&#10;AnczxN13vls3H9lT3swOXO9jVmr8OKzeQHga/D38337XCl6iOfydCU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ytuKxQAAANwAAAAPAAAAAAAAAAAAAAAAAJgCAABkcnMv&#10;ZG93bnJldi54bWxQSwUGAAAAAAQABAD1AAAAigMAAAAA&#10;" stroked="f">
                  <v:fill opacity="0"/>
                  <v:textbox>
                    <w:txbxContent>
                      <w:p w:rsidR="00256684" w:rsidRPr="00256684" w:rsidRDefault="00256684" w:rsidP="00256684">
                        <w:pPr>
                          <w:spacing w:before="0" w:line="240" w:lineRule="auto"/>
                          <w:rPr>
                            <w:b/>
                            <w:color w:val="4F81BD" w:themeColor="accent1"/>
                            <w:sz w:val="18"/>
                          </w:rPr>
                        </w:pPr>
                        <w:r w:rsidRPr="00256684">
                          <w:rPr>
                            <w:b/>
                            <w:color w:val="4F81BD" w:themeColor="accent1"/>
                            <w:sz w:val="18"/>
                          </w:rPr>
                          <w:t>Mine/Ore Body/Stock Pile</w:t>
                        </w:r>
                      </w:p>
                    </w:txbxContent>
                  </v:textbox>
                </v:shape>
                <v:shape id="Text Box 3" o:spid="_x0000_s1030" type="#_x0000_t202" style="position:absolute;left:12216;top:28309;width:17400;height:4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256684" w:rsidRPr="00256684" w:rsidRDefault="00256684" w:rsidP="00256684">
                        <w:pPr>
                          <w:spacing w:before="0" w:line="240" w:lineRule="auto"/>
                          <w:rPr>
                            <w:b/>
                            <w:color w:val="FFFFFF" w:themeColor="background1"/>
                            <w:sz w:val="18"/>
                          </w:rPr>
                        </w:pPr>
                        <w:proofErr w:type="gramStart"/>
                        <w:r w:rsidRPr="00256684">
                          <w:rPr>
                            <w:b/>
                            <w:color w:val="FFFFFF" w:themeColor="background1"/>
                            <w:sz w:val="18"/>
                          </w:rPr>
                          <w:t>Change Room/Control B, C, D etc.</w:t>
                        </w:r>
                        <w:proofErr w:type="gramEnd"/>
                        <w:r w:rsidRPr="00256684">
                          <w:rPr>
                            <w:b/>
                            <w:color w:val="FFFFFF" w:themeColor="background1"/>
                            <w:sz w:val="18"/>
                          </w:rPr>
                          <w:t xml:space="preserve"> Monitor Storage </w:t>
                        </w:r>
                      </w:p>
                    </w:txbxContent>
                  </v:textbox>
                </v:shape>
                <v:rect id="Rectangle 7" o:spid="_x0000_s1031" style="position:absolute;width:39281;height:37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8D8MA&#10;AADaAAAADwAAAGRycy9kb3ducmV2LnhtbESPQYvCMBSE7wv+h/AEb5q6B5VqFCnIehDUKoK3R/Ns&#10;i81LbaJWf71ZWNjjMDPfMLNFayrxoMaVlhUMBxEI4szqknMFx8OqPwHhPLLGyjIpeJGDxbzzNcNY&#10;2yfv6ZH6XAQIuxgVFN7XsZQuK8igG9iaOHgX2xj0QTa51A0+A9xU8juKRtJgyWGhwJqSgrJrejcK&#10;op96u8uWyao8beTuXL3T2/iSKNXrtsspCE+t/w//tddawRh+r4QbIO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8D8MAAADaAAAADwAAAAAAAAAAAAAAAACYAgAAZHJzL2Rv&#10;d25yZXYueG1sUEsFBgAAAAAEAAQA9QAAAIgDAAAAAA==&#10;" filled="f" strokecolor="#4f81bd [3204]" strokeweight=".5pt"/>
                <w10:wrap type="square"/>
              </v:group>
            </w:pict>
          </mc:Fallback>
        </mc:AlternateContent>
      </w:r>
      <w:r w:rsidR="00074BFC">
        <w:t>Figure</w:t>
      </w:r>
      <w:r w:rsidR="00AF301A">
        <w:t xml:space="preserve"> 1</w:t>
      </w:r>
      <w:r w:rsidR="00074BFC">
        <w:rPr>
          <w:noProof/>
        </w:rPr>
        <w:t xml:space="preserve">: </w:t>
      </w:r>
      <w:r w:rsidR="00074BFC">
        <w:t xml:space="preserve"> Storage</w:t>
      </w:r>
      <w:r w:rsidR="00AF301A">
        <w:t xml:space="preserve"> l</w:t>
      </w:r>
      <w:r w:rsidR="00074BFC">
        <w:t xml:space="preserve">ocation of </w:t>
      </w:r>
      <w:r w:rsidR="00AF301A">
        <w:t>c</w:t>
      </w:r>
      <w:r w:rsidR="00074BFC">
        <w:t xml:space="preserve">ontrols and </w:t>
      </w:r>
      <w:r w:rsidR="00AF301A">
        <w:t>m</w:t>
      </w:r>
      <w:r w:rsidR="00074BFC">
        <w:t>onitors</w:t>
      </w:r>
    </w:p>
    <w:p w:rsidR="00AF301A" w:rsidRDefault="00AF301A" w:rsidP="00390555">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rPr>
      </w:pPr>
      <w:r>
        <w:rPr>
          <w:noProof/>
        </w:rPr>
        <w:lastRenderedPageBreak/>
        <w:drawing>
          <wp:inline distT="0" distB="0" distL="0" distR="0" wp14:anchorId="1CA72E72" wp14:editId="54AD8303">
            <wp:extent cx="4903126" cy="3108960"/>
            <wp:effectExtent l="19050" t="19050" r="1206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8582"/>
                    <a:stretch/>
                  </pic:blipFill>
                  <pic:spPr bwMode="auto">
                    <a:xfrm>
                      <a:off x="0" y="0"/>
                      <a:ext cx="4917873" cy="3118311"/>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AF301A" w:rsidRDefault="00AF301A" w:rsidP="00390555">
      <w:pPr>
        <w:pStyle w:val="Caption"/>
        <w:ind w:left="709"/>
        <w:rPr>
          <w:rFonts w:ascii="Calibri" w:hAnsi="Calibri"/>
        </w:rPr>
      </w:pPr>
      <w:r>
        <w:t>Figure 2</w:t>
      </w:r>
      <w:r>
        <w:rPr>
          <w:noProof/>
        </w:rPr>
        <w:t xml:space="preserve">: </w:t>
      </w:r>
      <w:r>
        <w:t xml:space="preserve"> Multiple controls </w:t>
      </w:r>
    </w:p>
    <w:p w:rsidR="00FB6DDD" w:rsidRDefault="00FB6DDD" w:rsidP="00AF301A">
      <w:r>
        <w:t xml:space="preserve">Figure </w:t>
      </w:r>
      <w:r w:rsidR="009D3BBE">
        <w:t>2</w:t>
      </w:r>
      <w:r>
        <w:t xml:space="preserve"> demonstrates the problem. The grey shaded area is the exposure received by Control A, the green area is the extra exposure received by Control B above the Control </w:t>
      </w:r>
      <w:proofErr w:type="gramStart"/>
      <w:r>
        <w:t>A</w:t>
      </w:r>
      <w:proofErr w:type="gramEnd"/>
      <w:r>
        <w:t xml:space="preserve"> exposure, due to the higher background area in which it is stored. The white area is the occupational dose that the wearer received. The total number of hours worked in the wearing period by the wearer is also required.</w:t>
      </w:r>
    </w:p>
    <w:p w:rsidR="00FB6DDD" w:rsidRDefault="00FB6DDD" w:rsidP="00A23F5B">
      <w:r>
        <w:t xml:space="preserve">The </w:t>
      </w:r>
      <w:r w:rsidRPr="00A23F5B">
        <w:t>wearer</w:t>
      </w:r>
      <w:r>
        <w:t xml:space="preserve"> dose is calculated in the following manner:</w:t>
      </w:r>
    </w:p>
    <w:p w:rsidR="00FB6DDD" w:rsidRDefault="00A23F5B" w:rsidP="00FB6DDD">
      <w:pPr>
        <w:jc w:val="center"/>
      </w:pPr>
      <w:r w:rsidRPr="00A23F5B">
        <w:rPr>
          <w:position w:val="-24"/>
        </w:rPr>
        <w:object w:dxaOrig="4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8pt;height:31.1pt" o:ole="" fillcolor="window">
            <v:imagedata r:id="rId10" o:title=""/>
          </v:shape>
          <o:OLEObject Type="Embed" ProgID="Equation.3" ShapeID="_x0000_i1025" DrawAspect="Content" ObjectID="_1538551981" r:id="rId11"/>
        </w:object>
      </w:r>
    </w:p>
    <w:p w:rsidR="00FB6DDD" w:rsidRPr="00A23F5B" w:rsidRDefault="00FB6DDD" w:rsidP="00A23F5B">
      <w:pPr>
        <w:tabs>
          <w:tab w:val="left" w:pos="1418"/>
        </w:tabs>
        <w:ind w:left="993" w:hanging="993"/>
      </w:pPr>
      <w:r w:rsidRPr="00A23F5B">
        <w:t>where:</w:t>
      </w:r>
      <w:r w:rsidRPr="00A23F5B">
        <w:tab/>
        <w:t>R</w:t>
      </w:r>
      <w:r w:rsidRPr="00A23F5B">
        <w:tab/>
        <w:t>is the total dose recorded by the worn monitor</w:t>
      </w:r>
      <w:r w:rsidR="00A23F5B">
        <w:br/>
      </w:r>
      <w:r w:rsidRPr="00A23F5B">
        <w:t>CB</w:t>
      </w:r>
      <w:r w:rsidRPr="00A23F5B">
        <w:tab/>
        <w:t>is the dose recorded by the Control B monitor</w:t>
      </w:r>
      <w:r w:rsidR="00A23F5B">
        <w:br/>
      </w:r>
      <w:r w:rsidRPr="00A23F5B">
        <w:t>CA</w:t>
      </w:r>
      <w:r w:rsidRPr="00A23F5B">
        <w:tab/>
        <w:t>is the dose recorded by the Control A monitor</w:t>
      </w:r>
      <w:r w:rsidR="00A23F5B">
        <w:br/>
      </w:r>
      <w:r w:rsidRPr="00A23F5B">
        <w:t>WP</w:t>
      </w:r>
      <w:r w:rsidRPr="00A23F5B">
        <w:tab/>
        <w:t>is the wearing period in weeks (168 hours per week)</w:t>
      </w:r>
      <w:r w:rsidR="00A23F5B">
        <w:br/>
      </w:r>
      <w:r w:rsidRPr="00A23F5B">
        <w:t>TSH</w:t>
      </w:r>
      <w:r w:rsidRPr="00A23F5B">
        <w:tab/>
        <w:t>is the total number of hours worked during the wearing period</w:t>
      </w:r>
    </w:p>
    <w:p w:rsidR="002F73CB" w:rsidRPr="00A23F5B" w:rsidRDefault="002F73CB" w:rsidP="00A23F5B">
      <w:pPr>
        <w:pStyle w:val="Heading1"/>
      </w:pPr>
      <w:bookmarkStart w:id="1" w:name="_Toc206294964"/>
      <w:r w:rsidRPr="00A23F5B">
        <w:t>Environmental Monitor</w:t>
      </w:r>
      <w:bookmarkEnd w:id="1"/>
    </w:p>
    <w:p w:rsidR="002F73CB" w:rsidRDefault="002F73CB" w:rsidP="00A23F5B">
      <w:r>
        <w:t xml:space="preserve">Monitor </w:t>
      </w:r>
      <w:r w:rsidRPr="00A23F5B">
        <w:t>can</w:t>
      </w:r>
      <w:r>
        <w:t xml:space="preserve"> also be used to measure the environmental dose at a site. The environmental dose is the total photon dose recorded at the site for the period that the monitor is in place and includes the normal background radiation.</w:t>
      </w:r>
    </w:p>
    <w:p w:rsidR="002F73CB" w:rsidRDefault="002F73CB" w:rsidP="00256684">
      <w:r>
        <w:t xml:space="preserve">The </w:t>
      </w:r>
      <w:r w:rsidRPr="00256684">
        <w:t>Control</w:t>
      </w:r>
      <w:r>
        <w:t xml:space="preserve"> A is used to measure the dose received by the environmental monitor during transit.</w:t>
      </w:r>
    </w:p>
    <w:p w:rsidR="005F664F" w:rsidRDefault="005F664F">
      <w:pPr>
        <w:spacing w:before="0" w:line="240" w:lineRule="auto"/>
        <w:rPr>
          <w:rFonts w:ascii="Georgia" w:hAnsi="Georgia"/>
        </w:rPr>
      </w:pPr>
      <w:r>
        <w:br w:type="page"/>
      </w:r>
    </w:p>
    <w:p w:rsidR="00256684" w:rsidRDefault="00256684" w:rsidP="00390555">
      <w:pPr>
        <w:pStyle w:val="BodyText2"/>
        <w:jc w:val="center"/>
      </w:pPr>
      <w:r>
        <w:rPr>
          <w:noProof/>
        </w:rPr>
        <w:lastRenderedPageBreak/>
        <w:drawing>
          <wp:inline distT="0" distB="0" distL="0" distR="0" wp14:anchorId="03B44FFC" wp14:editId="70066FF7">
            <wp:extent cx="4905706" cy="3476616"/>
            <wp:effectExtent l="19050" t="19050" r="9525" b="101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11751" cy="3480900"/>
                    </a:xfrm>
                    <a:prstGeom prst="rect">
                      <a:avLst/>
                    </a:prstGeom>
                    <a:ln>
                      <a:solidFill>
                        <a:schemeClr val="accent1"/>
                      </a:solidFill>
                    </a:ln>
                  </pic:spPr>
                </pic:pic>
              </a:graphicData>
            </a:graphic>
          </wp:inline>
        </w:drawing>
      </w:r>
    </w:p>
    <w:p w:rsidR="00256684" w:rsidRDefault="00256684" w:rsidP="00390555">
      <w:pPr>
        <w:pStyle w:val="Caption"/>
        <w:ind w:left="567"/>
        <w:rPr>
          <w:rFonts w:ascii="Calibri" w:hAnsi="Calibri"/>
        </w:rPr>
      </w:pPr>
      <w:r>
        <w:t>Figure 3</w:t>
      </w:r>
      <w:r>
        <w:rPr>
          <w:noProof/>
        </w:rPr>
        <w:t xml:space="preserve">: </w:t>
      </w:r>
      <w:r>
        <w:t xml:space="preserve"> Calculation of environmental </w:t>
      </w:r>
      <w:r w:rsidR="00390555">
        <w:t>dose</w:t>
      </w:r>
    </w:p>
    <w:p w:rsidR="002F73CB" w:rsidRDefault="002F73CB" w:rsidP="00390555">
      <w:r>
        <w:t xml:space="preserve">Figure </w:t>
      </w:r>
      <w:r w:rsidR="009D3BBE">
        <w:t>3</w:t>
      </w:r>
      <w:r>
        <w:t xml:space="preserve"> demonstrates the calculation of the environmental dose, where the green shaded area is the total environmental exposure measured and the grey area is the exposure received by the Control A during transit. </w:t>
      </w:r>
    </w:p>
    <w:p w:rsidR="002F73CB" w:rsidRDefault="002F73CB" w:rsidP="00390555">
      <w:r>
        <w:t xml:space="preserve">The </w:t>
      </w:r>
      <w:r w:rsidRPr="00390555">
        <w:t>environmental</w:t>
      </w:r>
      <w:r>
        <w:t xml:space="preserve"> dose is calculated in the following manner:</w:t>
      </w:r>
    </w:p>
    <w:p w:rsidR="002F73CB" w:rsidRDefault="00390555" w:rsidP="002F73CB">
      <w:pPr>
        <w:jc w:val="center"/>
      </w:pPr>
      <w:r w:rsidRPr="00390555">
        <w:rPr>
          <w:position w:val="-24"/>
        </w:rPr>
        <w:object w:dxaOrig="3000" w:dyaOrig="620">
          <v:shape id="_x0000_i1026" type="#_x0000_t75" style="width:149.75pt;height:31.1pt" o:ole="" fillcolor="window">
            <v:imagedata r:id="rId13" o:title=""/>
          </v:shape>
          <o:OLEObject Type="Embed" ProgID="Equation.3" ShapeID="_x0000_i1026" DrawAspect="Content" ObjectID="_1538551982" r:id="rId14"/>
        </w:object>
      </w:r>
    </w:p>
    <w:p w:rsidR="00390555" w:rsidRDefault="002F73CB" w:rsidP="00390555">
      <w:pPr>
        <w:tabs>
          <w:tab w:val="left" w:pos="1418"/>
        </w:tabs>
        <w:ind w:left="851" w:hanging="851"/>
      </w:pPr>
      <w:proofErr w:type="gramStart"/>
      <w:r w:rsidRPr="00390555">
        <w:t>where</w:t>
      </w:r>
      <w:proofErr w:type="gramEnd"/>
      <w:r w:rsidRPr="00390555">
        <w:t>:</w:t>
      </w:r>
      <w:r w:rsidRPr="00390555">
        <w:tab/>
        <w:t>R</w:t>
      </w:r>
      <w:r w:rsidRPr="00390555">
        <w:tab/>
        <w:t>is the total dose recorded by the environmental monitor</w:t>
      </w:r>
    </w:p>
    <w:p w:rsidR="00390555" w:rsidRDefault="002F73CB" w:rsidP="00390555">
      <w:pPr>
        <w:spacing w:before="0"/>
        <w:ind w:left="1418" w:hanging="567"/>
      </w:pPr>
      <w:r w:rsidRPr="00390555">
        <w:t>CA</w:t>
      </w:r>
      <w:r w:rsidRPr="00390555">
        <w:tab/>
        <w:t xml:space="preserve">is the dose recorded by the Control </w:t>
      </w:r>
      <w:proofErr w:type="gramStart"/>
      <w:r w:rsidRPr="00390555">
        <w:t>A</w:t>
      </w:r>
      <w:proofErr w:type="gramEnd"/>
      <w:r w:rsidRPr="00390555">
        <w:t xml:space="preserve"> monitor</w:t>
      </w:r>
    </w:p>
    <w:p w:rsidR="00390555" w:rsidRDefault="002F73CB" w:rsidP="00390555">
      <w:pPr>
        <w:spacing w:before="0"/>
        <w:ind w:left="1418" w:hanging="567"/>
      </w:pPr>
      <w:r w:rsidRPr="00390555">
        <w:t>WP</w:t>
      </w:r>
      <w:r w:rsidRPr="00390555">
        <w:tab/>
        <w:t>is the wearing period in weeks</w:t>
      </w:r>
    </w:p>
    <w:p w:rsidR="002F73CB" w:rsidRPr="00390555" w:rsidRDefault="002F73CB" w:rsidP="00390555">
      <w:pPr>
        <w:spacing w:before="0"/>
        <w:ind w:left="1418" w:hanging="567"/>
      </w:pPr>
      <w:r w:rsidRPr="00390555">
        <w:t>ANR</w:t>
      </w:r>
      <w:r w:rsidRPr="00390555">
        <w:tab/>
        <w:t>is the period, in weeks, between the date of preparation of the monitor and the</w:t>
      </w:r>
      <w:r w:rsidR="00390555">
        <w:t xml:space="preserve"> </w:t>
      </w:r>
      <w:r w:rsidRPr="00390555">
        <w:t>date that it is read out.</w:t>
      </w:r>
    </w:p>
    <w:p w:rsidR="002F73CB" w:rsidRPr="00525373" w:rsidRDefault="002F73CB" w:rsidP="00390555">
      <w:pPr>
        <w:pStyle w:val="Heading1"/>
      </w:pPr>
      <w:r w:rsidRPr="00525373">
        <w:t>Naming Control Monitors</w:t>
      </w:r>
    </w:p>
    <w:p w:rsidR="002F73CB" w:rsidRDefault="002F73CB" w:rsidP="00390555">
      <w:r>
        <w:t xml:space="preserve">You can </w:t>
      </w:r>
      <w:r w:rsidRPr="00390555">
        <w:t>rename</w:t>
      </w:r>
      <w:r>
        <w:t xml:space="preserve"> you control monitors</w:t>
      </w:r>
      <w:r w:rsidR="002F79CC">
        <w:t xml:space="preserve"> to </w:t>
      </w:r>
      <w:r w:rsidR="00525373">
        <w:t>something</w:t>
      </w:r>
      <w:r w:rsidR="002F79CC">
        <w:t xml:space="preserve"> that is meaningful.</w:t>
      </w:r>
      <w:r w:rsidR="005F664F">
        <w:t xml:space="preserve"> </w:t>
      </w:r>
      <w:r w:rsidR="006958C9">
        <w:t>(RECOMMENDED)</w:t>
      </w:r>
    </w:p>
    <w:p w:rsidR="002F73CB" w:rsidRDefault="002F73CB" w:rsidP="00390555">
      <w:r>
        <w:t xml:space="preserve">For example you may rename Control A to </w:t>
      </w:r>
      <w:r w:rsidR="00957DE9">
        <w:t>something</w:t>
      </w:r>
      <w:r>
        <w:t xml:space="preserve"> more useful such as </w:t>
      </w:r>
      <w:r w:rsidR="00957DE9">
        <w:t>Control Administration Office and Control B to</w:t>
      </w:r>
      <w:r w:rsidR="00957DE9" w:rsidRPr="00957DE9">
        <w:t xml:space="preserve"> </w:t>
      </w:r>
      <w:r w:rsidR="00957DE9">
        <w:t xml:space="preserve">Control Mine Change Room and Control C Processing Plant Change Rooms. However the relationship should remain the same as control A and Control B </w:t>
      </w:r>
      <w:r w:rsidR="002F79CC">
        <w:t>as described above</w:t>
      </w:r>
      <w:r w:rsidR="00957DE9">
        <w:t>.</w:t>
      </w:r>
    </w:p>
    <w:p w:rsidR="006958C9" w:rsidRDefault="006958C9" w:rsidP="00390555">
      <w:r>
        <w:t xml:space="preserve">If you have any questions relating to the use of </w:t>
      </w:r>
      <w:r w:rsidR="005D3EF8">
        <w:t>multiple</w:t>
      </w:r>
      <w:r>
        <w:t xml:space="preserve"> control </w:t>
      </w:r>
      <w:r w:rsidR="005D3EF8">
        <w:t>monitors</w:t>
      </w:r>
      <w:r>
        <w:t xml:space="preserve"> please d</w:t>
      </w:r>
      <w:r w:rsidR="005D3EF8">
        <w:t xml:space="preserve">o not hesitate to contact the PRMS at </w:t>
      </w:r>
      <w:hyperlink r:id="rId15" w:history="1">
        <w:r w:rsidR="005D3EF8" w:rsidRPr="00C66684">
          <w:rPr>
            <w:rStyle w:val="Hyperlink"/>
            <w:rFonts w:ascii="Calibri" w:hAnsi="Calibri"/>
          </w:rPr>
          <w:t>prms@arpansa.gov.au</w:t>
        </w:r>
      </w:hyperlink>
      <w:r w:rsidR="00390555">
        <w:t>.</w:t>
      </w:r>
    </w:p>
    <w:sectPr w:rsidR="006958C9" w:rsidSect="005F664F">
      <w:footerReference w:type="default" r:id="rId16"/>
      <w:headerReference w:type="first" r:id="rId17"/>
      <w:footerReference w:type="first" r:id="rId18"/>
      <w:pgSz w:w="11906" w:h="16838" w:code="9"/>
      <w:pgMar w:top="1418" w:right="1418" w:bottom="1560" w:left="1418" w:header="426" w:footer="306"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67B" w:rsidRDefault="0001667B">
      <w:r>
        <w:separator/>
      </w:r>
    </w:p>
  </w:endnote>
  <w:endnote w:type="continuationSeparator" w:id="0">
    <w:p w:rsidR="0001667B" w:rsidRDefault="0001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furtGothicHeavy">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84" w:rsidRPr="00256684" w:rsidRDefault="00256684" w:rsidP="00256684">
    <w:pPr>
      <w:pStyle w:val="Footer"/>
      <w:pBdr>
        <w:top w:val="single" w:sz="4" w:space="4" w:color="auto"/>
      </w:pBdr>
      <w:tabs>
        <w:tab w:val="clear" w:pos="4153"/>
        <w:tab w:val="clear" w:pos="8306"/>
        <w:tab w:val="center" w:pos="4820"/>
        <w:tab w:val="right" w:pos="9072"/>
      </w:tabs>
      <w:rPr>
        <w:i/>
        <w:sz w:val="18"/>
      </w:rPr>
    </w:pPr>
    <w:r w:rsidRPr="00074BFC">
      <w:rPr>
        <w:i/>
        <w:sz w:val="18"/>
      </w:rPr>
      <w:t xml:space="preserve">PRMS-FORM-1100E </w:t>
    </w:r>
    <w:r w:rsidRPr="00074BFC">
      <w:rPr>
        <w:i/>
        <w:sz w:val="18"/>
      </w:rPr>
      <w:tab/>
      <w:t>October 2016</w:t>
    </w:r>
    <w:r w:rsidRPr="00074BFC">
      <w:rPr>
        <w:i/>
        <w:sz w:val="18"/>
      </w:rPr>
      <w:tab/>
      <w:t xml:space="preserve">Page </w:t>
    </w:r>
    <w:r w:rsidRPr="00074BFC">
      <w:rPr>
        <w:i/>
        <w:sz w:val="18"/>
      </w:rPr>
      <w:fldChar w:fldCharType="begin"/>
    </w:r>
    <w:r w:rsidRPr="00074BFC">
      <w:rPr>
        <w:i/>
        <w:sz w:val="18"/>
      </w:rPr>
      <w:instrText xml:space="preserve"> PAGE  \* Arabic  \* MERGEFORMAT </w:instrText>
    </w:r>
    <w:r w:rsidRPr="00074BFC">
      <w:rPr>
        <w:i/>
        <w:sz w:val="18"/>
      </w:rPr>
      <w:fldChar w:fldCharType="separate"/>
    </w:r>
    <w:r w:rsidR="000505A8">
      <w:rPr>
        <w:i/>
        <w:noProof/>
        <w:sz w:val="18"/>
      </w:rPr>
      <w:t>4</w:t>
    </w:r>
    <w:r w:rsidRPr="00074BFC">
      <w:rPr>
        <w:i/>
        <w:sz w:val="18"/>
      </w:rPr>
      <w:fldChar w:fldCharType="end"/>
    </w:r>
    <w:r w:rsidRPr="00074BFC">
      <w:rPr>
        <w:i/>
        <w:sz w:val="18"/>
      </w:rPr>
      <w:t xml:space="preserve"> of </w:t>
    </w:r>
    <w:r w:rsidRPr="00074BFC">
      <w:rPr>
        <w:i/>
        <w:sz w:val="18"/>
      </w:rPr>
      <w:fldChar w:fldCharType="begin"/>
    </w:r>
    <w:r w:rsidRPr="00074BFC">
      <w:rPr>
        <w:i/>
        <w:sz w:val="18"/>
      </w:rPr>
      <w:instrText xml:space="preserve"> NUMPAGES  \* Arabic  \* MERGEFORMAT </w:instrText>
    </w:r>
    <w:r w:rsidRPr="00074BFC">
      <w:rPr>
        <w:i/>
        <w:sz w:val="18"/>
      </w:rPr>
      <w:fldChar w:fldCharType="separate"/>
    </w:r>
    <w:r w:rsidR="000505A8">
      <w:rPr>
        <w:i/>
        <w:noProof/>
        <w:sz w:val="18"/>
      </w:rPr>
      <w:t>4</w:t>
    </w:r>
    <w:r w:rsidRPr="00074BFC">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BFC" w:rsidRPr="00074BFC" w:rsidRDefault="00074BFC" w:rsidP="00074BFC">
    <w:pPr>
      <w:pStyle w:val="Footer"/>
      <w:pBdr>
        <w:top w:val="single" w:sz="4" w:space="4" w:color="auto"/>
      </w:pBdr>
      <w:tabs>
        <w:tab w:val="clear" w:pos="4153"/>
        <w:tab w:val="clear" w:pos="8306"/>
        <w:tab w:val="center" w:pos="4820"/>
        <w:tab w:val="right" w:pos="9072"/>
      </w:tabs>
      <w:rPr>
        <w:i/>
        <w:sz w:val="18"/>
      </w:rPr>
    </w:pPr>
    <w:r w:rsidRPr="00074BFC">
      <w:rPr>
        <w:i/>
        <w:sz w:val="18"/>
      </w:rPr>
      <w:t xml:space="preserve">PRMS-FORM-1100E </w:t>
    </w:r>
    <w:r w:rsidRPr="00074BFC">
      <w:rPr>
        <w:i/>
        <w:sz w:val="18"/>
      </w:rPr>
      <w:tab/>
      <w:t>October 2016</w:t>
    </w:r>
    <w:r w:rsidRPr="00074BFC">
      <w:rPr>
        <w:i/>
        <w:sz w:val="18"/>
      </w:rPr>
      <w:tab/>
      <w:t xml:space="preserve">Page </w:t>
    </w:r>
    <w:r w:rsidRPr="00074BFC">
      <w:rPr>
        <w:i/>
        <w:sz w:val="18"/>
      </w:rPr>
      <w:fldChar w:fldCharType="begin"/>
    </w:r>
    <w:r w:rsidRPr="00074BFC">
      <w:rPr>
        <w:i/>
        <w:sz w:val="18"/>
      </w:rPr>
      <w:instrText xml:space="preserve"> PAGE  \* Arabic  \* MERGEFORMAT </w:instrText>
    </w:r>
    <w:r w:rsidRPr="00074BFC">
      <w:rPr>
        <w:i/>
        <w:sz w:val="18"/>
      </w:rPr>
      <w:fldChar w:fldCharType="separate"/>
    </w:r>
    <w:r w:rsidR="000505A8">
      <w:rPr>
        <w:i/>
        <w:noProof/>
        <w:sz w:val="18"/>
      </w:rPr>
      <w:t>1</w:t>
    </w:r>
    <w:r w:rsidRPr="00074BFC">
      <w:rPr>
        <w:i/>
        <w:sz w:val="18"/>
      </w:rPr>
      <w:fldChar w:fldCharType="end"/>
    </w:r>
    <w:r w:rsidRPr="00074BFC">
      <w:rPr>
        <w:i/>
        <w:sz w:val="18"/>
      </w:rPr>
      <w:t xml:space="preserve"> of </w:t>
    </w:r>
    <w:r w:rsidRPr="00074BFC">
      <w:rPr>
        <w:i/>
        <w:sz w:val="18"/>
      </w:rPr>
      <w:fldChar w:fldCharType="begin"/>
    </w:r>
    <w:r w:rsidRPr="00074BFC">
      <w:rPr>
        <w:i/>
        <w:sz w:val="18"/>
      </w:rPr>
      <w:instrText xml:space="preserve"> NUMPAGES  \* Arabic  \* MERGEFORMAT </w:instrText>
    </w:r>
    <w:r w:rsidRPr="00074BFC">
      <w:rPr>
        <w:i/>
        <w:sz w:val="18"/>
      </w:rPr>
      <w:fldChar w:fldCharType="separate"/>
    </w:r>
    <w:r w:rsidR="000505A8">
      <w:rPr>
        <w:i/>
        <w:noProof/>
        <w:sz w:val="18"/>
      </w:rPr>
      <w:t>4</w:t>
    </w:r>
    <w:r w:rsidRPr="00074BFC">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67B" w:rsidRDefault="0001667B">
      <w:r>
        <w:separator/>
      </w:r>
    </w:p>
  </w:footnote>
  <w:footnote w:type="continuationSeparator" w:id="0">
    <w:p w:rsidR="0001667B" w:rsidRDefault="00016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9F" w:rsidRDefault="0019659F">
    <w:pPr>
      <w:pStyle w:val="Header"/>
    </w:pPr>
    <w:r>
      <w:rPr>
        <w:noProof/>
      </w:rPr>
      <w:drawing>
        <wp:inline distT="0" distB="0" distL="0" distR="0" wp14:anchorId="3DC62CBF" wp14:editId="76AF6C62">
          <wp:extent cx="5759450" cy="766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PNSA_strip2001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42D"/>
    <w:multiLevelType w:val="hybridMultilevel"/>
    <w:tmpl w:val="90D60B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171786"/>
    <w:multiLevelType w:val="hybridMultilevel"/>
    <w:tmpl w:val="90D60B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997E62"/>
    <w:multiLevelType w:val="hybridMultilevel"/>
    <w:tmpl w:val="85464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6A"/>
    <w:rsid w:val="0001667B"/>
    <w:rsid w:val="0004177B"/>
    <w:rsid w:val="000505A8"/>
    <w:rsid w:val="00074BFC"/>
    <w:rsid w:val="00170A6A"/>
    <w:rsid w:val="0019659F"/>
    <w:rsid w:val="001D6273"/>
    <w:rsid w:val="00256684"/>
    <w:rsid w:val="002F73CB"/>
    <w:rsid w:val="002F79CC"/>
    <w:rsid w:val="00331BC4"/>
    <w:rsid w:val="00371034"/>
    <w:rsid w:val="00390555"/>
    <w:rsid w:val="003B023C"/>
    <w:rsid w:val="004228EB"/>
    <w:rsid w:val="004C77D6"/>
    <w:rsid w:val="00525373"/>
    <w:rsid w:val="005D3EF8"/>
    <w:rsid w:val="005F58EB"/>
    <w:rsid w:val="005F664F"/>
    <w:rsid w:val="006549F4"/>
    <w:rsid w:val="006958C9"/>
    <w:rsid w:val="00700322"/>
    <w:rsid w:val="00750138"/>
    <w:rsid w:val="00762BB8"/>
    <w:rsid w:val="0077388A"/>
    <w:rsid w:val="007E0949"/>
    <w:rsid w:val="008347A3"/>
    <w:rsid w:val="00957DE9"/>
    <w:rsid w:val="009C30DF"/>
    <w:rsid w:val="009C322B"/>
    <w:rsid w:val="009D3BBE"/>
    <w:rsid w:val="00A10E9B"/>
    <w:rsid w:val="00A23F5B"/>
    <w:rsid w:val="00AB7D70"/>
    <w:rsid w:val="00AF301A"/>
    <w:rsid w:val="00B24C0F"/>
    <w:rsid w:val="00BB0248"/>
    <w:rsid w:val="00BB6952"/>
    <w:rsid w:val="00BC7710"/>
    <w:rsid w:val="00C16012"/>
    <w:rsid w:val="00CD43EA"/>
    <w:rsid w:val="00DF07C7"/>
    <w:rsid w:val="00E702BC"/>
    <w:rsid w:val="00F11ED2"/>
    <w:rsid w:val="00FB6DDD"/>
    <w:rsid w:val="00FF7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C0F"/>
    <w:pPr>
      <w:spacing w:before="200" w:line="276" w:lineRule="auto"/>
    </w:pPr>
    <w:rPr>
      <w:rFonts w:asciiTheme="minorHAnsi" w:hAnsiTheme="minorHAnsi"/>
      <w:sz w:val="22"/>
    </w:rPr>
  </w:style>
  <w:style w:type="paragraph" w:styleId="Heading1">
    <w:name w:val="heading 1"/>
    <w:basedOn w:val="Normal"/>
    <w:next w:val="Normal"/>
    <w:qFormat/>
    <w:rsid w:val="00A23F5B"/>
    <w:pPr>
      <w:keepNext/>
      <w:tabs>
        <w:tab w:val="left" w:pos="-1076"/>
        <w:tab w:val="left" w:pos="-708"/>
        <w:tab w:val="left" w:pos="0"/>
        <w:tab w:val="left" w:pos="708"/>
        <w:tab w:val="left" w:pos="1076"/>
        <w:tab w:val="left" w:pos="1416"/>
        <w:tab w:val="left" w:pos="2124"/>
        <w:tab w:val="left" w:pos="2832"/>
        <w:tab w:val="left" w:pos="3540"/>
        <w:tab w:val="left" w:pos="4248"/>
        <w:tab w:val="left" w:pos="4956"/>
        <w:tab w:val="left" w:pos="5664"/>
        <w:tab w:val="left" w:pos="6372"/>
        <w:tab w:val="left" w:pos="7200"/>
        <w:tab w:val="left" w:pos="7788"/>
        <w:tab w:val="left" w:pos="8496"/>
        <w:tab w:val="left" w:pos="9204"/>
      </w:tabs>
      <w:spacing w:before="360"/>
      <w:outlineLvl w:val="0"/>
    </w:pPr>
    <w:rPr>
      <w:b/>
      <w:snapToGrid w:val="0"/>
      <w:color w:val="1F497D" w:themeColor="text2"/>
      <w:sz w:val="24"/>
      <w:szCs w:val="24"/>
      <w:lang w:eastAsia="en-US"/>
    </w:rPr>
  </w:style>
  <w:style w:type="paragraph" w:styleId="Heading2">
    <w:name w:val="heading 2"/>
    <w:basedOn w:val="Normal"/>
    <w:next w:val="Normal"/>
    <w:link w:val="Heading2Char"/>
    <w:qFormat/>
    <w:pPr>
      <w:keepNext/>
      <w:tabs>
        <w:tab w:val="left" w:pos="-1076"/>
        <w:tab w:val="left" w:pos="-708"/>
        <w:tab w:val="left" w:pos="0"/>
        <w:tab w:val="left" w:pos="708"/>
        <w:tab w:val="left" w:pos="1076"/>
        <w:tab w:val="left" w:pos="1416"/>
        <w:tab w:val="left" w:pos="2124"/>
        <w:tab w:val="left" w:pos="2832"/>
        <w:tab w:val="left" w:pos="3540"/>
        <w:tab w:val="left" w:pos="4248"/>
        <w:tab w:val="left" w:pos="4956"/>
        <w:tab w:val="left" w:pos="5664"/>
        <w:tab w:val="left" w:pos="6372"/>
        <w:tab w:val="left" w:pos="7200"/>
        <w:tab w:val="left" w:pos="7788"/>
        <w:tab w:val="left" w:pos="8496"/>
        <w:tab w:val="left" w:pos="9204"/>
      </w:tabs>
      <w:jc w:val="center"/>
      <w:outlineLvl w:val="1"/>
    </w:pPr>
    <w:rPr>
      <w:rFonts w:ascii="FrankfurtGothicHeavy" w:hAnsi="FrankfurtGothicHeavy"/>
      <w:snapToGrid w:val="0"/>
      <w:sz w:val="32"/>
      <w:lang w:eastAsia="en-US"/>
    </w:rPr>
  </w:style>
  <w:style w:type="paragraph" w:styleId="Heading3">
    <w:name w:val="heading 3"/>
    <w:basedOn w:val="Normal"/>
    <w:next w:val="Normal"/>
    <w:link w:val="Heading3Char"/>
    <w:uiPriority w:val="9"/>
    <w:semiHidden/>
    <w:unhideWhenUsed/>
    <w:qFormat/>
    <w:rsid w:val="002F73CB"/>
    <w:pPr>
      <w:keepNext/>
      <w:keepLines/>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170A6A"/>
    <w:pPr>
      <w:keepNext/>
      <w:widowControl w:val="0"/>
      <w:outlineLvl w:val="6"/>
    </w:pPr>
    <w:rPr>
      <w:b/>
      <w:snapToGrid w:val="0"/>
      <w:color w:val="000080"/>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170A6A"/>
    <w:pPr>
      <w:widowControl w:val="0"/>
    </w:pPr>
    <w:rPr>
      <w:rFonts w:ascii="Tahoma" w:hAnsi="Tahoma" w:cs="Tahoma"/>
      <w:snapToGrid w:val="0"/>
      <w:sz w:val="16"/>
      <w:szCs w:val="16"/>
      <w:lang w:val="en-US" w:eastAsia="en-US"/>
    </w:rPr>
  </w:style>
  <w:style w:type="character" w:customStyle="1" w:styleId="FooterChar">
    <w:name w:val="Footer Char"/>
    <w:link w:val="Footer"/>
    <w:uiPriority w:val="99"/>
    <w:rsid w:val="00C16012"/>
    <w:rPr>
      <w:sz w:val="24"/>
    </w:rPr>
  </w:style>
  <w:style w:type="paragraph" w:styleId="Caption">
    <w:name w:val="caption"/>
    <w:basedOn w:val="Normal"/>
    <w:next w:val="Normal"/>
    <w:uiPriority w:val="35"/>
    <w:unhideWhenUsed/>
    <w:qFormat/>
    <w:rsid w:val="007E0949"/>
    <w:pPr>
      <w:spacing w:after="200"/>
    </w:pPr>
    <w:rPr>
      <w:b/>
      <w:bCs/>
      <w:color w:val="4F81BD" w:themeColor="accent1"/>
      <w:sz w:val="18"/>
      <w:szCs w:val="18"/>
    </w:rPr>
  </w:style>
  <w:style w:type="character" w:customStyle="1" w:styleId="Heading2Char">
    <w:name w:val="Heading 2 Char"/>
    <w:basedOn w:val="DefaultParagraphFont"/>
    <w:link w:val="Heading2"/>
    <w:rsid w:val="00BC7710"/>
    <w:rPr>
      <w:rFonts w:ascii="FrankfurtGothicHeavy" w:hAnsi="FrankfurtGothicHeavy"/>
      <w:snapToGrid w:val="0"/>
      <w:sz w:val="32"/>
      <w:lang w:eastAsia="en-US"/>
    </w:rPr>
  </w:style>
  <w:style w:type="paragraph" w:styleId="BodyText2">
    <w:name w:val="Body Text 2"/>
    <w:basedOn w:val="Normal"/>
    <w:link w:val="BodyText2Char"/>
    <w:rsid w:val="00FB6DDD"/>
    <w:pPr>
      <w:jc w:val="both"/>
    </w:pPr>
    <w:rPr>
      <w:rFonts w:ascii="Georgia" w:hAnsi="Georgia"/>
    </w:rPr>
  </w:style>
  <w:style w:type="character" w:customStyle="1" w:styleId="BodyText2Char">
    <w:name w:val="Body Text 2 Char"/>
    <w:basedOn w:val="DefaultParagraphFont"/>
    <w:link w:val="BodyText2"/>
    <w:rsid w:val="00FB6DDD"/>
    <w:rPr>
      <w:rFonts w:ascii="Georgia" w:hAnsi="Georgia"/>
      <w:sz w:val="24"/>
    </w:rPr>
  </w:style>
  <w:style w:type="character" w:customStyle="1" w:styleId="Heading3Char">
    <w:name w:val="Heading 3 Char"/>
    <w:basedOn w:val="DefaultParagraphFont"/>
    <w:link w:val="Heading3"/>
    <w:uiPriority w:val="9"/>
    <w:semiHidden/>
    <w:rsid w:val="002F73CB"/>
    <w:rPr>
      <w:rFonts w:asciiTheme="majorHAnsi" w:eastAsiaTheme="majorEastAsia" w:hAnsiTheme="majorHAnsi" w:cstheme="majorBidi"/>
      <w:b/>
      <w:bCs/>
      <w:color w:val="4F81BD" w:themeColor="accent1"/>
      <w:sz w:val="24"/>
    </w:rPr>
  </w:style>
  <w:style w:type="character" w:styleId="Hyperlink">
    <w:name w:val="Hyperlink"/>
    <w:basedOn w:val="DefaultParagraphFont"/>
    <w:uiPriority w:val="99"/>
    <w:unhideWhenUsed/>
    <w:rsid w:val="005D3EF8"/>
    <w:rPr>
      <w:color w:val="0000FF" w:themeColor="hyperlink"/>
      <w:u w:val="single"/>
    </w:rPr>
  </w:style>
  <w:style w:type="paragraph" w:styleId="ListParagraph">
    <w:name w:val="List Paragraph"/>
    <w:basedOn w:val="Normal"/>
    <w:uiPriority w:val="34"/>
    <w:qFormat/>
    <w:rsid w:val="0019659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C0F"/>
    <w:pPr>
      <w:spacing w:before="200" w:line="276" w:lineRule="auto"/>
    </w:pPr>
    <w:rPr>
      <w:rFonts w:asciiTheme="minorHAnsi" w:hAnsiTheme="minorHAnsi"/>
      <w:sz w:val="22"/>
    </w:rPr>
  </w:style>
  <w:style w:type="paragraph" w:styleId="Heading1">
    <w:name w:val="heading 1"/>
    <w:basedOn w:val="Normal"/>
    <w:next w:val="Normal"/>
    <w:qFormat/>
    <w:rsid w:val="00A23F5B"/>
    <w:pPr>
      <w:keepNext/>
      <w:tabs>
        <w:tab w:val="left" w:pos="-1076"/>
        <w:tab w:val="left" w:pos="-708"/>
        <w:tab w:val="left" w:pos="0"/>
        <w:tab w:val="left" w:pos="708"/>
        <w:tab w:val="left" w:pos="1076"/>
        <w:tab w:val="left" w:pos="1416"/>
        <w:tab w:val="left" w:pos="2124"/>
        <w:tab w:val="left" w:pos="2832"/>
        <w:tab w:val="left" w:pos="3540"/>
        <w:tab w:val="left" w:pos="4248"/>
        <w:tab w:val="left" w:pos="4956"/>
        <w:tab w:val="left" w:pos="5664"/>
        <w:tab w:val="left" w:pos="6372"/>
        <w:tab w:val="left" w:pos="7200"/>
        <w:tab w:val="left" w:pos="7788"/>
        <w:tab w:val="left" w:pos="8496"/>
        <w:tab w:val="left" w:pos="9204"/>
      </w:tabs>
      <w:spacing w:before="360"/>
      <w:outlineLvl w:val="0"/>
    </w:pPr>
    <w:rPr>
      <w:b/>
      <w:snapToGrid w:val="0"/>
      <w:color w:val="1F497D" w:themeColor="text2"/>
      <w:sz w:val="24"/>
      <w:szCs w:val="24"/>
      <w:lang w:eastAsia="en-US"/>
    </w:rPr>
  </w:style>
  <w:style w:type="paragraph" w:styleId="Heading2">
    <w:name w:val="heading 2"/>
    <w:basedOn w:val="Normal"/>
    <w:next w:val="Normal"/>
    <w:link w:val="Heading2Char"/>
    <w:qFormat/>
    <w:pPr>
      <w:keepNext/>
      <w:tabs>
        <w:tab w:val="left" w:pos="-1076"/>
        <w:tab w:val="left" w:pos="-708"/>
        <w:tab w:val="left" w:pos="0"/>
        <w:tab w:val="left" w:pos="708"/>
        <w:tab w:val="left" w:pos="1076"/>
        <w:tab w:val="left" w:pos="1416"/>
        <w:tab w:val="left" w:pos="2124"/>
        <w:tab w:val="left" w:pos="2832"/>
        <w:tab w:val="left" w:pos="3540"/>
        <w:tab w:val="left" w:pos="4248"/>
        <w:tab w:val="left" w:pos="4956"/>
        <w:tab w:val="left" w:pos="5664"/>
        <w:tab w:val="left" w:pos="6372"/>
        <w:tab w:val="left" w:pos="7200"/>
        <w:tab w:val="left" w:pos="7788"/>
        <w:tab w:val="left" w:pos="8496"/>
        <w:tab w:val="left" w:pos="9204"/>
      </w:tabs>
      <w:jc w:val="center"/>
      <w:outlineLvl w:val="1"/>
    </w:pPr>
    <w:rPr>
      <w:rFonts w:ascii="FrankfurtGothicHeavy" w:hAnsi="FrankfurtGothicHeavy"/>
      <w:snapToGrid w:val="0"/>
      <w:sz w:val="32"/>
      <w:lang w:eastAsia="en-US"/>
    </w:rPr>
  </w:style>
  <w:style w:type="paragraph" w:styleId="Heading3">
    <w:name w:val="heading 3"/>
    <w:basedOn w:val="Normal"/>
    <w:next w:val="Normal"/>
    <w:link w:val="Heading3Char"/>
    <w:uiPriority w:val="9"/>
    <w:semiHidden/>
    <w:unhideWhenUsed/>
    <w:qFormat/>
    <w:rsid w:val="002F73CB"/>
    <w:pPr>
      <w:keepNext/>
      <w:keepLines/>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170A6A"/>
    <w:pPr>
      <w:keepNext/>
      <w:widowControl w:val="0"/>
      <w:outlineLvl w:val="6"/>
    </w:pPr>
    <w:rPr>
      <w:b/>
      <w:snapToGrid w:val="0"/>
      <w:color w:val="000080"/>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170A6A"/>
    <w:pPr>
      <w:widowControl w:val="0"/>
    </w:pPr>
    <w:rPr>
      <w:rFonts w:ascii="Tahoma" w:hAnsi="Tahoma" w:cs="Tahoma"/>
      <w:snapToGrid w:val="0"/>
      <w:sz w:val="16"/>
      <w:szCs w:val="16"/>
      <w:lang w:val="en-US" w:eastAsia="en-US"/>
    </w:rPr>
  </w:style>
  <w:style w:type="character" w:customStyle="1" w:styleId="FooterChar">
    <w:name w:val="Footer Char"/>
    <w:link w:val="Footer"/>
    <w:uiPriority w:val="99"/>
    <w:rsid w:val="00C16012"/>
    <w:rPr>
      <w:sz w:val="24"/>
    </w:rPr>
  </w:style>
  <w:style w:type="paragraph" w:styleId="Caption">
    <w:name w:val="caption"/>
    <w:basedOn w:val="Normal"/>
    <w:next w:val="Normal"/>
    <w:uiPriority w:val="35"/>
    <w:unhideWhenUsed/>
    <w:qFormat/>
    <w:rsid w:val="007E0949"/>
    <w:pPr>
      <w:spacing w:after="200"/>
    </w:pPr>
    <w:rPr>
      <w:b/>
      <w:bCs/>
      <w:color w:val="4F81BD" w:themeColor="accent1"/>
      <w:sz w:val="18"/>
      <w:szCs w:val="18"/>
    </w:rPr>
  </w:style>
  <w:style w:type="character" w:customStyle="1" w:styleId="Heading2Char">
    <w:name w:val="Heading 2 Char"/>
    <w:basedOn w:val="DefaultParagraphFont"/>
    <w:link w:val="Heading2"/>
    <w:rsid w:val="00BC7710"/>
    <w:rPr>
      <w:rFonts w:ascii="FrankfurtGothicHeavy" w:hAnsi="FrankfurtGothicHeavy"/>
      <w:snapToGrid w:val="0"/>
      <w:sz w:val="32"/>
      <w:lang w:eastAsia="en-US"/>
    </w:rPr>
  </w:style>
  <w:style w:type="paragraph" w:styleId="BodyText2">
    <w:name w:val="Body Text 2"/>
    <w:basedOn w:val="Normal"/>
    <w:link w:val="BodyText2Char"/>
    <w:rsid w:val="00FB6DDD"/>
    <w:pPr>
      <w:jc w:val="both"/>
    </w:pPr>
    <w:rPr>
      <w:rFonts w:ascii="Georgia" w:hAnsi="Georgia"/>
    </w:rPr>
  </w:style>
  <w:style w:type="character" w:customStyle="1" w:styleId="BodyText2Char">
    <w:name w:val="Body Text 2 Char"/>
    <w:basedOn w:val="DefaultParagraphFont"/>
    <w:link w:val="BodyText2"/>
    <w:rsid w:val="00FB6DDD"/>
    <w:rPr>
      <w:rFonts w:ascii="Georgia" w:hAnsi="Georgia"/>
      <w:sz w:val="24"/>
    </w:rPr>
  </w:style>
  <w:style w:type="character" w:customStyle="1" w:styleId="Heading3Char">
    <w:name w:val="Heading 3 Char"/>
    <w:basedOn w:val="DefaultParagraphFont"/>
    <w:link w:val="Heading3"/>
    <w:uiPriority w:val="9"/>
    <w:semiHidden/>
    <w:rsid w:val="002F73CB"/>
    <w:rPr>
      <w:rFonts w:asciiTheme="majorHAnsi" w:eastAsiaTheme="majorEastAsia" w:hAnsiTheme="majorHAnsi" w:cstheme="majorBidi"/>
      <w:b/>
      <w:bCs/>
      <w:color w:val="4F81BD" w:themeColor="accent1"/>
      <w:sz w:val="24"/>
    </w:rPr>
  </w:style>
  <w:style w:type="character" w:styleId="Hyperlink">
    <w:name w:val="Hyperlink"/>
    <w:basedOn w:val="DefaultParagraphFont"/>
    <w:uiPriority w:val="99"/>
    <w:unhideWhenUsed/>
    <w:rsid w:val="005D3EF8"/>
    <w:rPr>
      <w:color w:val="0000FF" w:themeColor="hyperlink"/>
      <w:u w:val="single"/>
    </w:rPr>
  </w:style>
  <w:style w:type="paragraph" w:styleId="ListParagraph">
    <w:name w:val="List Paragraph"/>
    <w:basedOn w:val="Normal"/>
    <w:uiPriority w:val="34"/>
    <w:qFormat/>
    <w:rsid w:val="001965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mailto:prms@arpansa.gov.au"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18BDAC3-6938-43A7-B38D-9546535B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1189</Words>
  <Characters>5832</Characters>
  <Application>Microsoft Office Word</Application>
  <DocSecurity>0</DocSecurity>
  <Lines>97</Lines>
  <Paragraphs>45</Paragraphs>
  <ScaleCrop>false</ScaleCrop>
  <HeadingPairs>
    <vt:vector size="2" baseType="variant">
      <vt:variant>
        <vt:lpstr>Title</vt:lpstr>
      </vt:variant>
      <vt:variant>
        <vt:i4>1</vt:i4>
      </vt:variant>
    </vt:vector>
  </HeadingPairs>
  <TitlesOfParts>
    <vt:vector size="1" baseType="lpstr">
      <vt:lpstr/>
    </vt:vector>
  </TitlesOfParts>
  <Company>HFS</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for Uranium/Mineral Sand Mines and Processing Plants</dc:title>
  <dc:subject>Personal Radiation Monitoring Service</dc:subject>
  <dc:creator>ARPANSA</dc:creator>
  <cp:lastModifiedBy>sforcl</cp:lastModifiedBy>
  <cp:revision>6</cp:revision>
  <cp:lastPrinted>2001-01-29T21:54:00Z</cp:lastPrinted>
  <dcterms:created xsi:type="dcterms:W3CDTF">2016-10-14T00:53:00Z</dcterms:created>
  <dcterms:modified xsi:type="dcterms:W3CDTF">2016-10-20T23:35:00Z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