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E88" w:rsidRPr="001D0724" w:rsidRDefault="002C4E88" w:rsidP="00321E78">
      <w:pPr>
        <w:pStyle w:val="Title"/>
        <w:spacing w:before="120" w:after="120"/>
        <w:jc w:val="center"/>
        <w:rPr>
          <w:sz w:val="48"/>
          <w:szCs w:val="48"/>
          <w:lang w:val="en-US"/>
        </w:rPr>
      </w:pPr>
      <w:r w:rsidRPr="001D0724">
        <w:rPr>
          <w:sz w:val="48"/>
          <w:szCs w:val="48"/>
          <w:lang w:val="en-US"/>
        </w:rPr>
        <w:t>INSPECTION</w:t>
      </w:r>
      <w:r w:rsidR="002C6C69" w:rsidRPr="001D0724">
        <w:rPr>
          <w:sz w:val="48"/>
          <w:szCs w:val="48"/>
          <w:lang w:val="en-US"/>
        </w:rPr>
        <w:t xml:space="preserve"> </w:t>
      </w:r>
      <w:r w:rsidRPr="001D0724">
        <w:rPr>
          <w:sz w:val="48"/>
          <w:szCs w:val="48"/>
          <w:lang w:val="en-US"/>
        </w:rPr>
        <w:t>REPORT</w:t>
      </w:r>
    </w:p>
    <w:tbl>
      <w:tblPr>
        <w:tblStyle w:val="TableGrid"/>
        <w:tblW w:w="9781" w:type="dxa"/>
        <w:tblInd w:w="-601" w:type="dxa"/>
        <w:tblLook w:val="04A0" w:firstRow="1" w:lastRow="0" w:firstColumn="1" w:lastColumn="0" w:noHBand="0" w:noVBand="1"/>
      </w:tblPr>
      <w:tblGrid>
        <w:gridCol w:w="5671"/>
        <w:gridCol w:w="4110"/>
      </w:tblGrid>
      <w:tr w:rsidR="002C4E88" w:rsidRPr="00560E17" w:rsidTr="00961967">
        <w:trPr>
          <w:trHeight w:val="567"/>
        </w:trPr>
        <w:tc>
          <w:tcPr>
            <w:tcW w:w="5671" w:type="dxa"/>
            <w:vAlign w:val="center"/>
          </w:tcPr>
          <w:p w:rsidR="002C4E88" w:rsidRPr="002D04BB" w:rsidRDefault="002C4E88" w:rsidP="002D04BB">
            <w:pPr>
              <w:spacing w:before="120" w:after="120"/>
              <w:rPr>
                <w:sz w:val="22"/>
                <w:szCs w:val="22"/>
                <w:lang w:val="en-US"/>
              </w:rPr>
            </w:pPr>
            <w:r w:rsidRPr="001D0724">
              <w:rPr>
                <w:b/>
                <w:color w:val="1F497D" w:themeColor="text2"/>
                <w:sz w:val="22"/>
                <w:szCs w:val="22"/>
                <w:lang w:val="en-US"/>
              </w:rPr>
              <w:t>Licence Holder</w:t>
            </w:r>
            <w:r w:rsidRPr="001D0724">
              <w:rPr>
                <w:color w:val="1F497D" w:themeColor="text2"/>
                <w:sz w:val="22"/>
                <w:szCs w:val="22"/>
                <w:lang w:val="en-US"/>
              </w:rPr>
              <w:t xml:space="preserve">: </w:t>
            </w:r>
            <w:r w:rsidR="00CC1732" w:rsidRPr="004E31A0">
              <w:rPr>
                <w:sz w:val="22"/>
                <w:szCs w:val="22"/>
                <w:lang w:val="en-US"/>
              </w:rPr>
              <w:t xml:space="preserve">Department of </w:t>
            </w:r>
            <w:proofErr w:type="spellStart"/>
            <w:r w:rsidR="00CC1732" w:rsidRPr="004E31A0">
              <w:rPr>
                <w:sz w:val="22"/>
                <w:szCs w:val="22"/>
                <w:lang w:val="en-US"/>
              </w:rPr>
              <w:t>Defence</w:t>
            </w:r>
            <w:proofErr w:type="spellEnd"/>
            <w:r w:rsidR="00CC1732" w:rsidRPr="004E31A0">
              <w:rPr>
                <w:sz w:val="22"/>
                <w:szCs w:val="22"/>
                <w:lang w:val="en-US"/>
              </w:rPr>
              <w:t xml:space="preserve"> and Australian </w:t>
            </w:r>
            <w:proofErr w:type="spellStart"/>
            <w:r w:rsidR="00CC1732" w:rsidRPr="004E31A0">
              <w:rPr>
                <w:sz w:val="22"/>
                <w:szCs w:val="22"/>
                <w:lang w:val="en-US"/>
              </w:rPr>
              <w:t>Defence</w:t>
            </w:r>
            <w:proofErr w:type="spellEnd"/>
            <w:r w:rsidR="00CC1732" w:rsidRPr="004E31A0">
              <w:rPr>
                <w:sz w:val="22"/>
                <w:szCs w:val="22"/>
                <w:lang w:val="en-US"/>
              </w:rPr>
              <w:t xml:space="preserve"> Force (</w:t>
            </w:r>
            <w:proofErr w:type="spellStart"/>
            <w:r w:rsidR="00CC1732" w:rsidRPr="004E31A0">
              <w:rPr>
                <w:sz w:val="22"/>
                <w:szCs w:val="22"/>
                <w:lang w:val="en-US"/>
              </w:rPr>
              <w:t>Defence</w:t>
            </w:r>
            <w:proofErr w:type="spellEnd"/>
            <w:r w:rsidR="00CC1732" w:rsidRPr="004E31A0">
              <w:rPr>
                <w:sz w:val="22"/>
                <w:szCs w:val="22"/>
                <w:lang w:val="en-US"/>
              </w:rPr>
              <w:t>)</w:t>
            </w:r>
            <w:r w:rsidR="00990C9F" w:rsidRPr="004E31A0">
              <w:rPr>
                <w:color w:val="1F497D" w:themeColor="text2"/>
                <w:sz w:val="22"/>
                <w:szCs w:val="22"/>
                <w:lang w:val="en-US"/>
              </w:rPr>
              <w:t xml:space="preserve"> </w:t>
            </w:r>
          </w:p>
        </w:tc>
        <w:tc>
          <w:tcPr>
            <w:tcW w:w="4110" w:type="dxa"/>
            <w:vAlign w:val="center"/>
          </w:tcPr>
          <w:p w:rsidR="002C4E88" w:rsidRPr="002D04BB" w:rsidRDefault="002C4E88" w:rsidP="002B77FB">
            <w:pPr>
              <w:spacing w:before="120" w:after="120"/>
              <w:rPr>
                <w:sz w:val="22"/>
                <w:szCs w:val="22"/>
                <w:lang w:val="en-US"/>
              </w:rPr>
            </w:pPr>
            <w:r w:rsidRPr="001D0724">
              <w:rPr>
                <w:b/>
                <w:color w:val="1F497D" w:themeColor="text2"/>
                <w:sz w:val="22"/>
                <w:szCs w:val="22"/>
                <w:lang w:val="en-US"/>
              </w:rPr>
              <w:t>Licence Number</w:t>
            </w:r>
            <w:r w:rsidRPr="001D0724">
              <w:rPr>
                <w:color w:val="1F497D" w:themeColor="text2"/>
                <w:sz w:val="22"/>
                <w:szCs w:val="22"/>
                <w:lang w:val="en-US"/>
              </w:rPr>
              <w:t xml:space="preserve">: </w:t>
            </w:r>
            <w:r w:rsidR="00CC1732" w:rsidRPr="004E31A0">
              <w:rPr>
                <w:sz w:val="22"/>
                <w:szCs w:val="22"/>
                <w:lang w:val="en-US"/>
              </w:rPr>
              <w:t>F0213</w:t>
            </w:r>
          </w:p>
        </w:tc>
      </w:tr>
      <w:tr w:rsidR="00CB330D" w:rsidRPr="00560E17" w:rsidTr="002277AA">
        <w:trPr>
          <w:trHeight w:val="450"/>
        </w:trPr>
        <w:tc>
          <w:tcPr>
            <w:tcW w:w="5671" w:type="dxa"/>
            <w:vMerge w:val="restart"/>
          </w:tcPr>
          <w:p w:rsidR="00CB330D" w:rsidRPr="002D04BB" w:rsidRDefault="00DB71A4" w:rsidP="002D04BB">
            <w:pPr>
              <w:spacing w:before="120" w:after="0"/>
              <w:rPr>
                <w:sz w:val="22"/>
                <w:szCs w:val="22"/>
                <w:lang w:val="en-US"/>
              </w:rPr>
            </w:pPr>
            <w:r w:rsidRPr="001D0724">
              <w:rPr>
                <w:b/>
                <w:color w:val="1F497D" w:themeColor="text2"/>
                <w:sz w:val="22"/>
                <w:szCs w:val="22"/>
                <w:lang w:val="en-US"/>
              </w:rPr>
              <w:t xml:space="preserve">Location </w:t>
            </w:r>
            <w:r w:rsidR="00CB330D" w:rsidRPr="001D0724">
              <w:rPr>
                <w:b/>
                <w:color w:val="1F497D" w:themeColor="text2"/>
                <w:sz w:val="22"/>
                <w:szCs w:val="22"/>
                <w:lang w:val="en-US"/>
              </w:rPr>
              <w:t>inspected</w:t>
            </w:r>
            <w:r w:rsidR="00CB330D" w:rsidRPr="001D0724">
              <w:rPr>
                <w:color w:val="1F497D" w:themeColor="text2"/>
                <w:sz w:val="22"/>
                <w:szCs w:val="22"/>
                <w:lang w:val="en-US"/>
              </w:rPr>
              <w:t>:</w:t>
            </w:r>
            <w:r w:rsidR="00990C9F" w:rsidRPr="001D0724">
              <w:rPr>
                <w:color w:val="1F497D" w:themeColor="text2"/>
                <w:sz w:val="22"/>
                <w:szCs w:val="22"/>
                <w:lang w:val="en-US"/>
              </w:rPr>
              <w:t xml:space="preserve"> </w:t>
            </w:r>
            <w:proofErr w:type="spellStart"/>
            <w:r w:rsidR="00CC1732" w:rsidRPr="004E31A0">
              <w:rPr>
                <w:sz w:val="22"/>
                <w:szCs w:val="22"/>
                <w:lang w:val="en-US"/>
              </w:rPr>
              <w:t>Defence</w:t>
            </w:r>
            <w:proofErr w:type="spellEnd"/>
            <w:r w:rsidR="00CC1732" w:rsidRPr="004E31A0">
              <w:rPr>
                <w:sz w:val="22"/>
                <w:szCs w:val="22"/>
                <w:lang w:val="en-US"/>
              </w:rPr>
              <w:t xml:space="preserve"> Radioactive Waste Storage Facility - South Australia</w:t>
            </w:r>
          </w:p>
        </w:tc>
        <w:tc>
          <w:tcPr>
            <w:tcW w:w="4110" w:type="dxa"/>
            <w:vAlign w:val="center"/>
          </w:tcPr>
          <w:p w:rsidR="00CB330D" w:rsidRPr="002D04BB" w:rsidRDefault="00CB330D" w:rsidP="002B77FB">
            <w:pPr>
              <w:spacing w:before="120" w:after="120"/>
              <w:rPr>
                <w:sz w:val="22"/>
                <w:szCs w:val="22"/>
                <w:lang w:val="en-US"/>
              </w:rPr>
            </w:pPr>
            <w:r w:rsidRPr="001D0724">
              <w:rPr>
                <w:b/>
                <w:color w:val="1F497D" w:themeColor="text2"/>
                <w:sz w:val="22"/>
                <w:szCs w:val="22"/>
                <w:lang w:val="en-US"/>
              </w:rPr>
              <w:t>Date of inspection</w:t>
            </w:r>
            <w:r w:rsidRPr="001D0724">
              <w:rPr>
                <w:color w:val="1F497D" w:themeColor="text2"/>
                <w:sz w:val="22"/>
                <w:szCs w:val="22"/>
                <w:lang w:val="en-US"/>
              </w:rPr>
              <w:t>:</w:t>
            </w:r>
            <w:r w:rsidR="00CC1732">
              <w:rPr>
                <w:color w:val="1F497D" w:themeColor="text2"/>
                <w:sz w:val="22"/>
                <w:szCs w:val="22"/>
                <w:lang w:val="en-US"/>
              </w:rPr>
              <w:t xml:space="preserve"> </w:t>
            </w:r>
            <w:r w:rsidR="00CC1732" w:rsidRPr="004E31A0">
              <w:rPr>
                <w:sz w:val="22"/>
                <w:szCs w:val="22"/>
                <w:lang w:val="en-US"/>
              </w:rPr>
              <w:t>27</w:t>
            </w:r>
            <w:r w:rsidR="002B77FB">
              <w:rPr>
                <w:sz w:val="22"/>
                <w:szCs w:val="22"/>
                <w:lang w:val="en-US"/>
              </w:rPr>
              <w:t>–</w:t>
            </w:r>
            <w:r w:rsidR="00CC1732" w:rsidRPr="004E31A0">
              <w:rPr>
                <w:sz w:val="22"/>
                <w:szCs w:val="22"/>
                <w:lang w:val="en-US"/>
              </w:rPr>
              <w:t>28 April</w:t>
            </w:r>
            <w:r w:rsidR="00CC1732" w:rsidRPr="004E31A0">
              <w:rPr>
                <w:snapToGrid w:val="0"/>
                <w:sz w:val="22"/>
                <w:szCs w:val="22"/>
              </w:rPr>
              <w:t xml:space="preserve"> 2016</w:t>
            </w:r>
          </w:p>
        </w:tc>
      </w:tr>
      <w:tr w:rsidR="00CB330D" w:rsidRPr="00560E17" w:rsidTr="00961967">
        <w:trPr>
          <w:trHeight w:val="450"/>
        </w:trPr>
        <w:tc>
          <w:tcPr>
            <w:tcW w:w="5671" w:type="dxa"/>
            <w:vMerge/>
            <w:vAlign w:val="center"/>
          </w:tcPr>
          <w:p w:rsidR="00CB330D" w:rsidRPr="001D0724" w:rsidRDefault="00CB330D" w:rsidP="00DE0AB4">
            <w:pPr>
              <w:rPr>
                <w:sz w:val="22"/>
                <w:szCs w:val="22"/>
                <w:lang w:val="en-US"/>
              </w:rPr>
            </w:pPr>
          </w:p>
        </w:tc>
        <w:tc>
          <w:tcPr>
            <w:tcW w:w="4110" w:type="dxa"/>
            <w:vAlign w:val="center"/>
          </w:tcPr>
          <w:p w:rsidR="00CB330D" w:rsidRPr="001D0724" w:rsidRDefault="00CB330D" w:rsidP="0097202A">
            <w:pPr>
              <w:spacing w:before="120" w:after="120"/>
              <w:rPr>
                <w:sz w:val="22"/>
                <w:szCs w:val="22"/>
                <w:lang w:val="en-US"/>
              </w:rPr>
            </w:pPr>
            <w:r w:rsidRPr="001D0724">
              <w:rPr>
                <w:b/>
                <w:color w:val="1F497D" w:themeColor="text2"/>
                <w:sz w:val="22"/>
                <w:szCs w:val="22"/>
                <w:lang w:val="en-US"/>
              </w:rPr>
              <w:t>Report No</w:t>
            </w:r>
            <w:r w:rsidRPr="001D0724">
              <w:rPr>
                <w:color w:val="1F497D" w:themeColor="text2"/>
                <w:sz w:val="22"/>
                <w:szCs w:val="22"/>
                <w:lang w:val="en-US"/>
              </w:rPr>
              <w:t xml:space="preserve">: </w:t>
            </w:r>
            <w:r w:rsidRPr="00EE346C">
              <w:rPr>
                <w:sz w:val="22"/>
                <w:szCs w:val="22"/>
                <w:lang w:val="en-US"/>
              </w:rPr>
              <w:t>R</w:t>
            </w:r>
            <w:r w:rsidR="00EE346C" w:rsidRPr="00EE346C">
              <w:rPr>
                <w:sz w:val="22"/>
                <w:szCs w:val="22"/>
                <w:lang w:val="en-US"/>
              </w:rPr>
              <w:t>16</w:t>
            </w:r>
            <w:r w:rsidR="00A226B8" w:rsidRPr="00EE346C">
              <w:rPr>
                <w:sz w:val="22"/>
                <w:szCs w:val="22"/>
                <w:lang w:val="en-US"/>
              </w:rPr>
              <w:t>/</w:t>
            </w:r>
            <w:r w:rsidR="0097202A" w:rsidRPr="0097202A">
              <w:rPr>
                <w:sz w:val="22"/>
                <w:szCs w:val="22"/>
                <w:lang w:val="en-US"/>
              </w:rPr>
              <w:t>05119</w:t>
            </w:r>
            <w:bookmarkStart w:id="0" w:name="_GoBack"/>
            <w:bookmarkEnd w:id="0"/>
          </w:p>
        </w:tc>
      </w:tr>
      <w:tr w:rsidR="002C4E88" w:rsidRPr="00560E17" w:rsidTr="000D0383">
        <w:tc>
          <w:tcPr>
            <w:tcW w:w="9781" w:type="dxa"/>
            <w:gridSpan w:val="2"/>
          </w:tcPr>
          <w:p w:rsidR="0090781C" w:rsidRPr="009308E3" w:rsidRDefault="00DB71A4" w:rsidP="00753FD7">
            <w:pPr>
              <w:pStyle w:val="H11"/>
              <w:spacing w:before="120" w:after="120" w:line="240" w:lineRule="auto"/>
              <w:jc w:val="both"/>
              <w:rPr>
                <w:rFonts w:asciiTheme="minorHAnsi" w:hAnsiTheme="minorHAnsi"/>
                <w:b w:val="0"/>
                <w:color w:val="auto"/>
                <w:sz w:val="22"/>
                <w:szCs w:val="22"/>
              </w:rPr>
            </w:pPr>
            <w:r w:rsidRPr="009308E3">
              <w:rPr>
                <w:rFonts w:asciiTheme="minorHAnsi" w:hAnsiTheme="minorHAnsi"/>
                <w:b w:val="0"/>
                <w:color w:val="auto"/>
                <w:sz w:val="22"/>
                <w:szCs w:val="22"/>
              </w:rPr>
              <w:t xml:space="preserve">An inspection was conducted under Part 7 of the </w:t>
            </w:r>
            <w:r w:rsidRPr="009308E3">
              <w:rPr>
                <w:rFonts w:asciiTheme="minorHAnsi" w:hAnsiTheme="minorHAnsi"/>
                <w:b w:val="0"/>
                <w:i/>
                <w:color w:val="auto"/>
                <w:sz w:val="22"/>
                <w:szCs w:val="22"/>
              </w:rPr>
              <w:t>Australian Radiation Protection and Nuclear Safety Act 1998</w:t>
            </w:r>
            <w:r w:rsidRPr="009308E3">
              <w:rPr>
                <w:rFonts w:asciiTheme="minorHAnsi" w:hAnsiTheme="minorHAnsi"/>
                <w:b w:val="0"/>
                <w:color w:val="auto"/>
                <w:sz w:val="22"/>
                <w:szCs w:val="22"/>
              </w:rPr>
              <w:t xml:space="preserve"> (the Act). The purpose of the inspection was to assess compliance with the Act, applicable regulations, and licence conditions.</w:t>
            </w:r>
            <w:r w:rsidR="00D83CA2" w:rsidRPr="009308E3">
              <w:rPr>
                <w:rFonts w:asciiTheme="minorHAnsi" w:hAnsiTheme="minorHAnsi"/>
                <w:b w:val="0"/>
                <w:color w:val="auto"/>
                <w:sz w:val="22"/>
                <w:szCs w:val="22"/>
              </w:rPr>
              <w:t xml:space="preserve"> </w:t>
            </w:r>
          </w:p>
          <w:p w:rsidR="0058268F" w:rsidRPr="004E31A0" w:rsidRDefault="00DB71A4" w:rsidP="0058268F">
            <w:pPr>
              <w:spacing w:line="240" w:lineRule="auto"/>
              <w:jc w:val="both"/>
              <w:rPr>
                <w:sz w:val="22"/>
                <w:szCs w:val="22"/>
              </w:rPr>
            </w:pPr>
            <w:r w:rsidRPr="004E31A0">
              <w:rPr>
                <w:sz w:val="22"/>
                <w:szCs w:val="22"/>
              </w:rPr>
              <w:t>The scope of th</w:t>
            </w:r>
            <w:r w:rsidR="006357F5" w:rsidRPr="004E31A0">
              <w:rPr>
                <w:sz w:val="22"/>
                <w:szCs w:val="22"/>
              </w:rPr>
              <w:t>e</w:t>
            </w:r>
            <w:r w:rsidRPr="004E31A0">
              <w:rPr>
                <w:sz w:val="22"/>
                <w:szCs w:val="22"/>
              </w:rPr>
              <w:t xml:space="preserve"> inspection </w:t>
            </w:r>
            <w:r w:rsidR="00730DB0" w:rsidRPr="004E31A0">
              <w:rPr>
                <w:sz w:val="22"/>
                <w:szCs w:val="22"/>
              </w:rPr>
              <w:t>included</w:t>
            </w:r>
            <w:r w:rsidR="009F2F80" w:rsidRPr="004E31A0">
              <w:rPr>
                <w:sz w:val="22"/>
                <w:szCs w:val="22"/>
              </w:rPr>
              <w:t xml:space="preserve"> an assessment of </w:t>
            </w:r>
            <w:r w:rsidR="0060582E" w:rsidRPr="004E31A0">
              <w:rPr>
                <w:sz w:val="22"/>
                <w:szCs w:val="22"/>
              </w:rPr>
              <w:t>Defence</w:t>
            </w:r>
            <w:r w:rsidR="009F2F80" w:rsidRPr="004E31A0">
              <w:rPr>
                <w:sz w:val="22"/>
                <w:szCs w:val="22"/>
              </w:rPr>
              <w:t>’s per</w:t>
            </w:r>
            <w:r w:rsidR="0058268F" w:rsidRPr="004E31A0">
              <w:rPr>
                <w:sz w:val="22"/>
                <w:szCs w:val="22"/>
              </w:rPr>
              <w:t xml:space="preserve">formance in the area of security. For a radioactive waste storage facility this is </w:t>
            </w:r>
            <w:r w:rsidR="004E31A0" w:rsidRPr="004E31A0">
              <w:rPr>
                <w:sz w:val="22"/>
                <w:szCs w:val="22"/>
              </w:rPr>
              <w:t xml:space="preserve">an appraisal of </w:t>
            </w:r>
            <w:r w:rsidR="0058268F" w:rsidRPr="004E31A0">
              <w:rPr>
                <w:sz w:val="22"/>
                <w:szCs w:val="22"/>
              </w:rPr>
              <w:t>w</w:t>
            </w:r>
            <w:r w:rsidR="004E31A0" w:rsidRPr="004E31A0">
              <w:rPr>
                <w:sz w:val="22"/>
                <w:szCs w:val="22"/>
              </w:rPr>
              <w:t xml:space="preserve">hether </w:t>
            </w:r>
            <w:r w:rsidR="0058268F" w:rsidRPr="004E31A0">
              <w:rPr>
                <w:sz w:val="22"/>
                <w:szCs w:val="22"/>
              </w:rPr>
              <w:t xml:space="preserve">the licence holder </w:t>
            </w:r>
            <w:r w:rsidR="004E31A0" w:rsidRPr="004E31A0">
              <w:rPr>
                <w:sz w:val="22"/>
                <w:szCs w:val="22"/>
              </w:rPr>
              <w:t xml:space="preserve">has </w:t>
            </w:r>
            <w:r w:rsidR="0058268F" w:rsidRPr="004E31A0">
              <w:rPr>
                <w:sz w:val="22"/>
                <w:szCs w:val="22"/>
              </w:rPr>
              <w:t>implement</w:t>
            </w:r>
            <w:r w:rsidR="004E31A0" w:rsidRPr="004E31A0">
              <w:rPr>
                <w:sz w:val="22"/>
                <w:szCs w:val="22"/>
              </w:rPr>
              <w:t>ed</w:t>
            </w:r>
            <w:r w:rsidR="0058268F" w:rsidRPr="004E31A0">
              <w:rPr>
                <w:sz w:val="22"/>
                <w:szCs w:val="22"/>
              </w:rPr>
              <w:t xml:space="preserve"> effective security measures to prevent unauthorised access or damage to, the loss, theft</w:t>
            </w:r>
            <w:r w:rsidR="008530EB">
              <w:rPr>
                <w:sz w:val="22"/>
                <w:szCs w:val="22"/>
              </w:rPr>
              <w:t>,</w:t>
            </w:r>
            <w:r w:rsidR="0058268F" w:rsidRPr="004E31A0">
              <w:rPr>
                <w:sz w:val="22"/>
                <w:szCs w:val="22"/>
              </w:rPr>
              <w:t xml:space="preserve"> unauthorised transfer or unauthorised use of the</w:t>
            </w:r>
            <w:r w:rsidR="004E31A0" w:rsidRPr="004E31A0">
              <w:rPr>
                <w:sz w:val="22"/>
                <w:szCs w:val="22"/>
              </w:rPr>
              <w:t xml:space="preserve"> radioactivity within the</w:t>
            </w:r>
            <w:r w:rsidR="0058268F" w:rsidRPr="004E31A0">
              <w:rPr>
                <w:sz w:val="22"/>
                <w:szCs w:val="22"/>
              </w:rPr>
              <w:t xml:space="preserve"> facility.  </w:t>
            </w:r>
          </w:p>
          <w:p w:rsidR="004863A6" w:rsidRPr="004E31A0" w:rsidRDefault="004863A6" w:rsidP="004863A6">
            <w:pPr>
              <w:spacing w:line="240" w:lineRule="auto"/>
              <w:jc w:val="both"/>
              <w:rPr>
                <w:sz w:val="22"/>
                <w:szCs w:val="22"/>
              </w:rPr>
            </w:pPr>
            <w:r w:rsidRPr="009308E3">
              <w:rPr>
                <w:sz w:val="22"/>
                <w:szCs w:val="22"/>
              </w:rPr>
              <w:t xml:space="preserve">The inspection consisted of a review of records, interviews, and </w:t>
            </w:r>
            <w:r w:rsidR="004E31A0" w:rsidRPr="004E31A0">
              <w:rPr>
                <w:sz w:val="22"/>
                <w:szCs w:val="22"/>
              </w:rPr>
              <w:t>a</w:t>
            </w:r>
            <w:r w:rsidRPr="004E31A0">
              <w:rPr>
                <w:sz w:val="22"/>
                <w:szCs w:val="22"/>
              </w:rPr>
              <w:t xml:space="preserve"> </w:t>
            </w:r>
            <w:r w:rsidR="004E31A0" w:rsidRPr="004E31A0">
              <w:rPr>
                <w:sz w:val="22"/>
                <w:szCs w:val="22"/>
              </w:rPr>
              <w:t>ph</w:t>
            </w:r>
            <w:r w:rsidRPr="004E31A0">
              <w:rPr>
                <w:sz w:val="22"/>
                <w:szCs w:val="22"/>
              </w:rPr>
              <w:t xml:space="preserve">ysical inspection of </w:t>
            </w:r>
            <w:r w:rsidR="004E31A0" w:rsidRPr="004E31A0">
              <w:rPr>
                <w:sz w:val="22"/>
                <w:szCs w:val="22"/>
              </w:rPr>
              <w:t>the facility</w:t>
            </w:r>
            <w:r w:rsidRPr="004E31A0">
              <w:rPr>
                <w:sz w:val="22"/>
                <w:szCs w:val="22"/>
              </w:rPr>
              <w:t>.</w:t>
            </w:r>
          </w:p>
          <w:p w:rsidR="001F6D1C" w:rsidRPr="009308E3" w:rsidRDefault="001F6D1C" w:rsidP="00753FD7">
            <w:pPr>
              <w:pStyle w:val="H11"/>
              <w:spacing w:before="240" w:after="120" w:line="240" w:lineRule="auto"/>
              <w:jc w:val="both"/>
              <w:rPr>
                <w:rFonts w:asciiTheme="minorHAnsi" w:hAnsiTheme="minorHAnsi"/>
                <w:b w:val="0"/>
                <w:color w:val="1F497D" w:themeColor="text2"/>
                <w:sz w:val="22"/>
                <w:szCs w:val="22"/>
              </w:rPr>
            </w:pPr>
            <w:r w:rsidRPr="009308E3">
              <w:rPr>
                <w:rStyle w:val="SubtleReference"/>
                <w:rFonts w:asciiTheme="minorHAnsi" w:hAnsiTheme="minorHAnsi"/>
                <w:b/>
                <w:color w:val="1F497D" w:themeColor="text2"/>
                <w:sz w:val="22"/>
                <w:szCs w:val="22"/>
              </w:rPr>
              <w:t>Background</w:t>
            </w:r>
          </w:p>
          <w:p w:rsidR="00F43D63" w:rsidRPr="00193FFE" w:rsidRDefault="00F43D63" w:rsidP="00F43D63">
            <w:pPr>
              <w:spacing w:line="240" w:lineRule="auto"/>
              <w:jc w:val="both"/>
              <w:rPr>
                <w:sz w:val="22"/>
                <w:szCs w:val="22"/>
              </w:rPr>
            </w:pPr>
            <w:r w:rsidRPr="00193FFE">
              <w:rPr>
                <w:sz w:val="22"/>
                <w:szCs w:val="22"/>
              </w:rPr>
              <w:t xml:space="preserve">The facility houses radioactive waste held by Defence. This is legacy waste made up of unrepairable and obsolete equipment, instruments, repair parts and consumables containing low and intermediate level radioactive materials. The facility is closed and does not receive waste on a regular basis. Defence possess and control the facility in order to manage the waste produced by previous activities.   </w:t>
            </w:r>
          </w:p>
          <w:p w:rsidR="001F6D1C" w:rsidRPr="009308E3" w:rsidRDefault="001F6D1C" w:rsidP="00753FD7">
            <w:pPr>
              <w:pStyle w:val="H11"/>
              <w:spacing w:before="120" w:after="120" w:line="240" w:lineRule="auto"/>
              <w:jc w:val="both"/>
              <w:rPr>
                <w:b w:val="0"/>
                <w:sz w:val="22"/>
                <w:szCs w:val="22"/>
              </w:rPr>
            </w:pPr>
            <w:r w:rsidRPr="009308E3">
              <w:rPr>
                <w:rStyle w:val="SubtleReference"/>
                <w:rFonts w:asciiTheme="minorHAnsi" w:hAnsiTheme="minorHAnsi"/>
                <w:b/>
                <w:color w:val="1F497D" w:themeColor="text2"/>
                <w:sz w:val="22"/>
                <w:szCs w:val="22"/>
              </w:rPr>
              <w:t>Observations</w:t>
            </w:r>
          </w:p>
          <w:p w:rsidR="00AF7ED4" w:rsidRDefault="007F0D63" w:rsidP="00753FD7">
            <w:pPr>
              <w:spacing w:line="240" w:lineRule="auto"/>
              <w:jc w:val="both"/>
              <w:rPr>
                <w:sz w:val="22"/>
                <w:szCs w:val="22"/>
                <w:lang w:val="en-US"/>
              </w:rPr>
            </w:pPr>
            <w:r w:rsidRPr="003263D9">
              <w:rPr>
                <w:sz w:val="22"/>
                <w:szCs w:val="22"/>
                <w:lang w:val="en-US"/>
              </w:rPr>
              <w:t xml:space="preserve">In general, </w:t>
            </w:r>
            <w:proofErr w:type="spellStart"/>
            <w:r w:rsidR="003263D9" w:rsidRPr="003263D9">
              <w:rPr>
                <w:sz w:val="22"/>
                <w:szCs w:val="22"/>
                <w:lang w:val="en-US"/>
              </w:rPr>
              <w:t>Defence</w:t>
            </w:r>
            <w:proofErr w:type="spellEnd"/>
            <w:r w:rsidR="003263D9" w:rsidRPr="003263D9">
              <w:rPr>
                <w:sz w:val="22"/>
                <w:szCs w:val="22"/>
                <w:lang w:val="en-US"/>
              </w:rPr>
              <w:t xml:space="preserve"> personnel indicated a willingness to comply with security </w:t>
            </w:r>
            <w:r w:rsidR="003263D9" w:rsidRPr="00AF7ED4">
              <w:rPr>
                <w:sz w:val="22"/>
                <w:szCs w:val="22"/>
                <w:lang w:val="en-US"/>
              </w:rPr>
              <w:t>requirements.</w:t>
            </w:r>
            <w:r w:rsidR="007073C1">
              <w:rPr>
                <w:sz w:val="22"/>
                <w:szCs w:val="22"/>
                <w:lang w:val="en-US"/>
              </w:rPr>
              <w:t xml:space="preserve"> Furthermore, it was observed that</w:t>
            </w:r>
            <w:r w:rsidR="0081705C">
              <w:rPr>
                <w:sz w:val="22"/>
                <w:szCs w:val="22"/>
                <w:lang w:val="en-US"/>
              </w:rPr>
              <w:t>,</w:t>
            </w:r>
            <w:r w:rsidR="007073C1">
              <w:rPr>
                <w:sz w:val="22"/>
                <w:szCs w:val="22"/>
                <w:lang w:val="en-US"/>
              </w:rPr>
              <w:t xml:space="preserve"> </w:t>
            </w:r>
            <w:r w:rsidR="004F31C8">
              <w:rPr>
                <w:sz w:val="22"/>
                <w:szCs w:val="22"/>
                <w:lang w:val="en-US"/>
              </w:rPr>
              <w:t xml:space="preserve">at the </w:t>
            </w:r>
            <w:r w:rsidR="0081705C">
              <w:rPr>
                <w:sz w:val="22"/>
                <w:szCs w:val="22"/>
                <w:lang w:val="en-US"/>
              </w:rPr>
              <w:t xml:space="preserve">operating level, there was </w:t>
            </w:r>
            <w:r w:rsidR="004F31C8">
              <w:rPr>
                <w:sz w:val="22"/>
                <w:szCs w:val="22"/>
                <w:lang w:val="en-US"/>
              </w:rPr>
              <w:t xml:space="preserve">a good understanding of how </w:t>
            </w:r>
            <w:r w:rsidR="00140899">
              <w:rPr>
                <w:sz w:val="22"/>
                <w:szCs w:val="22"/>
                <w:lang w:val="en-US"/>
              </w:rPr>
              <w:t xml:space="preserve">security outcomes can be achieved. </w:t>
            </w:r>
            <w:r w:rsidR="00140899" w:rsidRPr="00AF7ED4">
              <w:rPr>
                <w:sz w:val="22"/>
                <w:szCs w:val="22"/>
                <w:lang w:val="en-US"/>
              </w:rPr>
              <w:t>There</w:t>
            </w:r>
            <w:r w:rsidR="00BA1A03" w:rsidRPr="00AF7ED4">
              <w:rPr>
                <w:sz w:val="22"/>
                <w:szCs w:val="22"/>
                <w:lang w:val="en-US"/>
              </w:rPr>
              <w:t xml:space="preserve"> appeared to be</w:t>
            </w:r>
            <w:r w:rsidR="00BA1A03">
              <w:rPr>
                <w:sz w:val="22"/>
                <w:szCs w:val="22"/>
                <w:lang w:val="en-US"/>
              </w:rPr>
              <w:t>,</w:t>
            </w:r>
            <w:r w:rsidR="00BB2ED0" w:rsidRPr="00AF7ED4">
              <w:rPr>
                <w:sz w:val="22"/>
                <w:szCs w:val="22"/>
                <w:lang w:val="en-US"/>
              </w:rPr>
              <w:t xml:space="preserve"> however, </w:t>
            </w:r>
            <w:r w:rsidR="00AF7ED4" w:rsidRPr="00AF7ED4">
              <w:rPr>
                <w:sz w:val="22"/>
                <w:szCs w:val="22"/>
                <w:lang w:val="en-US"/>
              </w:rPr>
              <w:t>several areas where</w:t>
            </w:r>
            <w:r w:rsidR="005647EA">
              <w:rPr>
                <w:sz w:val="22"/>
                <w:szCs w:val="22"/>
                <w:lang w:val="en-US"/>
              </w:rPr>
              <w:t xml:space="preserve"> there is </w:t>
            </w:r>
            <w:r w:rsidR="00BB2ED0" w:rsidRPr="00AF7ED4">
              <w:rPr>
                <w:sz w:val="22"/>
                <w:szCs w:val="22"/>
                <w:lang w:val="en-US"/>
              </w:rPr>
              <w:t>room for improvement</w:t>
            </w:r>
            <w:r w:rsidR="00AF7ED4" w:rsidRPr="00AF7ED4">
              <w:rPr>
                <w:sz w:val="22"/>
                <w:szCs w:val="22"/>
                <w:lang w:val="en-US"/>
              </w:rPr>
              <w:t>.</w:t>
            </w:r>
          </w:p>
          <w:p w:rsidR="005647EA" w:rsidRDefault="005647EA" w:rsidP="00753FD7">
            <w:pPr>
              <w:spacing w:line="240" w:lineRule="auto"/>
              <w:jc w:val="both"/>
              <w:rPr>
                <w:sz w:val="22"/>
                <w:szCs w:val="22"/>
                <w:lang w:val="en-US"/>
              </w:rPr>
            </w:pPr>
            <w:r w:rsidRPr="00BB5F92">
              <w:rPr>
                <w:sz w:val="22"/>
                <w:szCs w:val="22"/>
              </w:rPr>
              <w:t>Radiation Protection Series 11</w:t>
            </w:r>
            <w:r w:rsidRPr="00BB5F92">
              <w:rPr>
                <w:i/>
                <w:sz w:val="22"/>
                <w:szCs w:val="22"/>
              </w:rPr>
              <w:t xml:space="preserve"> Code of Practice for the Security of Radioactive Sources </w:t>
            </w:r>
            <w:r w:rsidRPr="00BB5F92">
              <w:rPr>
                <w:sz w:val="22"/>
                <w:szCs w:val="22"/>
              </w:rPr>
              <w:t>(RPS11)</w:t>
            </w:r>
            <w:r w:rsidR="00A0165B">
              <w:rPr>
                <w:sz w:val="22"/>
                <w:szCs w:val="22"/>
              </w:rPr>
              <w:t xml:space="preserve"> was published in</w:t>
            </w:r>
            <w:r w:rsidR="002F1FA6">
              <w:rPr>
                <w:sz w:val="22"/>
                <w:szCs w:val="22"/>
              </w:rPr>
              <w:t xml:space="preserve"> January </w:t>
            </w:r>
            <w:r>
              <w:rPr>
                <w:sz w:val="22"/>
                <w:szCs w:val="22"/>
              </w:rPr>
              <w:t>2007</w:t>
            </w:r>
            <w:r w:rsidR="00600E59">
              <w:rPr>
                <w:sz w:val="22"/>
                <w:szCs w:val="22"/>
              </w:rPr>
              <w:t xml:space="preserve">. This </w:t>
            </w:r>
            <w:r w:rsidR="00A0165B" w:rsidRPr="00A0165B">
              <w:rPr>
                <w:sz w:val="22"/>
                <w:szCs w:val="22"/>
              </w:rPr>
              <w:t>set</w:t>
            </w:r>
            <w:r w:rsidR="00A0165B">
              <w:rPr>
                <w:sz w:val="22"/>
                <w:szCs w:val="22"/>
              </w:rPr>
              <w:t>s</w:t>
            </w:r>
            <w:r w:rsidR="00A0165B" w:rsidRPr="00A0165B">
              <w:rPr>
                <w:sz w:val="22"/>
                <w:szCs w:val="22"/>
              </w:rPr>
              <w:t xml:space="preserve"> out the security requirements to be implemented by persons dealing with a radioactive source</w:t>
            </w:r>
            <w:r w:rsidR="00600E59">
              <w:rPr>
                <w:sz w:val="22"/>
                <w:szCs w:val="22"/>
              </w:rPr>
              <w:t>,</w:t>
            </w:r>
            <w:r w:rsidR="00A0165B" w:rsidRPr="00A0165B">
              <w:rPr>
                <w:sz w:val="22"/>
                <w:szCs w:val="22"/>
              </w:rPr>
              <w:t xml:space="preserve"> in order to decrease the likelihood of the unauthorised access to</w:t>
            </w:r>
            <w:r w:rsidR="00600E59">
              <w:rPr>
                <w:sz w:val="22"/>
                <w:szCs w:val="22"/>
              </w:rPr>
              <w:t>,</w:t>
            </w:r>
            <w:r w:rsidR="00A0165B" w:rsidRPr="00A0165B">
              <w:rPr>
                <w:sz w:val="22"/>
                <w:szCs w:val="22"/>
              </w:rPr>
              <w:t xml:space="preserve"> or acquisition of</w:t>
            </w:r>
            <w:r w:rsidR="00600E59">
              <w:rPr>
                <w:sz w:val="22"/>
                <w:szCs w:val="22"/>
              </w:rPr>
              <w:t>,</w:t>
            </w:r>
            <w:r w:rsidR="00A0165B" w:rsidRPr="00A0165B">
              <w:rPr>
                <w:sz w:val="22"/>
                <w:szCs w:val="22"/>
              </w:rPr>
              <w:t xml:space="preserve"> the radioactive source by persons with malicious intent.</w:t>
            </w:r>
            <w:r w:rsidR="002F1FA6">
              <w:rPr>
                <w:sz w:val="22"/>
                <w:szCs w:val="22"/>
              </w:rPr>
              <w:t xml:space="preserve"> </w:t>
            </w:r>
            <w:r>
              <w:rPr>
                <w:sz w:val="22"/>
                <w:szCs w:val="22"/>
                <w:lang w:val="en-US"/>
              </w:rPr>
              <w:t xml:space="preserve">  </w:t>
            </w:r>
          </w:p>
          <w:p w:rsidR="008921CA" w:rsidRDefault="008952A8" w:rsidP="00BB4DB4">
            <w:pPr>
              <w:spacing w:line="240" w:lineRule="auto"/>
              <w:jc w:val="both"/>
              <w:rPr>
                <w:sz w:val="22"/>
                <w:szCs w:val="22"/>
              </w:rPr>
            </w:pPr>
            <w:proofErr w:type="spellStart"/>
            <w:r>
              <w:rPr>
                <w:sz w:val="22"/>
                <w:szCs w:val="22"/>
                <w:lang w:val="en-US"/>
              </w:rPr>
              <w:t>Defence</w:t>
            </w:r>
            <w:proofErr w:type="spellEnd"/>
            <w:r>
              <w:rPr>
                <w:sz w:val="22"/>
                <w:szCs w:val="22"/>
                <w:lang w:val="en-US"/>
              </w:rPr>
              <w:t xml:space="preserve"> </w:t>
            </w:r>
            <w:r w:rsidR="002F635C">
              <w:rPr>
                <w:sz w:val="22"/>
                <w:szCs w:val="22"/>
                <w:lang w:val="en-US"/>
              </w:rPr>
              <w:t>is in the process of</w:t>
            </w:r>
            <w:r>
              <w:rPr>
                <w:sz w:val="22"/>
                <w:szCs w:val="22"/>
                <w:lang w:val="en-US"/>
              </w:rPr>
              <w:t xml:space="preserve"> implement</w:t>
            </w:r>
            <w:r w:rsidR="002F635C">
              <w:rPr>
                <w:sz w:val="22"/>
                <w:szCs w:val="22"/>
                <w:lang w:val="en-US"/>
              </w:rPr>
              <w:t>ing</w:t>
            </w:r>
            <w:r>
              <w:rPr>
                <w:sz w:val="22"/>
                <w:szCs w:val="22"/>
                <w:lang w:val="en-US"/>
              </w:rPr>
              <w:t xml:space="preserve"> </w:t>
            </w:r>
            <w:r w:rsidR="00BB4DB4">
              <w:rPr>
                <w:sz w:val="22"/>
                <w:szCs w:val="22"/>
                <w:lang w:val="en-US"/>
              </w:rPr>
              <w:t xml:space="preserve">a hierarchical approach to the </w:t>
            </w:r>
            <w:r w:rsidR="00574044">
              <w:rPr>
                <w:sz w:val="22"/>
                <w:szCs w:val="22"/>
                <w:lang w:val="en-US"/>
              </w:rPr>
              <w:t>security of sources</w:t>
            </w:r>
            <w:r w:rsidR="00BB4DB4">
              <w:rPr>
                <w:sz w:val="22"/>
                <w:szCs w:val="22"/>
                <w:lang w:val="en-US"/>
              </w:rPr>
              <w:t xml:space="preserve">. </w:t>
            </w:r>
            <w:r w:rsidR="002F635C">
              <w:rPr>
                <w:sz w:val="22"/>
                <w:szCs w:val="22"/>
                <w:lang w:val="en-US"/>
              </w:rPr>
              <w:t>At a minimum, this will consist</w:t>
            </w:r>
            <w:r w:rsidR="00BB4DB4">
              <w:rPr>
                <w:sz w:val="22"/>
                <w:szCs w:val="22"/>
                <w:lang w:val="en-US"/>
              </w:rPr>
              <w:t xml:space="preserve"> </w:t>
            </w:r>
            <w:r w:rsidR="002F635C">
              <w:rPr>
                <w:sz w:val="22"/>
                <w:szCs w:val="22"/>
                <w:lang w:val="en-US"/>
              </w:rPr>
              <w:t>of</w:t>
            </w:r>
            <w:r w:rsidR="00BB4DB4">
              <w:rPr>
                <w:sz w:val="22"/>
                <w:szCs w:val="22"/>
                <w:lang w:val="en-US"/>
              </w:rPr>
              <w:t xml:space="preserve"> </w:t>
            </w:r>
            <w:r w:rsidR="00574044">
              <w:rPr>
                <w:sz w:val="22"/>
                <w:szCs w:val="22"/>
                <w:lang w:val="en-US"/>
              </w:rPr>
              <w:t>a</w:t>
            </w:r>
            <w:r w:rsidR="00BB4DB4">
              <w:rPr>
                <w:sz w:val="22"/>
                <w:szCs w:val="22"/>
                <w:lang w:val="en-US"/>
              </w:rPr>
              <w:t xml:space="preserve"> corporate</w:t>
            </w:r>
            <w:r w:rsidR="00574044">
              <w:rPr>
                <w:sz w:val="22"/>
                <w:szCs w:val="22"/>
                <w:lang w:val="en-US"/>
              </w:rPr>
              <w:t xml:space="preserve"> policy</w:t>
            </w:r>
            <w:r w:rsidR="00BB4DB4">
              <w:rPr>
                <w:sz w:val="22"/>
                <w:szCs w:val="22"/>
                <w:lang w:val="en-US"/>
              </w:rPr>
              <w:t xml:space="preserve"> document</w:t>
            </w:r>
            <w:r w:rsidR="00574044">
              <w:rPr>
                <w:sz w:val="22"/>
                <w:szCs w:val="22"/>
                <w:lang w:val="en-US"/>
              </w:rPr>
              <w:t xml:space="preserve"> (contained within the </w:t>
            </w:r>
            <w:proofErr w:type="spellStart"/>
            <w:r w:rsidR="00BB4DB4">
              <w:rPr>
                <w:sz w:val="22"/>
                <w:szCs w:val="22"/>
                <w:lang w:val="en-US"/>
              </w:rPr>
              <w:t>Defence</w:t>
            </w:r>
            <w:proofErr w:type="spellEnd"/>
            <w:r w:rsidR="00BB4DB4">
              <w:rPr>
                <w:sz w:val="22"/>
                <w:szCs w:val="22"/>
                <w:lang w:val="en-US"/>
              </w:rPr>
              <w:t xml:space="preserve"> R</w:t>
            </w:r>
            <w:r w:rsidR="00574044">
              <w:rPr>
                <w:sz w:val="22"/>
                <w:szCs w:val="22"/>
                <w:lang w:val="en-US"/>
              </w:rPr>
              <w:t xml:space="preserve">adiation </w:t>
            </w:r>
            <w:r w:rsidR="00BB4DB4">
              <w:rPr>
                <w:sz w:val="22"/>
                <w:szCs w:val="22"/>
                <w:lang w:val="en-US"/>
              </w:rPr>
              <w:t>S</w:t>
            </w:r>
            <w:r w:rsidR="00574044">
              <w:rPr>
                <w:sz w:val="22"/>
                <w:szCs w:val="22"/>
                <w:lang w:val="en-US"/>
              </w:rPr>
              <w:t xml:space="preserve">afety </w:t>
            </w:r>
            <w:r w:rsidR="00BB4DB4">
              <w:rPr>
                <w:sz w:val="22"/>
                <w:szCs w:val="22"/>
                <w:lang w:val="en-US"/>
              </w:rPr>
              <w:t>M</w:t>
            </w:r>
            <w:r w:rsidR="00574044">
              <w:rPr>
                <w:sz w:val="22"/>
                <w:szCs w:val="22"/>
                <w:lang w:val="en-US"/>
              </w:rPr>
              <w:t xml:space="preserve">anual) and a security plan for each site holding security enhanced sources. </w:t>
            </w:r>
            <w:r w:rsidRPr="00BB4DB4">
              <w:rPr>
                <w:sz w:val="22"/>
                <w:szCs w:val="22"/>
              </w:rPr>
              <w:t xml:space="preserve">The current version of the Source Security Plan for the waste storage facility was provided. </w:t>
            </w:r>
            <w:r w:rsidR="00A1449A">
              <w:rPr>
                <w:sz w:val="22"/>
                <w:szCs w:val="22"/>
              </w:rPr>
              <w:t>However, t</w:t>
            </w:r>
            <w:r w:rsidRPr="00BB4DB4">
              <w:rPr>
                <w:sz w:val="22"/>
                <w:szCs w:val="22"/>
              </w:rPr>
              <w:t>here was no evidence that this plan had been endorsed by an assessor accredited by the regulatory body</w:t>
            </w:r>
            <w:r w:rsidR="008530EB">
              <w:rPr>
                <w:sz w:val="22"/>
                <w:szCs w:val="22"/>
              </w:rPr>
              <w:t>, as required by clause 2.1.3(b) of RPS11</w:t>
            </w:r>
            <w:r w:rsidRPr="00BB4DB4">
              <w:rPr>
                <w:sz w:val="22"/>
                <w:szCs w:val="22"/>
              </w:rPr>
              <w:t xml:space="preserve">. </w:t>
            </w:r>
            <w:r w:rsidR="008921CA">
              <w:rPr>
                <w:sz w:val="22"/>
                <w:szCs w:val="22"/>
              </w:rPr>
              <w:t xml:space="preserve">This is a potential non-compliance with licence condition 6 of Facility Licence F0213.  </w:t>
            </w:r>
          </w:p>
          <w:p w:rsidR="00965BC0" w:rsidRDefault="00C61DC6" w:rsidP="00793433">
            <w:pPr>
              <w:spacing w:line="240" w:lineRule="auto"/>
              <w:jc w:val="both"/>
              <w:rPr>
                <w:sz w:val="22"/>
                <w:szCs w:val="22"/>
              </w:rPr>
            </w:pPr>
            <w:r>
              <w:rPr>
                <w:sz w:val="22"/>
                <w:szCs w:val="22"/>
              </w:rPr>
              <w:t>Objective</w:t>
            </w:r>
            <w:r w:rsidR="006E3C7A">
              <w:rPr>
                <w:sz w:val="22"/>
                <w:szCs w:val="22"/>
              </w:rPr>
              <w:t xml:space="preserve"> 6.1 from the facility licence performance objectives and criteria (PO&amp;Cs)</w:t>
            </w:r>
            <w:r w:rsidR="000C0B58">
              <w:rPr>
                <w:sz w:val="22"/>
                <w:szCs w:val="22"/>
              </w:rPr>
              <w:t xml:space="preserve"> expects that the physical security arrangements are in accordance with RPS11 which</w:t>
            </w:r>
            <w:r w:rsidR="006E3C7A">
              <w:rPr>
                <w:sz w:val="22"/>
                <w:szCs w:val="22"/>
              </w:rPr>
              <w:t xml:space="preserve"> </w:t>
            </w:r>
            <w:r w:rsidR="00A67329">
              <w:rPr>
                <w:sz w:val="22"/>
                <w:szCs w:val="22"/>
              </w:rPr>
              <w:t>implements a r</w:t>
            </w:r>
            <w:r w:rsidR="000C0B58">
              <w:rPr>
                <w:sz w:val="22"/>
                <w:szCs w:val="22"/>
              </w:rPr>
              <w:t xml:space="preserve">isk based approach to security </w:t>
            </w:r>
            <w:r w:rsidR="00A67329">
              <w:rPr>
                <w:sz w:val="22"/>
                <w:szCs w:val="22"/>
              </w:rPr>
              <w:t xml:space="preserve">based upon the </w:t>
            </w:r>
            <w:r w:rsidR="00685B14">
              <w:rPr>
                <w:sz w:val="22"/>
                <w:szCs w:val="22"/>
              </w:rPr>
              <w:t xml:space="preserve">current </w:t>
            </w:r>
            <w:r w:rsidR="00A67329">
              <w:rPr>
                <w:sz w:val="22"/>
                <w:szCs w:val="22"/>
              </w:rPr>
              <w:t xml:space="preserve">threat level for a radiological attack and the specific details of the radioactive source. The threat level is </w:t>
            </w:r>
            <w:r w:rsidR="00A67329">
              <w:rPr>
                <w:sz w:val="22"/>
                <w:szCs w:val="22"/>
              </w:rPr>
              <w:lastRenderedPageBreak/>
              <w:t>supplied by the Australian Government’s National Threat Assessment Centre</w:t>
            </w:r>
            <w:r w:rsidR="000633D0">
              <w:rPr>
                <w:sz w:val="22"/>
                <w:szCs w:val="22"/>
              </w:rPr>
              <w:t>,</w:t>
            </w:r>
            <w:r w:rsidR="00A67329">
              <w:rPr>
                <w:sz w:val="22"/>
                <w:szCs w:val="22"/>
              </w:rPr>
              <w:t xml:space="preserve"> while the source is assigned a security category</w:t>
            </w:r>
            <w:r w:rsidR="005A6BEA">
              <w:rPr>
                <w:sz w:val="22"/>
                <w:szCs w:val="22"/>
              </w:rPr>
              <w:t xml:space="preserve"> using the methodology specified in Schedule B of RPS11</w:t>
            </w:r>
            <w:r w:rsidR="00A67329">
              <w:rPr>
                <w:sz w:val="22"/>
                <w:szCs w:val="22"/>
              </w:rPr>
              <w:t>.</w:t>
            </w:r>
            <w:r w:rsidR="008D6934">
              <w:rPr>
                <w:sz w:val="22"/>
                <w:szCs w:val="22"/>
              </w:rPr>
              <w:t xml:space="preserve"> </w:t>
            </w:r>
            <w:r w:rsidR="005A6BEA">
              <w:rPr>
                <w:sz w:val="22"/>
                <w:szCs w:val="22"/>
              </w:rPr>
              <w:t xml:space="preserve">This methodology takes into account situations where </w:t>
            </w:r>
            <w:r w:rsidR="005A6BEA" w:rsidRPr="00152A22">
              <w:rPr>
                <w:sz w:val="22"/>
                <w:szCs w:val="22"/>
              </w:rPr>
              <w:t>radioactive sources are in close proximity to each other</w:t>
            </w:r>
            <w:r w:rsidR="00735B31">
              <w:rPr>
                <w:sz w:val="22"/>
                <w:szCs w:val="22"/>
              </w:rPr>
              <w:t>,</w:t>
            </w:r>
            <w:r w:rsidR="009D5B9B">
              <w:rPr>
                <w:sz w:val="22"/>
                <w:szCs w:val="22"/>
              </w:rPr>
              <w:t xml:space="preserve"> and are protected by a common physical security barrier (e.g.</w:t>
            </w:r>
            <w:r w:rsidR="005A6BEA" w:rsidRPr="00152A22">
              <w:rPr>
                <w:sz w:val="22"/>
                <w:szCs w:val="22"/>
              </w:rPr>
              <w:t xml:space="preserve"> </w:t>
            </w:r>
            <w:r w:rsidR="009D5B9B">
              <w:rPr>
                <w:sz w:val="22"/>
                <w:szCs w:val="22"/>
              </w:rPr>
              <w:t xml:space="preserve">a locked door at the entrance to a storage room). In these instances, the activity of the sources is aggregated </w:t>
            </w:r>
            <w:r w:rsidR="00ED3110">
              <w:rPr>
                <w:sz w:val="22"/>
                <w:szCs w:val="22"/>
              </w:rPr>
              <w:t xml:space="preserve">so that the physical security measures are appropriate to the amount of radioactivity that the licence holder is </w:t>
            </w:r>
            <w:r w:rsidR="00D150D5">
              <w:rPr>
                <w:sz w:val="22"/>
                <w:szCs w:val="22"/>
              </w:rPr>
              <w:t>protecting</w:t>
            </w:r>
            <w:r w:rsidR="00ED3110">
              <w:rPr>
                <w:sz w:val="22"/>
                <w:szCs w:val="22"/>
              </w:rPr>
              <w:t xml:space="preserve">. </w:t>
            </w:r>
            <w:r w:rsidR="00685B14">
              <w:rPr>
                <w:sz w:val="22"/>
                <w:szCs w:val="22"/>
              </w:rPr>
              <w:t>In this instance, Defence had incorrectly assessed the security category of the facility.</w:t>
            </w:r>
            <w:r w:rsidR="008E4C04">
              <w:rPr>
                <w:sz w:val="22"/>
                <w:szCs w:val="22"/>
              </w:rPr>
              <w:t xml:space="preserve"> This means that Defence have been aiming to achieve a lower performance objective </w:t>
            </w:r>
            <w:r w:rsidR="009C733F">
              <w:rPr>
                <w:sz w:val="22"/>
                <w:szCs w:val="22"/>
              </w:rPr>
              <w:t xml:space="preserve">than </w:t>
            </w:r>
            <w:r w:rsidR="009157E1">
              <w:rPr>
                <w:sz w:val="22"/>
                <w:szCs w:val="22"/>
              </w:rPr>
              <w:t>is</w:t>
            </w:r>
            <w:r w:rsidR="008E4C04">
              <w:rPr>
                <w:sz w:val="22"/>
                <w:szCs w:val="22"/>
              </w:rPr>
              <w:t xml:space="preserve"> appropriate</w:t>
            </w:r>
            <w:r w:rsidR="009157E1">
              <w:rPr>
                <w:sz w:val="22"/>
                <w:szCs w:val="22"/>
              </w:rPr>
              <w:t xml:space="preserve"> to the situation</w:t>
            </w:r>
            <w:r w:rsidR="008E4C04">
              <w:rPr>
                <w:sz w:val="22"/>
                <w:szCs w:val="22"/>
              </w:rPr>
              <w:t xml:space="preserve">. </w:t>
            </w:r>
          </w:p>
          <w:p w:rsidR="00180A78" w:rsidRDefault="005765AC" w:rsidP="007F1110">
            <w:pPr>
              <w:spacing w:line="240" w:lineRule="auto"/>
              <w:jc w:val="both"/>
              <w:rPr>
                <w:sz w:val="22"/>
                <w:szCs w:val="22"/>
              </w:rPr>
            </w:pPr>
            <w:r>
              <w:rPr>
                <w:sz w:val="22"/>
                <w:szCs w:val="22"/>
              </w:rPr>
              <w:t xml:space="preserve">The </w:t>
            </w:r>
            <w:r w:rsidR="00D150D5">
              <w:rPr>
                <w:sz w:val="22"/>
                <w:szCs w:val="22"/>
              </w:rPr>
              <w:t xml:space="preserve">existing </w:t>
            </w:r>
            <w:r>
              <w:rPr>
                <w:sz w:val="22"/>
                <w:szCs w:val="22"/>
              </w:rPr>
              <w:t xml:space="preserve">physical security </w:t>
            </w:r>
            <w:r w:rsidR="00D150D5">
              <w:rPr>
                <w:sz w:val="22"/>
                <w:szCs w:val="22"/>
              </w:rPr>
              <w:t xml:space="preserve">system </w:t>
            </w:r>
            <w:r>
              <w:rPr>
                <w:sz w:val="22"/>
                <w:szCs w:val="22"/>
              </w:rPr>
              <w:t>was inspected,</w:t>
            </w:r>
            <w:r w:rsidR="00D150D5">
              <w:rPr>
                <w:sz w:val="22"/>
                <w:szCs w:val="22"/>
              </w:rPr>
              <w:t xml:space="preserve"> and overall,</w:t>
            </w:r>
            <w:r>
              <w:rPr>
                <w:sz w:val="22"/>
                <w:szCs w:val="22"/>
              </w:rPr>
              <w:t xml:space="preserve"> it was observed that measures were in place to detect</w:t>
            </w:r>
            <w:r w:rsidR="00B734DA">
              <w:rPr>
                <w:sz w:val="22"/>
                <w:szCs w:val="22"/>
              </w:rPr>
              <w:t>,</w:t>
            </w:r>
            <w:r>
              <w:rPr>
                <w:sz w:val="22"/>
                <w:szCs w:val="22"/>
              </w:rPr>
              <w:t xml:space="preserve"> assess</w:t>
            </w:r>
            <w:r w:rsidR="00D150D5">
              <w:rPr>
                <w:sz w:val="22"/>
                <w:szCs w:val="22"/>
              </w:rPr>
              <w:t xml:space="preserve"> and delay</w:t>
            </w:r>
            <w:r>
              <w:rPr>
                <w:sz w:val="22"/>
                <w:szCs w:val="22"/>
              </w:rPr>
              <w:t xml:space="preserve"> unauthorised access to the facility. </w:t>
            </w:r>
            <w:r w:rsidR="007F1110">
              <w:rPr>
                <w:sz w:val="22"/>
                <w:szCs w:val="22"/>
              </w:rPr>
              <w:t xml:space="preserve">However, it was observed that </w:t>
            </w:r>
            <w:r w:rsidR="00B734DA">
              <w:rPr>
                <w:sz w:val="22"/>
                <w:szCs w:val="22"/>
              </w:rPr>
              <w:t>some</w:t>
            </w:r>
            <w:r w:rsidR="007F1110">
              <w:rPr>
                <w:sz w:val="22"/>
                <w:szCs w:val="22"/>
              </w:rPr>
              <w:t xml:space="preserve"> minor improvements could enhance the </w:t>
            </w:r>
            <w:r w:rsidR="00286DA4">
              <w:rPr>
                <w:sz w:val="22"/>
                <w:szCs w:val="22"/>
              </w:rPr>
              <w:t>integrity of the</w:t>
            </w:r>
            <w:r w:rsidR="007F1110">
              <w:rPr>
                <w:sz w:val="22"/>
                <w:szCs w:val="22"/>
              </w:rPr>
              <w:t xml:space="preserve"> </w:t>
            </w:r>
            <w:r w:rsidR="00286DA4">
              <w:rPr>
                <w:sz w:val="22"/>
                <w:szCs w:val="22"/>
              </w:rPr>
              <w:t>physical security system,</w:t>
            </w:r>
            <w:r w:rsidR="007F1110">
              <w:rPr>
                <w:sz w:val="22"/>
                <w:szCs w:val="22"/>
              </w:rPr>
              <w:t xml:space="preserve"> such as hardening the </w:t>
            </w:r>
            <w:r w:rsidR="007F1110" w:rsidRPr="00BB4DB4">
              <w:rPr>
                <w:sz w:val="22"/>
                <w:szCs w:val="22"/>
              </w:rPr>
              <w:t xml:space="preserve">main </w:t>
            </w:r>
            <w:r w:rsidR="007F1110">
              <w:rPr>
                <w:sz w:val="22"/>
                <w:szCs w:val="22"/>
              </w:rPr>
              <w:t xml:space="preserve">access </w:t>
            </w:r>
            <w:r w:rsidR="007F1110" w:rsidRPr="00BB4DB4">
              <w:rPr>
                <w:sz w:val="22"/>
                <w:szCs w:val="22"/>
              </w:rPr>
              <w:t xml:space="preserve">door hinges </w:t>
            </w:r>
            <w:r w:rsidR="007F1110">
              <w:rPr>
                <w:sz w:val="22"/>
                <w:szCs w:val="22"/>
              </w:rPr>
              <w:t xml:space="preserve">and removing </w:t>
            </w:r>
            <w:r w:rsidR="00847D91">
              <w:rPr>
                <w:sz w:val="22"/>
                <w:szCs w:val="22"/>
              </w:rPr>
              <w:t>an</w:t>
            </w:r>
            <w:r w:rsidR="007F1110">
              <w:rPr>
                <w:sz w:val="22"/>
                <w:szCs w:val="22"/>
              </w:rPr>
              <w:t xml:space="preserve"> access vulnerability to the</w:t>
            </w:r>
            <w:r w:rsidR="007F1110" w:rsidRPr="00BB4DB4">
              <w:rPr>
                <w:sz w:val="22"/>
                <w:szCs w:val="22"/>
              </w:rPr>
              <w:t xml:space="preserve"> main vent shaft bolts.</w:t>
            </w:r>
            <w:r w:rsidR="007F1110">
              <w:rPr>
                <w:sz w:val="22"/>
                <w:szCs w:val="22"/>
              </w:rPr>
              <w:t xml:space="preserve"> </w:t>
            </w:r>
          </w:p>
          <w:p w:rsidR="00180A78" w:rsidRDefault="00180A78" w:rsidP="007F1110">
            <w:pPr>
              <w:spacing w:line="240" w:lineRule="auto"/>
              <w:jc w:val="both"/>
              <w:rPr>
                <w:sz w:val="22"/>
                <w:szCs w:val="22"/>
              </w:rPr>
            </w:pPr>
            <w:r>
              <w:rPr>
                <w:sz w:val="22"/>
                <w:szCs w:val="22"/>
              </w:rPr>
              <w:t>It is expected that</w:t>
            </w:r>
            <w:r w:rsidR="00C16054">
              <w:rPr>
                <w:sz w:val="22"/>
                <w:szCs w:val="22"/>
              </w:rPr>
              <w:t xml:space="preserve"> Defence will shortly submit a source security plan that is appropriate to the se</w:t>
            </w:r>
            <w:r w:rsidR="00245272">
              <w:rPr>
                <w:sz w:val="22"/>
                <w:szCs w:val="22"/>
              </w:rPr>
              <w:t>curity category of the facility and</w:t>
            </w:r>
            <w:r w:rsidR="00C16054">
              <w:rPr>
                <w:sz w:val="22"/>
                <w:szCs w:val="22"/>
              </w:rPr>
              <w:t xml:space="preserve"> it </w:t>
            </w:r>
            <w:r w:rsidR="001845E6">
              <w:rPr>
                <w:sz w:val="22"/>
                <w:szCs w:val="22"/>
              </w:rPr>
              <w:t xml:space="preserve">is anticipated that the existing security measures </w:t>
            </w:r>
            <w:r w:rsidR="008530EB">
              <w:rPr>
                <w:sz w:val="22"/>
                <w:szCs w:val="22"/>
              </w:rPr>
              <w:t>should achieve</w:t>
            </w:r>
            <w:r w:rsidR="001845E6">
              <w:rPr>
                <w:sz w:val="22"/>
                <w:szCs w:val="22"/>
              </w:rPr>
              <w:t xml:space="preserve"> the security requirements set out by RPS11.   </w:t>
            </w:r>
          </w:p>
          <w:p w:rsidR="00965BC0" w:rsidRDefault="009157E1" w:rsidP="00793433">
            <w:pPr>
              <w:spacing w:line="240" w:lineRule="auto"/>
              <w:jc w:val="both"/>
              <w:rPr>
                <w:sz w:val="22"/>
                <w:szCs w:val="22"/>
              </w:rPr>
            </w:pPr>
            <w:r w:rsidRPr="00BB4DB4">
              <w:rPr>
                <w:sz w:val="22"/>
                <w:szCs w:val="22"/>
              </w:rPr>
              <w:t xml:space="preserve">Defence had implemented lessons learned </w:t>
            </w:r>
            <w:r w:rsidR="00965BC0">
              <w:rPr>
                <w:sz w:val="22"/>
                <w:szCs w:val="22"/>
              </w:rPr>
              <w:t>from</w:t>
            </w:r>
            <w:r w:rsidRPr="00BB4DB4">
              <w:rPr>
                <w:sz w:val="22"/>
                <w:szCs w:val="22"/>
              </w:rPr>
              <w:t xml:space="preserve"> previous false alarms</w:t>
            </w:r>
            <w:r>
              <w:rPr>
                <w:sz w:val="22"/>
                <w:szCs w:val="22"/>
              </w:rPr>
              <w:t xml:space="preserve"> of the security system</w:t>
            </w:r>
            <w:r w:rsidRPr="00BB4DB4">
              <w:rPr>
                <w:sz w:val="22"/>
                <w:szCs w:val="22"/>
              </w:rPr>
              <w:t>.</w:t>
            </w:r>
            <w:r>
              <w:rPr>
                <w:sz w:val="22"/>
                <w:szCs w:val="22"/>
              </w:rPr>
              <w:t xml:space="preserve"> For example,</w:t>
            </w:r>
            <w:r w:rsidRPr="00BB4DB4">
              <w:rPr>
                <w:sz w:val="22"/>
                <w:szCs w:val="22"/>
              </w:rPr>
              <w:t xml:space="preserve"> </w:t>
            </w:r>
            <w:r>
              <w:rPr>
                <w:sz w:val="22"/>
                <w:szCs w:val="22"/>
              </w:rPr>
              <w:t>large bolts</w:t>
            </w:r>
            <w:r w:rsidRPr="00BB4DB4">
              <w:rPr>
                <w:sz w:val="22"/>
                <w:szCs w:val="22"/>
              </w:rPr>
              <w:t xml:space="preserve"> had been installed</w:t>
            </w:r>
            <w:r>
              <w:rPr>
                <w:sz w:val="22"/>
                <w:szCs w:val="22"/>
              </w:rPr>
              <w:t xml:space="preserve"> on the access doors that were fitted with </w:t>
            </w:r>
            <w:r w:rsidR="007073C1">
              <w:rPr>
                <w:sz w:val="22"/>
                <w:szCs w:val="22"/>
              </w:rPr>
              <w:t xml:space="preserve">reed </w:t>
            </w:r>
            <w:r>
              <w:rPr>
                <w:sz w:val="22"/>
                <w:szCs w:val="22"/>
              </w:rPr>
              <w:t>switches for the specific purpose of</w:t>
            </w:r>
            <w:r w:rsidRPr="00BB4DB4">
              <w:rPr>
                <w:sz w:val="22"/>
                <w:szCs w:val="22"/>
              </w:rPr>
              <w:t xml:space="preserve"> prevent</w:t>
            </w:r>
            <w:r>
              <w:rPr>
                <w:sz w:val="22"/>
                <w:szCs w:val="22"/>
              </w:rPr>
              <w:t>ing</w:t>
            </w:r>
            <w:r w:rsidRPr="00BB4DB4">
              <w:rPr>
                <w:sz w:val="22"/>
                <w:szCs w:val="22"/>
              </w:rPr>
              <w:t xml:space="preserve"> wind-induced false alarms. </w:t>
            </w:r>
          </w:p>
          <w:p w:rsidR="00F5411F" w:rsidRDefault="00B83893" w:rsidP="00F5411F">
            <w:pPr>
              <w:spacing w:line="240" w:lineRule="auto"/>
              <w:jc w:val="both"/>
              <w:rPr>
                <w:sz w:val="22"/>
                <w:szCs w:val="22"/>
              </w:rPr>
            </w:pPr>
            <w:r>
              <w:rPr>
                <w:sz w:val="22"/>
                <w:szCs w:val="22"/>
              </w:rPr>
              <w:t>Cross-cutting objective</w:t>
            </w:r>
            <w:r w:rsidR="006E3C7A">
              <w:rPr>
                <w:sz w:val="22"/>
                <w:szCs w:val="22"/>
              </w:rPr>
              <w:t xml:space="preserve"> 1.4 from the</w:t>
            </w:r>
            <w:r w:rsidR="000C0B58">
              <w:rPr>
                <w:sz w:val="22"/>
                <w:szCs w:val="22"/>
              </w:rPr>
              <w:t xml:space="preserve"> facility licence</w:t>
            </w:r>
            <w:r w:rsidR="006E3C7A">
              <w:rPr>
                <w:sz w:val="22"/>
                <w:szCs w:val="22"/>
              </w:rPr>
              <w:t xml:space="preserve"> </w:t>
            </w:r>
            <w:r w:rsidR="000C0B58">
              <w:rPr>
                <w:sz w:val="22"/>
                <w:szCs w:val="22"/>
              </w:rPr>
              <w:t xml:space="preserve">PO&amp;Cs expects that safety and security is integrated into all activities. </w:t>
            </w:r>
            <w:r w:rsidR="00CE6789">
              <w:rPr>
                <w:sz w:val="22"/>
                <w:szCs w:val="22"/>
              </w:rPr>
              <w:t>Q</w:t>
            </w:r>
            <w:r w:rsidR="004C7BD5">
              <w:rPr>
                <w:sz w:val="22"/>
                <w:szCs w:val="22"/>
              </w:rPr>
              <w:t xml:space="preserve">uality management systems </w:t>
            </w:r>
            <w:r w:rsidR="00CE6789">
              <w:rPr>
                <w:sz w:val="22"/>
                <w:szCs w:val="22"/>
              </w:rPr>
              <w:t>are commonly</w:t>
            </w:r>
            <w:r w:rsidR="004C7BD5">
              <w:rPr>
                <w:sz w:val="22"/>
                <w:szCs w:val="22"/>
              </w:rPr>
              <w:t xml:space="preserve"> </w:t>
            </w:r>
            <w:r w:rsidR="00CE6789">
              <w:rPr>
                <w:sz w:val="22"/>
                <w:szCs w:val="22"/>
              </w:rPr>
              <w:t>used for this purpose</w:t>
            </w:r>
            <w:r w:rsidR="004C7BD5">
              <w:rPr>
                <w:sz w:val="22"/>
                <w:szCs w:val="22"/>
              </w:rPr>
              <w:t xml:space="preserve">. </w:t>
            </w:r>
            <w:r w:rsidR="00F5411F">
              <w:rPr>
                <w:sz w:val="22"/>
                <w:szCs w:val="22"/>
              </w:rPr>
              <w:t xml:space="preserve">In this instance, Defence’s arrangements for maintaining the security of the facility consisted of several documents. The Source Security Site Plan was marked with both a version number and a date of issue. </w:t>
            </w:r>
            <w:r w:rsidR="00B7213C">
              <w:rPr>
                <w:sz w:val="22"/>
                <w:szCs w:val="22"/>
              </w:rPr>
              <w:t>T</w:t>
            </w:r>
            <w:r w:rsidR="00F5411F">
              <w:rPr>
                <w:sz w:val="22"/>
                <w:szCs w:val="22"/>
              </w:rPr>
              <w:t xml:space="preserve">he </w:t>
            </w:r>
            <w:r w:rsidR="00B7213C">
              <w:rPr>
                <w:sz w:val="22"/>
                <w:szCs w:val="22"/>
              </w:rPr>
              <w:t xml:space="preserve">Security SOP and the Emergency Response Plan were </w:t>
            </w:r>
            <w:r w:rsidR="00245272">
              <w:rPr>
                <w:sz w:val="22"/>
                <w:szCs w:val="22"/>
              </w:rPr>
              <w:t>only</w:t>
            </w:r>
            <w:r w:rsidR="00B7213C">
              <w:rPr>
                <w:sz w:val="22"/>
                <w:szCs w:val="22"/>
              </w:rPr>
              <w:t xml:space="preserve"> marked with a date of issue</w:t>
            </w:r>
            <w:r w:rsidR="000633D0">
              <w:rPr>
                <w:sz w:val="22"/>
                <w:szCs w:val="22"/>
              </w:rPr>
              <w:t>,</w:t>
            </w:r>
            <w:r w:rsidR="00B7213C">
              <w:rPr>
                <w:sz w:val="22"/>
                <w:szCs w:val="22"/>
              </w:rPr>
              <w:t xml:space="preserve"> while the list of Emergency </w:t>
            </w:r>
            <w:r w:rsidR="00621F78">
              <w:rPr>
                <w:sz w:val="22"/>
                <w:szCs w:val="22"/>
              </w:rPr>
              <w:t>C</w:t>
            </w:r>
            <w:r w:rsidR="00B7213C">
              <w:rPr>
                <w:sz w:val="22"/>
                <w:szCs w:val="22"/>
              </w:rPr>
              <w:t xml:space="preserve">ontact Numbers and the Checklist for the Quarterly Review </w:t>
            </w:r>
            <w:r w:rsidR="00621F78">
              <w:rPr>
                <w:sz w:val="22"/>
                <w:szCs w:val="22"/>
              </w:rPr>
              <w:t>held no version control markings whatsoever. Furthermore, none of the documents were marked with a record detailing the revisions that have occurred, the description of the changes made</w:t>
            </w:r>
            <w:r w:rsidR="003038E3">
              <w:rPr>
                <w:sz w:val="22"/>
                <w:szCs w:val="22"/>
              </w:rPr>
              <w:t>,</w:t>
            </w:r>
            <w:r w:rsidR="00621F78">
              <w:rPr>
                <w:sz w:val="22"/>
                <w:szCs w:val="22"/>
              </w:rPr>
              <w:t xml:space="preserve"> </w:t>
            </w:r>
            <w:r w:rsidR="00D671C7">
              <w:rPr>
                <w:sz w:val="22"/>
                <w:szCs w:val="22"/>
              </w:rPr>
              <w:t>and any checking and approval process in place.</w:t>
            </w:r>
            <w:r w:rsidR="00621F78">
              <w:rPr>
                <w:sz w:val="22"/>
                <w:szCs w:val="22"/>
              </w:rPr>
              <w:t xml:space="preserve">   </w:t>
            </w:r>
          </w:p>
          <w:p w:rsidR="003F642A" w:rsidRDefault="00B83893" w:rsidP="00753FD7">
            <w:pPr>
              <w:spacing w:line="240" w:lineRule="auto"/>
              <w:jc w:val="both"/>
              <w:rPr>
                <w:sz w:val="22"/>
                <w:szCs w:val="22"/>
              </w:rPr>
            </w:pPr>
            <w:r>
              <w:rPr>
                <w:sz w:val="22"/>
                <w:szCs w:val="22"/>
              </w:rPr>
              <w:t>Cross-cutting criterion 1.4.2 from the facility licence PO&amp;Cs expects that high standards of documentation, procedures and instructions are maintained throughout the organisation. T</w:t>
            </w:r>
            <w:r w:rsidR="0096642F">
              <w:rPr>
                <w:sz w:val="22"/>
                <w:szCs w:val="22"/>
              </w:rPr>
              <w:t xml:space="preserve">he register of security enhanced sources </w:t>
            </w:r>
            <w:r w:rsidR="00315A7C">
              <w:rPr>
                <w:sz w:val="22"/>
                <w:szCs w:val="22"/>
              </w:rPr>
              <w:t xml:space="preserve">within the Source Security Site Plan </w:t>
            </w:r>
            <w:r w:rsidR="0096642F">
              <w:rPr>
                <w:sz w:val="22"/>
                <w:szCs w:val="22"/>
              </w:rPr>
              <w:t xml:space="preserve">provided measured dose rates at contact with the containers with the highest “A/D” value. However, an incorrect unit was used which denoted that the </w:t>
            </w:r>
            <w:r w:rsidR="00315A7C">
              <w:rPr>
                <w:sz w:val="22"/>
                <w:szCs w:val="22"/>
              </w:rPr>
              <w:t>dose rate was one thousand time</w:t>
            </w:r>
            <w:r w:rsidR="009E3A61">
              <w:rPr>
                <w:sz w:val="22"/>
                <w:szCs w:val="22"/>
              </w:rPr>
              <w:t>s</w:t>
            </w:r>
            <w:r w:rsidR="00315A7C">
              <w:rPr>
                <w:sz w:val="22"/>
                <w:szCs w:val="22"/>
              </w:rPr>
              <w:t xml:space="preserve"> higher than reality. Furthermore, </w:t>
            </w:r>
            <w:r w:rsidR="0018639E">
              <w:rPr>
                <w:sz w:val="22"/>
                <w:szCs w:val="22"/>
              </w:rPr>
              <w:t xml:space="preserve">the security SOP refers to </w:t>
            </w:r>
            <w:r w:rsidR="0064234F">
              <w:rPr>
                <w:sz w:val="22"/>
                <w:szCs w:val="22"/>
              </w:rPr>
              <w:t xml:space="preserve">a dose rate outside the building </w:t>
            </w:r>
            <w:r w:rsidR="009E3A61">
              <w:rPr>
                <w:sz w:val="22"/>
                <w:szCs w:val="22"/>
              </w:rPr>
              <w:t>in units of “</w:t>
            </w:r>
            <w:proofErr w:type="spellStart"/>
            <w:r w:rsidR="00377D26">
              <w:rPr>
                <w:sz w:val="22"/>
                <w:szCs w:val="22"/>
              </w:rPr>
              <w:t>microgray</w:t>
            </w:r>
            <w:proofErr w:type="spellEnd"/>
            <w:r w:rsidR="00377D26">
              <w:rPr>
                <w:sz w:val="22"/>
                <w:szCs w:val="22"/>
              </w:rPr>
              <w:t xml:space="preserve"> per hour</w:t>
            </w:r>
            <w:r w:rsidR="009E3A61">
              <w:rPr>
                <w:sz w:val="22"/>
                <w:szCs w:val="22"/>
              </w:rPr>
              <w:t xml:space="preserve">”. </w:t>
            </w:r>
            <w:r w:rsidR="003F642A">
              <w:rPr>
                <w:sz w:val="22"/>
                <w:szCs w:val="22"/>
              </w:rPr>
              <w:t>However, the appropriate unit which should have been used for radiation protection purposes is “</w:t>
            </w:r>
            <w:proofErr w:type="spellStart"/>
            <w:r w:rsidR="003F642A">
              <w:rPr>
                <w:sz w:val="22"/>
                <w:szCs w:val="22"/>
              </w:rPr>
              <w:t>microsieverts</w:t>
            </w:r>
            <w:proofErr w:type="spellEnd"/>
            <w:r w:rsidR="003F642A">
              <w:rPr>
                <w:sz w:val="22"/>
                <w:szCs w:val="22"/>
              </w:rPr>
              <w:t xml:space="preserve"> per hour”. </w:t>
            </w:r>
          </w:p>
          <w:p w:rsidR="00AA0B7C" w:rsidRPr="009308E3" w:rsidRDefault="00AA0B7C" w:rsidP="00753FD7">
            <w:pPr>
              <w:pStyle w:val="H11"/>
              <w:spacing w:before="120" w:after="120" w:line="240" w:lineRule="auto"/>
              <w:jc w:val="both"/>
              <w:rPr>
                <w:rStyle w:val="SubtleReference"/>
                <w:rFonts w:asciiTheme="minorHAnsi" w:hAnsiTheme="minorHAnsi"/>
                <w:b/>
                <w:color w:val="1F497D" w:themeColor="text2"/>
                <w:sz w:val="22"/>
                <w:szCs w:val="22"/>
              </w:rPr>
            </w:pPr>
            <w:r w:rsidRPr="009308E3">
              <w:rPr>
                <w:rStyle w:val="SubtleReference"/>
                <w:rFonts w:asciiTheme="minorHAnsi" w:hAnsiTheme="minorHAnsi"/>
                <w:b/>
                <w:color w:val="1F497D" w:themeColor="text2"/>
                <w:sz w:val="22"/>
                <w:szCs w:val="22"/>
              </w:rPr>
              <w:t>Findings</w:t>
            </w:r>
          </w:p>
          <w:p w:rsidR="00D82687" w:rsidRPr="00295D19" w:rsidRDefault="00D82687" w:rsidP="00753FD7">
            <w:pPr>
              <w:pStyle w:val="Heading3list"/>
              <w:spacing w:line="240" w:lineRule="auto"/>
              <w:jc w:val="both"/>
              <w:rPr>
                <w:rFonts w:asciiTheme="minorHAnsi" w:hAnsiTheme="minorHAnsi"/>
                <w:i/>
                <w:color w:val="auto"/>
                <w:sz w:val="22"/>
                <w:szCs w:val="22"/>
              </w:rPr>
            </w:pPr>
            <w:r w:rsidRPr="00295D19">
              <w:rPr>
                <w:rStyle w:val="SubtleReference"/>
                <w:rFonts w:asciiTheme="minorHAnsi" w:hAnsiTheme="minorHAnsi"/>
                <w:b/>
                <w:i/>
                <w:color w:val="auto"/>
                <w:sz w:val="22"/>
                <w:szCs w:val="22"/>
              </w:rPr>
              <w:t>Potential Non-compliance</w:t>
            </w:r>
            <w:r w:rsidRPr="00295D19">
              <w:rPr>
                <w:rFonts w:asciiTheme="minorHAnsi" w:hAnsiTheme="minorHAnsi"/>
                <w:i/>
                <w:color w:val="auto"/>
                <w:sz w:val="22"/>
                <w:szCs w:val="22"/>
              </w:rPr>
              <w:t>:</w:t>
            </w:r>
          </w:p>
          <w:p w:rsidR="00BB5F92" w:rsidRDefault="00BB5F92" w:rsidP="00BB5F92">
            <w:pPr>
              <w:rPr>
                <w:sz w:val="22"/>
                <w:szCs w:val="22"/>
              </w:rPr>
            </w:pPr>
            <w:r w:rsidRPr="00BB5F92">
              <w:rPr>
                <w:sz w:val="22"/>
                <w:szCs w:val="22"/>
              </w:rPr>
              <w:t xml:space="preserve">Licence </w:t>
            </w:r>
            <w:r>
              <w:rPr>
                <w:sz w:val="22"/>
                <w:szCs w:val="22"/>
              </w:rPr>
              <w:t>c</w:t>
            </w:r>
            <w:r w:rsidRPr="00BB5F92">
              <w:rPr>
                <w:sz w:val="22"/>
                <w:szCs w:val="22"/>
              </w:rPr>
              <w:t xml:space="preserve">ondition 6 of </w:t>
            </w:r>
            <w:r>
              <w:rPr>
                <w:sz w:val="22"/>
                <w:szCs w:val="22"/>
              </w:rPr>
              <w:t>f</w:t>
            </w:r>
            <w:r w:rsidRPr="00BB5F92">
              <w:rPr>
                <w:sz w:val="22"/>
                <w:szCs w:val="22"/>
              </w:rPr>
              <w:t xml:space="preserve">acility </w:t>
            </w:r>
            <w:r>
              <w:rPr>
                <w:sz w:val="22"/>
                <w:szCs w:val="22"/>
              </w:rPr>
              <w:t>l</w:t>
            </w:r>
            <w:r w:rsidRPr="00BB5F92">
              <w:rPr>
                <w:sz w:val="22"/>
                <w:szCs w:val="22"/>
              </w:rPr>
              <w:t>icence F0213 requires that the licence holder comply with the relevant sections of Radiation Protection Series 11</w:t>
            </w:r>
            <w:r w:rsidRPr="00BB5F92">
              <w:rPr>
                <w:i/>
                <w:sz w:val="22"/>
                <w:szCs w:val="22"/>
              </w:rPr>
              <w:t xml:space="preserve"> Code of Practice for the Security of Radioactive Sources </w:t>
            </w:r>
            <w:r w:rsidRPr="00BB5F92">
              <w:rPr>
                <w:sz w:val="22"/>
                <w:szCs w:val="22"/>
              </w:rPr>
              <w:t>(RPS11)</w:t>
            </w:r>
            <w:r>
              <w:rPr>
                <w:i/>
                <w:sz w:val="22"/>
                <w:szCs w:val="22"/>
              </w:rPr>
              <w:t>.</w:t>
            </w:r>
          </w:p>
          <w:p w:rsidR="00D82687" w:rsidRDefault="00BB5F92" w:rsidP="00295D19">
            <w:pPr>
              <w:rPr>
                <w:sz w:val="22"/>
                <w:szCs w:val="22"/>
              </w:rPr>
            </w:pPr>
            <w:r>
              <w:rPr>
                <w:sz w:val="22"/>
                <w:szCs w:val="22"/>
              </w:rPr>
              <w:t>Clause 2.1.3(b) of RPS11 requires that the source security plan be endorsed by an assessor accredited by the regulatory body. At the time of inspection, Defence was unable to provide evidence that this had be</w:t>
            </w:r>
            <w:r w:rsidR="00295D19">
              <w:rPr>
                <w:sz w:val="22"/>
                <w:szCs w:val="22"/>
              </w:rPr>
              <w:t>e</w:t>
            </w:r>
            <w:r>
              <w:rPr>
                <w:sz w:val="22"/>
                <w:szCs w:val="22"/>
              </w:rPr>
              <w:t>n undertaken</w:t>
            </w:r>
            <w:r w:rsidR="00295D19">
              <w:rPr>
                <w:sz w:val="22"/>
                <w:szCs w:val="22"/>
              </w:rPr>
              <w:t>, and hence, this is a potential non-compliance with licence condition 6 of facility licence F0213.</w:t>
            </w:r>
            <w:r>
              <w:rPr>
                <w:sz w:val="22"/>
                <w:szCs w:val="22"/>
              </w:rPr>
              <w:t xml:space="preserve">  </w:t>
            </w:r>
          </w:p>
          <w:p w:rsidR="00295D19" w:rsidRPr="00295D19" w:rsidRDefault="00295D19" w:rsidP="00295D19">
            <w:pPr>
              <w:rPr>
                <w:sz w:val="22"/>
                <w:szCs w:val="22"/>
              </w:rPr>
            </w:pPr>
            <w:r>
              <w:rPr>
                <w:sz w:val="22"/>
                <w:szCs w:val="22"/>
              </w:rPr>
              <w:t>Defence’s performance may be improved by addressing the following performance deficiencies.</w:t>
            </w:r>
          </w:p>
          <w:p w:rsidR="00AA0B7C" w:rsidRPr="002771F3" w:rsidRDefault="00AA0B7C" w:rsidP="00753FD7">
            <w:pPr>
              <w:pStyle w:val="Heading3list"/>
              <w:spacing w:line="240" w:lineRule="auto"/>
              <w:jc w:val="both"/>
              <w:rPr>
                <w:rFonts w:asciiTheme="minorHAnsi" w:hAnsiTheme="minorHAnsi"/>
                <w:i/>
                <w:color w:val="auto"/>
                <w:sz w:val="22"/>
                <w:szCs w:val="22"/>
              </w:rPr>
            </w:pPr>
            <w:r w:rsidRPr="002771F3">
              <w:rPr>
                <w:rFonts w:asciiTheme="minorHAnsi" w:hAnsiTheme="minorHAnsi"/>
                <w:i/>
                <w:color w:val="auto"/>
                <w:sz w:val="22"/>
                <w:szCs w:val="22"/>
              </w:rPr>
              <w:lastRenderedPageBreak/>
              <w:t>Performance Deficienc</w:t>
            </w:r>
            <w:r w:rsidR="0007598C" w:rsidRPr="002771F3">
              <w:rPr>
                <w:rFonts w:asciiTheme="minorHAnsi" w:hAnsiTheme="minorHAnsi"/>
                <w:i/>
                <w:color w:val="auto"/>
                <w:sz w:val="22"/>
                <w:szCs w:val="22"/>
              </w:rPr>
              <w:t>ie</w:t>
            </w:r>
            <w:r w:rsidRPr="002771F3">
              <w:rPr>
                <w:rFonts w:asciiTheme="minorHAnsi" w:hAnsiTheme="minorHAnsi"/>
                <w:i/>
                <w:color w:val="auto"/>
                <w:sz w:val="22"/>
                <w:szCs w:val="22"/>
              </w:rPr>
              <w:t>s:</w:t>
            </w:r>
          </w:p>
          <w:p w:rsidR="00E033EB" w:rsidRDefault="003038E3" w:rsidP="00753FD7">
            <w:pPr>
              <w:pStyle w:val="Heading3list"/>
              <w:numPr>
                <w:ilvl w:val="0"/>
                <w:numId w:val="19"/>
              </w:numPr>
              <w:spacing w:line="240" w:lineRule="auto"/>
              <w:jc w:val="both"/>
              <w:rPr>
                <w:rFonts w:asciiTheme="minorHAnsi" w:hAnsiTheme="minorHAnsi"/>
                <w:b w:val="0"/>
                <w:color w:val="auto"/>
                <w:sz w:val="22"/>
                <w:szCs w:val="22"/>
              </w:rPr>
            </w:pPr>
            <w:r>
              <w:rPr>
                <w:rFonts w:asciiTheme="minorHAnsi" w:hAnsiTheme="minorHAnsi"/>
                <w:b w:val="0"/>
                <w:color w:val="auto"/>
                <w:sz w:val="22"/>
                <w:szCs w:val="22"/>
              </w:rPr>
              <w:t>V</w:t>
            </w:r>
            <w:r w:rsidR="004E1FAC">
              <w:rPr>
                <w:rFonts w:asciiTheme="minorHAnsi" w:hAnsiTheme="minorHAnsi"/>
                <w:b w:val="0"/>
                <w:color w:val="auto"/>
                <w:sz w:val="22"/>
                <w:szCs w:val="22"/>
              </w:rPr>
              <w:t xml:space="preserve">ersion control information for security documents was either not present, inconsistent or </w:t>
            </w:r>
            <w:r>
              <w:rPr>
                <w:rFonts w:asciiTheme="minorHAnsi" w:hAnsiTheme="minorHAnsi"/>
                <w:b w:val="0"/>
                <w:color w:val="auto"/>
                <w:sz w:val="22"/>
                <w:szCs w:val="22"/>
              </w:rPr>
              <w:t>did not provide enough</w:t>
            </w:r>
            <w:r w:rsidR="004E1FAC">
              <w:rPr>
                <w:rFonts w:asciiTheme="minorHAnsi" w:hAnsiTheme="minorHAnsi"/>
                <w:b w:val="0"/>
                <w:color w:val="auto"/>
                <w:sz w:val="22"/>
                <w:szCs w:val="22"/>
              </w:rPr>
              <w:t xml:space="preserve"> detail. </w:t>
            </w:r>
            <w:r w:rsidR="0088241D">
              <w:rPr>
                <w:rFonts w:asciiTheme="minorHAnsi" w:hAnsiTheme="minorHAnsi"/>
                <w:b w:val="0"/>
                <w:color w:val="auto"/>
                <w:sz w:val="22"/>
                <w:szCs w:val="22"/>
              </w:rPr>
              <w:t xml:space="preserve">This shows a poor commitment to the principles of quality management systems. </w:t>
            </w:r>
            <w:r w:rsidR="004E1FAC">
              <w:rPr>
                <w:rFonts w:asciiTheme="minorHAnsi" w:hAnsiTheme="minorHAnsi"/>
                <w:b w:val="0"/>
                <w:color w:val="auto"/>
                <w:sz w:val="22"/>
                <w:szCs w:val="22"/>
              </w:rPr>
              <w:t xml:space="preserve"> </w:t>
            </w:r>
            <w:r w:rsidR="00DB4E50">
              <w:rPr>
                <w:rFonts w:asciiTheme="minorHAnsi" w:hAnsiTheme="minorHAnsi"/>
                <w:b w:val="0"/>
                <w:color w:val="auto"/>
                <w:sz w:val="22"/>
                <w:szCs w:val="22"/>
              </w:rPr>
              <w:t xml:space="preserve"> </w:t>
            </w:r>
          </w:p>
          <w:p w:rsidR="00E2292E" w:rsidRPr="006C07A5" w:rsidRDefault="006C07A5" w:rsidP="00970F4D">
            <w:pPr>
              <w:pStyle w:val="Heading3list"/>
              <w:numPr>
                <w:ilvl w:val="0"/>
                <w:numId w:val="19"/>
              </w:numPr>
              <w:spacing w:line="240" w:lineRule="auto"/>
              <w:jc w:val="both"/>
              <w:rPr>
                <w:rFonts w:asciiTheme="minorHAnsi" w:hAnsiTheme="minorHAnsi"/>
                <w:b w:val="0"/>
                <w:color w:val="auto"/>
                <w:sz w:val="22"/>
                <w:szCs w:val="22"/>
              </w:rPr>
            </w:pPr>
            <w:r>
              <w:rPr>
                <w:rFonts w:asciiTheme="minorHAnsi" w:hAnsiTheme="minorHAnsi"/>
                <w:b w:val="0"/>
                <w:color w:val="auto"/>
                <w:sz w:val="22"/>
                <w:szCs w:val="22"/>
              </w:rPr>
              <w:t>Technical details of the documentation were observed to be in</w:t>
            </w:r>
            <w:r w:rsidR="00970F4D">
              <w:rPr>
                <w:rFonts w:asciiTheme="minorHAnsi" w:hAnsiTheme="minorHAnsi"/>
                <w:b w:val="0"/>
                <w:color w:val="auto"/>
                <w:sz w:val="22"/>
                <w:szCs w:val="22"/>
              </w:rPr>
              <w:t>accurate</w:t>
            </w:r>
            <w:r>
              <w:rPr>
                <w:rFonts w:asciiTheme="minorHAnsi" w:hAnsiTheme="minorHAnsi"/>
                <w:b w:val="0"/>
                <w:color w:val="auto"/>
                <w:sz w:val="22"/>
                <w:szCs w:val="22"/>
              </w:rPr>
              <w:t xml:space="preserve"> </w:t>
            </w:r>
            <w:r w:rsidR="0088241D">
              <w:rPr>
                <w:rFonts w:asciiTheme="minorHAnsi" w:hAnsiTheme="minorHAnsi"/>
                <w:b w:val="0"/>
                <w:color w:val="auto"/>
                <w:sz w:val="22"/>
                <w:szCs w:val="22"/>
              </w:rPr>
              <w:t xml:space="preserve">or </w:t>
            </w:r>
            <w:r w:rsidR="00970F4D">
              <w:rPr>
                <w:rFonts w:asciiTheme="minorHAnsi" w:hAnsiTheme="minorHAnsi"/>
                <w:b w:val="0"/>
                <w:color w:val="auto"/>
                <w:sz w:val="22"/>
                <w:szCs w:val="22"/>
              </w:rPr>
              <w:t>not technically correct</w:t>
            </w:r>
            <w:r w:rsidR="0088241D">
              <w:rPr>
                <w:rFonts w:asciiTheme="minorHAnsi" w:hAnsiTheme="minorHAnsi"/>
                <w:b w:val="0"/>
                <w:color w:val="auto"/>
                <w:sz w:val="22"/>
                <w:szCs w:val="22"/>
              </w:rPr>
              <w:t>.</w:t>
            </w:r>
            <w:r>
              <w:rPr>
                <w:rFonts w:asciiTheme="minorHAnsi" w:hAnsiTheme="minorHAnsi"/>
                <w:b w:val="0"/>
                <w:color w:val="auto"/>
                <w:sz w:val="22"/>
                <w:szCs w:val="22"/>
              </w:rPr>
              <w:t xml:space="preserve"> </w:t>
            </w:r>
            <w:r w:rsidR="0088241D">
              <w:rPr>
                <w:rFonts w:asciiTheme="minorHAnsi" w:hAnsiTheme="minorHAnsi"/>
                <w:b w:val="0"/>
                <w:color w:val="auto"/>
                <w:sz w:val="22"/>
                <w:szCs w:val="22"/>
              </w:rPr>
              <w:t xml:space="preserve">This shows that the documentation had not been rigorously reviewed by </w:t>
            </w:r>
            <w:r w:rsidR="0024569D">
              <w:rPr>
                <w:rFonts w:asciiTheme="minorHAnsi" w:hAnsiTheme="minorHAnsi"/>
                <w:b w:val="0"/>
                <w:color w:val="auto"/>
                <w:sz w:val="22"/>
                <w:szCs w:val="22"/>
              </w:rPr>
              <w:t>subject matter experts.</w:t>
            </w:r>
          </w:p>
        </w:tc>
      </w:tr>
    </w:tbl>
    <w:p w:rsidR="00265DBE" w:rsidRDefault="00265DBE" w:rsidP="0099100B">
      <w:pPr>
        <w:spacing w:before="0"/>
        <w:ind w:left="-567" w:right="-341"/>
        <w:jc w:val="center"/>
        <w:rPr>
          <w:rFonts w:cs="Arial"/>
          <w:b/>
          <w:color w:val="1F497D" w:themeColor="text2"/>
          <w:sz w:val="18"/>
          <w:szCs w:val="18"/>
        </w:rPr>
      </w:pPr>
    </w:p>
    <w:p w:rsidR="00A53778" w:rsidRPr="00265DBE" w:rsidRDefault="00A53778" w:rsidP="0099100B">
      <w:pPr>
        <w:spacing w:before="0"/>
        <w:ind w:left="-567" w:right="-341"/>
        <w:jc w:val="center"/>
        <w:rPr>
          <w:rFonts w:cs="Arial"/>
          <w:b/>
          <w:color w:val="1F497D" w:themeColor="text2"/>
          <w:sz w:val="18"/>
          <w:szCs w:val="18"/>
        </w:rPr>
      </w:pPr>
      <w:r w:rsidRPr="00265DBE">
        <w:rPr>
          <w:rFonts w:cs="Arial"/>
          <w:b/>
          <w:color w:val="1F497D" w:themeColor="text2"/>
          <w:sz w:val="18"/>
          <w:szCs w:val="18"/>
        </w:rPr>
        <w:t xml:space="preserve">In response to any potential non-compliance, the licence holder must carry out its responsibilities </w:t>
      </w:r>
      <w:r w:rsidR="0099100B" w:rsidRPr="00265DBE">
        <w:rPr>
          <w:rFonts w:cs="Arial"/>
          <w:b/>
          <w:color w:val="1F497D" w:themeColor="text2"/>
          <w:sz w:val="18"/>
          <w:szCs w:val="18"/>
        </w:rPr>
        <w:t xml:space="preserve">as </w:t>
      </w:r>
      <w:r w:rsidRPr="00265DBE">
        <w:rPr>
          <w:rFonts w:cs="Arial"/>
          <w:b/>
          <w:color w:val="1F497D" w:themeColor="text2"/>
          <w:sz w:val="18"/>
          <w:szCs w:val="18"/>
        </w:rPr>
        <w:t>per Regulation 45</w:t>
      </w:r>
      <w:r w:rsidR="0099100B" w:rsidRPr="00265DBE">
        <w:rPr>
          <w:rFonts w:cs="Arial"/>
          <w:b/>
          <w:color w:val="1F497D" w:themeColor="text2"/>
          <w:sz w:val="18"/>
          <w:szCs w:val="18"/>
        </w:rPr>
        <w:t>.</w:t>
      </w:r>
    </w:p>
    <w:p w:rsidR="00A53778" w:rsidRPr="00A53778" w:rsidRDefault="00A53778" w:rsidP="002F71BF">
      <w:pPr>
        <w:spacing w:before="0"/>
        <w:ind w:left="-709" w:right="-483"/>
        <w:jc w:val="center"/>
        <w:rPr>
          <w:rFonts w:cs="Arial"/>
          <w:b/>
          <w:color w:val="FF0000"/>
          <w:sz w:val="18"/>
          <w:szCs w:val="18"/>
        </w:rPr>
      </w:pPr>
      <w:r w:rsidRPr="002F71BF">
        <w:rPr>
          <w:rFonts w:cs="Arial"/>
          <w:b/>
          <w:color w:val="1F497D" w:themeColor="text2"/>
          <w:sz w:val="18"/>
          <w:szCs w:val="18"/>
        </w:rPr>
        <w:t xml:space="preserve">It is expected that actions to address any performance deficiencies will be taken by the licence holder in a timely fashion. </w:t>
      </w:r>
    </w:p>
    <w:p w:rsidR="00872300" w:rsidRPr="00872300" w:rsidRDefault="00872300" w:rsidP="00872300">
      <w:pPr>
        <w:tabs>
          <w:tab w:val="left" w:pos="7655"/>
        </w:tabs>
        <w:spacing w:before="120" w:after="0" w:line="240" w:lineRule="auto"/>
        <w:ind w:left="1134" w:right="793"/>
        <w:jc w:val="center"/>
        <w:rPr>
          <w:rFonts w:cs="Arial"/>
          <w:b/>
          <w:color w:val="1F497D" w:themeColor="text2"/>
          <w:sz w:val="18"/>
          <w:szCs w:val="18"/>
        </w:rPr>
      </w:pPr>
      <w:r w:rsidRPr="00872300">
        <w:rPr>
          <w:rFonts w:cs="Arial"/>
          <w:b/>
          <w:color w:val="1F497D" w:themeColor="text2"/>
          <w:sz w:val="18"/>
          <w:szCs w:val="18"/>
        </w:rPr>
        <w:t>Inspection reports are normally published on the ARPANSA website however due to the sensitive nature of this report it will not be published</w:t>
      </w:r>
    </w:p>
    <w:p w:rsidR="003D2691" w:rsidRDefault="003D2691">
      <w:pPr>
        <w:rPr>
          <w:b/>
          <w:lang w:val="en-US"/>
        </w:rPr>
      </w:pPr>
    </w:p>
    <w:sectPr w:rsidR="003D2691" w:rsidSect="000F578D">
      <w:headerReference w:type="default" r:id="rId8"/>
      <w:footerReference w:type="default" r:id="rId9"/>
      <w:headerReference w:type="first" r:id="rId10"/>
      <w:footerReference w:type="first" r:id="rId11"/>
      <w:pgSz w:w="11906" w:h="16838"/>
      <w:pgMar w:top="1440" w:right="1800" w:bottom="1440" w:left="180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601" w:rsidRDefault="00781601" w:rsidP="002C4E88">
      <w:r>
        <w:separator/>
      </w:r>
    </w:p>
  </w:endnote>
  <w:endnote w:type="continuationSeparator" w:id="0">
    <w:p w:rsidR="00781601" w:rsidRDefault="00781601" w:rsidP="002C4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345534"/>
      <w:docPartObj>
        <w:docPartGallery w:val="Page Numbers (Bottom of Page)"/>
        <w:docPartUnique/>
      </w:docPartObj>
    </w:sdtPr>
    <w:sdtEndPr/>
    <w:sdtContent>
      <w:sdt>
        <w:sdtPr>
          <w:id w:val="-100112787"/>
          <w:docPartObj>
            <w:docPartGallery w:val="Page Numbers (Top of Page)"/>
            <w:docPartUnique/>
          </w:docPartObj>
        </w:sdtPr>
        <w:sdtEndPr/>
        <w:sdtContent>
          <w:p w:rsidR="000F578D" w:rsidRDefault="000F578D" w:rsidP="000F578D">
            <w:pPr>
              <w:pStyle w:val="Header"/>
              <w:jc w:val="center"/>
              <w:rPr>
                <w:color w:val="FF0000"/>
              </w:rPr>
            </w:pPr>
            <w:r w:rsidRPr="0070467C">
              <w:rPr>
                <w:color w:val="FF0000"/>
              </w:rPr>
              <w:t>UNCLASSIFIED</w:t>
            </w:r>
          </w:p>
          <w:p w:rsidR="000F578D" w:rsidRDefault="000F578D" w:rsidP="000F578D">
            <w:pPr>
              <w:pStyle w:val="Footer"/>
              <w:jc w:val="center"/>
            </w:pPr>
            <w:r w:rsidRPr="000F578D">
              <w:rPr>
                <w:sz w:val="16"/>
                <w:szCs w:val="16"/>
              </w:rPr>
              <w:t xml:space="preserve">Page </w:t>
            </w:r>
            <w:r w:rsidRPr="000F578D">
              <w:rPr>
                <w:bCs/>
                <w:sz w:val="16"/>
                <w:szCs w:val="16"/>
              </w:rPr>
              <w:fldChar w:fldCharType="begin"/>
            </w:r>
            <w:r w:rsidRPr="000F578D">
              <w:rPr>
                <w:bCs/>
                <w:sz w:val="16"/>
                <w:szCs w:val="16"/>
              </w:rPr>
              <w:instrText xml:space="preserve"> PAGE </w:instrText>
            </w:r>
            <w:r w:rsidRPr="000F578D">
              <w:rPr>
                <w:bCs/>
                <w:sz w:val="16"/>
                <w:szCs w:val="16"/>
              </w:rPr>
              <w:fldChar w:fldCharType="separate"/>
            </w:r>
            <w:r w:rsidR="002B77FB">
              <w:rPr>
                <w:bCs/>
                <w:noProof/>
                <w:sz w:val="16"/>
                <w:szCs w:val="16"/>
              </w:rPr>
              <w:t>3</w:t>
            </w:r>
            <w:r w:rsidRPr="000F578D">
              <w:rPr>
                <w:bCs/>
                <w:sz w:val="16"/>
                <w:szCs w:val="16"/>
              </w:rPr>
              <w:fldChar w:fldCharType="end"/>
            </w:r>
            <w:r w:rsidRPr="000F578D">
              <w:rPr>
                <w:sz w:val="16"/>
                <w:szCs w:val="16"/>
              </w:rPr>
              <w:t xml:space="preserve"> of </w:t>
            </w:r>
            <w:r w:rsidRPr="000F578D">
              <w:rPr>
                <w:bCs/>
                <w:sz w:val="16"/>
                <w:szCs w:val="16"/>
              </w:rPr>
              <w:fldChar w:fldCharType="begin"/>
            </w:r>
            <w:r w:rsidRPr="000F578D">
              <w:rPr>
                <w:bCs/>
                <w:sz w:val="16"/>
                <w:szCs w:val="16"/>
              </w:rPr>
              <w:instrText xml:space="preserve"> NUMPAGES  </w:instrText>
            </w:r>
            <w:r w:rsidRPr="000F578D">
              <w:rPr>
                <w:bCs/>
                <w:sz w:val="16"/>
                <w:szCs w:val="16"/>
              </w:rPr>
              <w:fldChar w:fldCharType="separate"/>
            </w:r>
            <w:r w:rsidR="002B77FB">
              <w:rPr>
                <w:bCs/>
                <w:noProof/>
                <w:sz w:val="16"/>
                <w:szCs w:val="16"/>
              </w:rPr>
              <w:t>3</w:t>
            </w:r>
            <w:r w:rsidRPr="000F578D">
              <w:rPr>
                <w:bCs/>
                <w:sz w:val="16"/>
                <w:szCs w:val="16"/>
              </w:rPr>
              <w:fldChar w:fldCharType="end"/>
            </w:r>
          </w:p>
        </w:sdtContent>
      </w:sdt>
    </w:sdtContent>
  </w:sdt>
  <w:p w:rsidR="000F578D" w:rsidRDefault="000F57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539671"/>
      <w:docPartObj>
        <w:docPartGallery w:val="Page Numbers (Bottom of Page)"/>
        <w:docPartUnique/>
      </w:docPartObj>
    </w:sdtPr>
    <w:sdtEndPr/>
    <w:sdtContent>
      <w:sdt>
        <w:sdtPr>
          <w:id w:val="854383024"/>
          <w:docPartObj>
            <w:docPartGallery w:val="Page Numbers (Top of Page)"/>
            <w:docPartUnique/>
          </w:docPartObj>
        </w:sdtPr>
        <w:sdtEndPr/>
        <w:sdtContent>
          <w:p w:rsidR="000F578D" w:rsidRDefault="000F578D" w:rsidP="000F578D">
            <w:pPr>
              <w:pStyle w:val="Header"/>
              <w:jc w:val="center"/>
              <w:rPr>
                <w:color w:val="FF0000"/>
              </w:rPr>
            </w:pPr>
            <w:r w:rsidRPr="0070467C">
              <w:rPr>
                <w:color w:val="FF0000"/>
              </w:rPr>
              <w:t>UNCLASSIFIED</w:t>
            </w:r>
          </w:p>
          <w:p w:rsidR="000F578D" w:rsidRDefault="000F578D">
            <w:pPr>
              <w:pStyle w:val="Footer"/>
              <w:jc w:val="center"/>
            </w:pPr>
            <w:r w:rsidRPr="000F578D">
              <w:rPr>
                <w:sz w:val="16"/>
                <w:szCs w:val="16"/>
              </w:rPr>
              <w:t xml:space="preserve">Page </w:t>
            </w:r>
            <w:r w:rsidRPr="000F578D">
              <w:rPr>
                <w:bCs/>
                <w:sz w:val="16"/>
                <w:szCs w:val="16"/>
              </w:rPr>
              <w:fldChar w:fldCharType="begin"/>
            </w:r>
            <w:r w:rsidRPr="000F578D">
              <w:rPr>
                <w:bCs/>
                <w:sz w:val="16"/>
                <w:szCs w:val="16"/>
              </w:rPr>
              <w:instrText xml:space="preserve"> PAGE </w:instrText>
            </w:r>
            <w:r w:rsidRPr="000F578D">
              <w:rPr>
                <w:bCs/>
                <w:sz w:val="16"/>
                <w:szCs w:val="16"/>
              </w:rPr>
              <w:fldChar w:fldCharType="separate"/>
            </w:r>
            <w:r w:rsidR="002B77FB">
              <w:rPr>
                <w:bCs/>
                <w:noProof/>
                <w:sz w:val="16"/>
                <w:szCs w:val="16"/>
              </w:rPr>
              <w:t>1</w:t>
            </w:r>
            <w:r w:rsidRPr="000F578D">
              <w:rPr>
                <w:bCs/>
                <w:sz w:val="16"/>
                <w:szCs w:val="16"/>
              </w:rPr>
              <w:fldChar w:fldCharType="end"/>
            </w:r>
            <w:r w:rsidRPr="000F578D">
              <w:rPr>
                <w:sz w:val="16"/>
                <w:szCs w:val="16"/>
              </w:rPr>
              <w:t xml:space="preserve"> of </w:t>
            </w:r>
            <w:r w:rsidRPr="000F578D">
              <w:rPr>
                <w:bCs/>
                <w:sz w:val="16"/>
                <w:szCs w:val="16"/>
              </w:rPr>
              <w:fldChar w:fldCharType="begin"/>
            </w:r>
            <w:r w:rsidRPr="000F578D">
              <w:rPr>
                <w:bCs/>
                <w:sz w:val="16"/>
                <w:szCs w:val="16"/>
              </w:rPr>
              <w:instrText xml:space="preserve"> NUMPAGES  </w:instrText>
            </w:r>
            <w:r w:rsidRPr="000F578D">
              <w:rPr>
                <w:bCs/>
                <w:sz w:val="16"/>
                <w:szCs w:val="16"/>
              </w:rPr>
              <w:fldChar w:fldCharType="separate"/>
            </w:r>
            <w:r w:rsidR="002B77FB">
              <w:rPr>
                <w:bCs/>
                <w:noProof/>
                <w:sz w:val="16"/>
                <w:szCs w:val="16"/>
              </w:rPr>
              <w:t>3</w:t>
            </w:r>
            <w:r w:rsidRPr="000F578D">
              <w:rPr>
                <w:bCs/>
                <w:sz w:val="16"/>
                <w:szCs w:val="16"/>
              </w:rPr>
              <w:fldChar w:fldCharType="end"/>
            </w:r>
          </w:p>
        </w:sdtContent>
      </w:sdt>
    </w:sdtContent>
  </w:sdt>
  <w:p w:rsidR="003D2691" w:rsidRPr="0007598C" w:rsidRDefault="003D2691" w:rsidP="00C85137">
    <w:pP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601" w:rsidRDefault="00781601" w:rsidP="002C4E88">
      <w:r>
        <w:separator/>
      </w:r>
    </w:p>
  </w:footnote>
  <w:footnote w:type="continuationSeparator" w:id="0">
    <w:p w:rsidR="00781601" w:rsidRDefault="00781601" w:rsidP="002C4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691" w:rsidRDefault="003D2691" w:rsidP="0070467C">
    <w:pPr>
      <w:pStyle w:val="Header"/>
      <w:jc w:val="center"/>
      <w:rPr>
        <w:color w:val="FF0000"/>
      </w:rPr>
    </w:pPr>
    <w:r w:rsidRPr="0070467C">
      <w:rPr>
        <w:color w:val="FF0000"/>
      </w:rPr>
      <w:t>UNCLASSIFIED</w:t>
    </w:r>
  </w:p>
  <w:p w:rsidR="003D2691" w:rsidRPr="0070467C" w:rsidRDefault="003D2691" w:rsidP="0070467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691" w:rsidRDefault="003D2691" w:rsidP="00321E78">
    <w:pPr>
      <w:pStyle w:val="Header"/>
      <w:spacing w:before="0"/>
      <w:jc w:val="center"/>
      <w:rPr>
        <w:color w:val="FF0000"/>
      </w:rPr>
    </w:pPr>
    <w:r w:rsidRPr="0070467C">
      <w:rPr>
        <w:color w:val="FF0000"/>
      </w:rPr>
      <w:t>UNCLASSIFIED</w:t>
    </w:r>
  </w:p>
  <w:p w:rsidR="003D2691" w:rsidRPr="0070467C" w:rsidRDefault="003D2691" w:rsidP="0070467C">
    <w:pPr>
      <w:pStyle w:val="Header"/>
      <w:jc w:val="center"/>
      <w:rPr>
        <w:color w:val="FF0000"/>
      </w:rPr>
    </w:pPr>
    <w:r w:rsidRPr="00EF3A70">
      <w:rPr>
        <w:noProof/>
      </w:rPr>
      <w:drawing>
        <wp:inline distT="0" distB="0" distL="0" distR="0" wp14:anchorId="041C1FAB" wp14:editId="45F7A5F5">
          <wp:extent cx="5274310" cy="694690"/>
          <wp:effectExtent l="0" t="0" r="0" b="0"/>
          <wp:docPr id="4" name="Picture 4" descr="ARPNSA_strip_blue_16cm"/>
          <wp:cNvGraphicFramePr/>
          <a:graphic xmlns:a="http://schemas.openxmlformats.org/drawingml/2006/main">
            <a:graphicData uri="http://schemas.openxmlformats.org/drawingml/2006/picture">
              <pic:pic xmlns:pic="http://schemas.openxmlformats.org/drawingml/2006/picture">
                <pic:nvPicPr>
                  <pic:cNvPr id="0" name="Picture 1" descr="ARPNSA_strip_blue_16cm"/>
                  <pic:cNvPicPr>
                    <a:picLocks noChangeAspect="1" noChangeArrowheads="1"/>
                  </pic:cNvPicPr>
                </pic:nvPicPr>
                <pic:blipFill>
                  <a:blip r:embed="rId1"/>
                  <a:srcRect/>
                  <a:stretch>
                    <a:fillRect/>
                  </a:stretch>
                </pic:blipFill>
                <pic:spPr bwMode="auto">
                  <a:xfrm>
                    <a:off x="0" y="0"/>
                    <a:ext cx="5274310" cy="6946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F0BA4"/>
    <w:multiLevelType w:val="hybridMultilevel"/>
    <w:tmpl w:val="8438EF80"/>
    <w:lvl w:ilvl="0" w:tplc="C1509AF8">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F8033B"/>
    <w:multiLevelType w:val="hybridMultilevel"/>
    <w:tmpl w:val="592A0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8D6BC7"/>
    <w:multiLevelType w:val="hybridMultilevel"/>
    <w:tmpl w:val="5944E0B0"/>
    <w:lvl w:ilvl="0" w:tplc="0C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9D69B9"/>
    <w:multiLevelType w:val="hybridMultilevel"/>
    <w:tmpl w:val="6524A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563171"/>
    <w:multiLevelType w:val="hybridMultilevel"/>
    <w:tmpl w:val="DB84EBEA"/>
    <w:lvl w:ilvl="0" w:tplc="498C00D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7F0D57"/>
    <w:multiLevelType w:val="hybridMultilevel"/>
    <w:tmpl w:val="8E389166"/>
    <w:lvl w:ilvl="0" w:tplc="0C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5E4789"/>
    <w:multiLevelType w:val="hybridMultilevel"/>
    <w:tmpl w:val="4A82BF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7D5AD3"/>
    <w:multiLevelType w:val="multilevel"/>
    <w:tmpl w:val="58F41D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D801A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265998"/>
    <w:multiLevelType w:val="hybridMultilevel"/>
    <w:tmpl w:val="E3027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CF4886"/>
    <w:multiLevelType w:val="hybridMultilevel"/>
    <w:tmpl w:val="DCFE8D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4D3045"/>
    <w:multiLevelType w:val="hybridMultilevel"/>
    <w:tmpl w:val="A0BA746A"/>
    <w:lvl w:ilvl="0" w:tplc="498C00D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2D5953"/>
    <w:multiLevelType w:val="hybridMultilevel"/>
    <w:tmpl w:val="3E06EE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3834948"/>
    <w:multiLevelType w:val="hybridMultilevel"/>
    <w:tmpl w:val="1B528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EE2C47"/>
    <w:multiLevelType w:val="multilevel"/>
    <w:tmpl w:val="4DB81020"/>
    <w:lvl w:ilvl="0">
      <w:start w:val="1"/>
      <w:numFmt w:val="decimal"/>
      <w:suff w:val="nothing"/>
      <w:lvlText w:val="Characteristic %1"/>
      <w:lvlJc w:val="left"/>
      <w:pPr>
        <w:ind w:left="5322" w:hanging="360"/>
      </w:pPr>
      <w:rPr>
        <w:rFonts w:ascii="Cambria" w:hAnsi="Cambria" w:hint="default"/>
        <w:i w:val="0"/>
        <w:sz w:val="52"/>
      </w:rPr>
    </w:lvl>
    <w:lvl w:ilvl="1">
      <w:start w:val="1"/>
      <w:numFmt w:val="decimal"/>
      <w:lvlText w:val="%1.%2"/>
      <w:lvlJc w:val="left"/>
      <w:pPr>
        <w:ind w:left="720" w:hanging="720"/>
      </w:pPr>
      <w:rPr>
        <w:rFonts w:ascii="Cambria" w:hAnsi="Cambria" w:hint="default"/>
        <w:b/>
        <w:i w:val="0"/>
        <w:sz w:val="26"/>
      </w:rPr>
    </w:lvl>
    <w:lvl w:ilvl="2">
      <w:start w:val="1"/>
      <w:numFmt w:val="decimal"/>
      <w:lvlText w:val="%1.%2.%3"/>
      <w:lvlJc w:val="left"/>
      <w:pPr>
        <w:ind w:left="737" w:hanging="73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AE306C6"/>
    <w:multiLevelType w:val="hybridMultilevel"/>
    <w:tmpl w:val="166A218E"/>
    <w:lvl w:ilvl="0" w:tplc="498C00D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DC76A2D"/>
    <w:multiLevelType w:val="hybridMultilevel"/>
    <w:tmpl w:val="3C3EA3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EB92C5D"/>
    <w:multiLevelType w:val="hybridMultilevel"/>
    <w:tmpl w:val="794AA902"/>
    <w:lvl w:ilvl="0" w:tplc="506CC6A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1CD4BB4"/>
    <w:multiLevelType w:val="hybridMultilevel"/>
    <w:tmpl w:val="335231B4"/>
    <w:lvl w:ilvl="0" w:tplc="498C00D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27E475C"/>
    <w:multiLevelType w:val="hybridMultilevel"/>
    <w:tmpl w:val="8B5E0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37409A"/>
    <w:multiLevelType w:val="hybridMultilevel"/>
    <w:tmpl w:val="814CDB58"/>
    <w:lvl w:ilvl="0" w:tplc="0C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873704"/>
    <w:multiLevelType w:val="hybridMultilevel"/>
    <w:tmpl w:val="8AD46A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3"/>
  </w:num>
  <w:num w:numId="5">
    <w:abstractNumId w:val="20"/>
  </w:num>
  <w:num w:numId="6">
    <w:abstractNumId w:val="5"/>
  </w:num>
  <w:num w:numId="7">
    <w:abstractNumId w:val="2"/>
  </w:num>
  <w:num w:numId="8">
    <w:abstractNumId w:val="18"/>
  </w:num>
  <w:num w:numId="9">
    <w:abstractNumId w:val="11"/>
  </w:num>
  <w:num w:numId="10">
    <w:abstractNumId w:val="15"/>
  </w:num>
  <w:num w:numId="11">
    <w:abstractNumId w:val="4"/>
  </w:num>
  <w:num w:numId="12">
    <w:abstractNumId w:val="14"/>
  </w:num>
  <w:num w:numId="13">
    <w:abstractNumId w:val="14"/>
  </w:num>
  <w:num w:numId="14">
    <w:abstractNumId w:val="14"/>
  </w:num>
  <w:num w:numId="15">
    <w:abstractNumId w:val="6"/>
  </w:num>
  <w:num w:numId="16">
    <w:abstractNumId w:val="12"/>
  </w:num>
  <w:num w:numId="17">
    <w:abstractNumId w:val="10"/>
  </w:num>
  <w:num w:numId="18">
    <w:abstractNumId w:val="16"/>
  </w:num>
  <w:num w:numId="19">
    <w:abstractNumId w:val="0"/>
  </w:num>
  <w:num w:numId="20">
    <w:abstractNumId w:val="17"/>
  </w:num>
  <w:num w:numId="21">
    <w:abstractNumId w:val="21"/>
  </w:num>
  <w:num w:numId="22">
    <w:abstractNumId w:val="13"/>
  </w:num>
  <w:num w:numId="23">
    <w:abstractNumId w:val="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E88"/>
    <w:rsid w:val="0000750A"/>
    <w:rsid w:val="00014CDE"/>
    <w:rsid w:val="0002373C"/>
    <w:rsid w:val="00045FBE"/>
    <w:rsid w:val="00056203"/>
    <w:rsid w:val="0005768F"/>
    <w:rsid w:val="0006304A"/>
    <w:rsid w:val="000633D0"/>
    <w:rsid w:val="00070CD6"/>
    <w:rsid w:val="000734AD"/>
    <w:rsid w:val="0007598C"/>
    <w:rsid w:val="00095CC0"/>
    <w:rsid w:val="000C0B58"/>
    <w:rsid w:val="000C7288"/>
    <w:rsid w:val="000D0383"/>
    <w:rsid w:val="000D2A9C"/>
    <w:rsid w:val="000E14EF"/>
    <w:rsid w:val="000E3507"/>
    <w:rsid w:val="000F578D"/>
    <w:rsid w:val="000F5E80"/>
    <w:rsid w:val="00102367"/>
    <w:rsid w:val="00121DEA"/>
    <w:rsid w:val="00130F12"/>
    <w:rsid w:val="00132655"/>
    <w:rsid w:val="00137D51"/>
    <w:rsid w:val="00140899"/>
    <w:rsid w:val="00152A22"/>
    <w:rsid w:val="00154D10"/>
    <w:rsid w:val="00160F13"/>
    <w:rsid w:val="00175DA5"/>
    <w:rsid w:val="00180A78"/>
    <w:rsid w:val="001845E6"/>
    <w:rsid w:val="001847E2"/>
    <w:rsid w:val="0018639E"/>
    <w:rsid w:val="00193FFE"/>
    <w:rsid w:val="001C09F8"/>
    <w:rsid w:val="001C6212"/>
    <w:rsid w:val="001C66A1"/>
    <w:rsid w:val="001D0724"/>
    <w:rsid w:val="001D2FE2"/>
    <w:rsid w:val="001E6AB7"/>
    <w:rsid w:val="001F6D1C"/>
    <w:rsid w:val="00217F48"/>
    <w:rsid w:val="00224241"/>
    <w:rsid w:val="002248AA"/>
    <w:rsid w:val="00226088"/>
    <w:rsid w:val="002277AA"/>
    <w:rsid w:val="00231102"/>
    <w:rsid w:val="00245272"/>
    <w:rsid w:val="0024569D"/>
    <w:rsid w:val="00252824"/>
    <w:rsid w:val="00252CBC"/>
    <w:rsid w:val="00254241"/>
    <w:rsid w:val="00256AB7"/>
    <w:rsid w:val="00265DBE"/>
    <w:rsid w:val="002730D3"/>
    <w:rsid w:val="002771F3"/>
    <w:rsid w:val="00286DA4"/>
    <w:rsid w:val="0028760C"/>
    <w:rsid w:val="0029118B"/>
    <w:rsid w:val="00292292"/>
    <w:rsid w:val="00295D19"/>
    <w:rsid w:val="002A5F00"/>
    <w:rsid w:val="002A779F"/>
    <w:rsid w:val="002B398D"/>
    <w:rsid w:val="002B410F"/>
    <w:rsid w:val="002B77FB"/>
    <w:rsid w:val="002C173E"/>
    <w:rsid w:val="002C4E88"/>
    <w:rsid w:val="002C6C69"/>
    <w:rsid w:val="002D04BB"/>
    <w:rsid w:val="002F1FA6"/>
    <w:rsid w:val="002F635C"/>
    <w:rsid w:val="002F71BF"/>
    <w:rsid w:val="003038E3"/>
    <w:rsid w:val="00306CD2"/>
    <w:rsid w:val="00315A7C"/>
    <w:rsid w:val="00321E78"/>
    <w:rsid w:val="003263D9"/>
    <w:rsid w:val="00332156"/>
    <w:rsid w:val="0033413C"/>
    <w:rsid w:val="00334E66"/>
    <w:rsid w:val="00350738"/>
    <w:rsid w:val="00360FD8"/>
    <w:rsid w:val="00377D26"/>
    <w:rsid w:val="003852A9"/>
    <w:rsid w:val="00391BA8"/>
    <w:rsid w:val="00393F98"/>
    <w:rsid w:val="003A00D4"/>
    <w:rsid w:val="003A37EE"/>
    <w:rsid w:val="003A3854"/>
    <w:rsid w:val="003C2699"/>
    <w:rsid w:val="003D2691"/>
    <w:rsid w:val="003F642A"/>
    <w:rsid w:val="0041206A"/>
    <w:rsid w:val="00442789"/>
    <w:rsid w:val="00455607"/>
    <w:rsid w:val="00461425"/>
    <w:rsid w:val="00475BB4"/>
    <w:rsid w:val="0047724C"/>
    <w:rsid w:val="004835D4"/>
    <w:rsid w:val="00483A64"/>
    <w:rsid w:val="004863A6"/>
    <w:rsid w:val="00490786"/>
    <w:rsid w:val="004A7F02"/>
    <w:rsid w:val="004B51B1"/>
    <w:rsid w:val="004C7BD5"/>
    <w:rsid w:val="004E1FAC"/>
    <w:rsid w:val="004E31A0"/>
    <w:rsid w:val="004F31C8"/>
    <w:rsid w:val="005127DB"/>
    <w:rsid w:val="00517604"/>
    <w:rsid w:val="00521013"/>
    <w:rsid w:val="00526A22"/>
    <w:rsid w:val="005418E5"/>
    <w:rsid w:val="00557491"/>
    <w:rsid w:val="00560E17"/>
    <w:rsid w:val="005647EA"/>
    <w:rsid w:val="00574044"/>
    <w:rsid w:val="005765AC"/>
    <w:rsid w:val="0058071F"/>
    <w:rsid w:val="0058268F"/>
    <w:rsid w:val="00594481"/>
    <w:rsid w:val="005A3A24"/>
    <w:rsid w:val="005A6BEA"/>
    <w:rsid w:val="005B143B"/>
    <w:rsid w:val="005B7B54"/>
    <w:rsid w:val="005F6929"/>
    <w:rsid w:val="00600E59"/>
    <w:rsid w:val="0060582E"/>
    <w:rsid w:val="00615230"/>
    <w:rsid w:val="006154FD"/>
    <w:rsid w:val="00621F78"/>
    <w:rsid w:val="006330A3"/>
    <w:rsid w:val="0063451D"/>
    <w:rsid w:val="00634555"/>
    <w:rsid w:val="006357F5"/>
    <w:rsid w:val="00641E06"/>
    <w:rsid w:val="0064234F"/>
    <w:rsid w:val="006436D1"/>
    <w:rsid w:val="00662384"/>
    <w:rsid w:val="00682D71"/>
    <w:rsid w:val="00685B14"/>
    <w:rsid w:val="006B0253"/>
    <w:rsid w:val="006C07A5"/>
    <w:rsid w:val="006D10E6"/>
    <w:rsid w:val="006D1F84"/>
    <w:rsid w:val="006E3C7A"/>
    <w:rsid w:val="006F2206"/>
    <w:rsid w:val="0070467C"/>
    <w:rsid w:val="007073C1"/>
    <w:rsid w:val="0071506E"/>
    <w:rsid w:val="00730DB0"/>
    <w:rsid w:val="00735B31"/>
    <w:rsid w:val="007417BF"/>
    <w:rsid w:val="00753FD7"/>
    <w:rsid w:val="00761D94"/>
    <w:rsid w:val="0076788D"/>
    <w:rsid w:val="00773BC5"/>
    <w:rsid w:val="0077649D"/>
    <w:rsid w:val="00781601"/>
    <w:rsid w:val="00791A9D"/>
    <w:rsid w:val="00793433"/>
    <w:rsid w:val="00797FC3"/>
    <w:rsid w:val="007B6A8F"/>
    <w:rsid w:val="007C188B"/>
    <w:rsid w:val="007F0D63"/>
    <w:rsid w:val="007F1110"/>
    <w:rsid w:val="007F1B85"/>
    <w:rsid w:val="007F2307"/>
    <w:rsid w:val="007F636F"/>
    <w:rsid w:val="008073ED"/>
    <w:rsid w:val="00810FE3"/>
    <w:rsid w:val="008156D2"/>
    <w:rsid w:val="0081705C"/>
    <w:rsid w:val="008318A2"/>
    <w:rsid w:val="00834434"/>
    <w:rsid w:val="00847D91"/>
    <w:rsid w:val="00851232"/>
    <w:rsid w:val="008530EB"/>
    <w:rsid w:val="00872300"/>
    <w:rsid w:val="008751BA"/>
    <w:rsid w:val="00876850"/>
    <w:rsid w:val="00876EA2"/>
    <w:rsid w:val="0088241D"/>
    <w:rsid w:val="00885C3C"/>
    <w:rsid w:val="00886083"/>
    <w:rsid w:val="008921CA"/>
    <w:rsid w:val="008952A8"/>
    <w:rsid w:val="008A3A88"/>
    <w:rsid w:val="008B39D4"/>
    <w:rsid w:val="008D1547"/>
    <w:rsid w:val="008D6934"/>
    <w:rsid w:val="008E3B07"/>
    <w:rsid w:val="008E4C04"/>
    <w:rsid w:val="008E6D62"/>
    <w:rsid w:val="008F5732"/>
    <w:rsid w:val="009025B7"/>
    <w:rsid w:val="0090781C"/>
    <w:rsid w:val="009147C4"/>
    <w:rsid w:val="009157E1"/>
    <w:rsid w:val="00915C24"/>
    <w:rsid w:val="00921150"/>
    <w:rsid w:val="00927717"/>
    <w:rsid w:val="009308E3"/>
    <w:rsid w:val="009610F2"/>
    <w:rsid w:val="00961967"/>
    <w:rsid w:val="00965BC0"/>
    <w:rsid w:val="0096642F"/>
    <w:rsid w:val="00970F4D"/>
    <w:rsid w:val="0097202A"/>
    <w:rsid w:val="00973C5E"/>
    <w:rsid w:val="00977788"/>
    <w:rsid w:val="0098753F"/>
    <w:rsid w:val="00990BDD"/>
    <w:rsid w:val="00990C9F"/>
    <w:rsid w:val="0099100B"/>
    <w:rsid w:val="009A7A71"/>
    <w:rsid w:val="009B6F10"/>
    <w:rsid w:val="009B7C0C"/>
    <w:rsid w:val="009B7C2D"/>
    <w:rsid w:val="009C0751"/>
    <w:rsid w:val="009C12AE"/>
    <w:rsid w:val="009C2973"/>
    <w:rsid w:val="009C715F"/>
    <w:rsid w:val="009C733F"/>
    <w:rsid w:val="009D3C09"/>
    <w:rsid w:val="009D5B9B"/>
    <w:rsid w:val="009E3A61"/>
    <w:rsid w:val="009E539C"/>
    <w:rsid w:val="009E572C"/>
    <w:rsid w:val="009F2F80"/>
    <w:rsid w:val="00A0165B"/>
    <w:rsid w:val="00A105C1"/>
    <w:rsid w:val="00A1449A"/>
    <w:rsid w:val="00A226B8"/>
    <w:rsid w:val="00A269C7"/>
    <w:rsid w:val="00A37E77"/>
    <w:rsid w:val="00A40848"/>
    <w:rsid w:val="00A40DDA"/>
    <w:rsid w:val="00A46B41"/>
    <w:rsid w:val="00A53778"/>
    <w:rsid w:val="00A55533"/>
    <w:rsid w:val="00A646BC"/>
    <w:rsid w:val="00A6496E"/>
    <w:rsid w:val="00A65682"/>
    <w:rsid w:val="00A67329"/>
    <w:rsid w:val="00A756FD"/>
    <w:rsid w:val="00A77AF2"/>
    <w:rsid w:val="00A81D60"/>
    <w:rsid w:val="00A970B2"/>
    <w:rsid w:val="00AA0B7C"/>
    <w:rsid w:val="00AA1227"/>
    <w:rsid w:val="00AA5C10"/>
    <w:rsid w:val="00AB4391"/>
    <w:rsid w:val="00AC268E"/>
    <w:rsid w:val="00AC41A3"/>
    <w:rsid w:val="00AD25CF"/>
    <w:rsid w:val="00AE0F55"/>
    <w:rsid w:val="00AE4DA7"/>
    <w:rsid w:val="00AE7AE9"/>
    <w:rsid w:val="00AF4B6A"/>
    <w:rsid w:val="00AF7ADA"/>
    <w:rsid w:val="00AF7ED4"/>
    <w:rsid w:val="00B04FB2"/>
    <w:rsid w:val="00B14513"/>
    <w:rsid w:val="00B31CE5"/>
    <w:rsid w:val="00B54079"/>
    <w:rsid w:val="00B57030"/>
    <w:rsid w:val="00B712E7"/>
    <w:rsid w:val="00B7213C"/>
    <w:rsid w:val="00B734DA"/>
    <w:rsid w:val="00B826D8"/>
    <w:rsid w:val="00B83893"/>
    <w:rsid w:val="00B84392"/>
    <w:rsid w:val="00B845BB"/>
    <w:rsid w:val="00BA1A03"/>
    <w:rsid w:val="00BB2ED0"/>
    <w:rsid w:val="00BB4DB4"/>
    <w:rsid w:val="00BB5F92"/>
    <w:rsid w:val="00BC3E18"/>
    <w:rsid w:val="00BD3F11"/>
    <w:rsid w:val="00BF13FD"/>
    <w:rsid w:val="00C16054"/>
    <w:rsid w:val="00C27021"/>
    <w:rsid w:val="00C40232"/>
    <w:rsid w:val="00C505C7"/>
    <w:rsid w:val="00C50EB4"/>
    <w:rsid w:val="00C61DC6"/>
    <w:rsid w:val="00C63C59"/>
    <w:rsid w:val="00C66C65"/>
    <w:rsid w:val="00C735F6"/>
    <w:rsid w:val="00C85137"/>
    <w:rsid w:val="00C87890"/>
    <w:rsid w:val="00CA20CC"/>
    <w:rsid w:val="00CA4831"/>
    <w:rsid w:val="00CA7B59"/>
    <w:rsid w:val="00CB330D"/>
    <w:rsid w:val="00CB40FC"/>
    <w:rsid w:val="00CB4FC2"/>
    <w:rsid w:val="00CB57A1"/>
    <w:rsid w:val="00CB758B"/>
    <w:rsid w:val="00CC1732"/>
    <w:rsid w:val="00CD0D88"/>
    <w:rsid w:val="00CD1595"/>
    <w:rsid w:val="00CD47C1"/>
    <w:rsid w:val="00CE381B"/>
    <w:rsid w:val="00CE6789"/>
    <w:rsid w:val="00CF1CAB"/>
    <w:rsid w:val="00CF5212"/>
    <w:rsid w:val="00D150D5"/>
    <w:rsid w:val="00D671C7"/>
    <w:rsid w:val="00D74261"/>
    <w:rsid w:val="00D749E6"/>
    <w:rsid w:val="00D82687"/>
    <w:rsid w:val="00D83CA2"/>
    <w:rsid w:val="00DA24C9"/>
    <w:rsid w:val="00DB4E50"/>
    <w:rsid w:val="00DB71A4"/>
    <w:rsid w:val="00DD2CCD"/>
    <w:rsid w:val="00DD6991"/>
    <w:rsid w:val="00DE0AB4"/>
    <w:rsid w:val="00DE3BAD"/>
    <w:rsid w:val="00DF10EA"/>
    <w:rsid w:val="00E033EB"/>
    <w:rsid w:val="00E15E68"/>
    <w:rsid w:val="00E16C0C"/>
    <w:rsid w:val="00E2292E"/>
    <w:rsid w:val="00E27C91"/>
    <w:rsid w:val="00E30B4C"/>
    <w:rsid w:val="00E3498E"/>
    <w:rsid w:val="00E60EFE"/>
    <w:rsid w:val="00E70E64"/>
    <w:rsid w:val="00E71F84"/>
    <w:rsid w:val="00E9033F"/>
    <w:rsid w:val="00E912E6"/>
    <w:rsid w:val="00E96882"/>
    <w:rsid w:val="00EB66F1"/>
    <w:rsid w:val="00ED3110"/>
    <w:rsid w:val="00ED4BBC"/>
    <w:rsid w:val="00EE346C"/>
    <w:rsid w:val="00EE59B6"/>
    <w:rsid w:val="00EF3A70"/>
    <w:rsid w:val="00F13FFC"/>
    <w:rsid w:val="00F3240E"/>
    <w:rsid w:val="00F42B46"/>
    <w:rsid w:val="00F43D63"/>
    <w:rsid w:val="00F51DE1"/>
    <w:rsid w:val="00F522C4"/>
    <w:rsid w:val="00F53A7D"/>
    <w:rsid w:val="00F5411F"/>
    <w:rsid w:val="00F63F70"/>
    <w:rsid w:val="00F679D3"/>
    <w:rsid w:val="00F70DFD"/>
    <w:rsid w:val="00F83277"/>
    <w:rsid w:val="00F90E38"/>
    <w:rsid w:val="00F91109"/>
    <w:rsid w:val="00F91214"/>
    <w:rsid w:val="00FC38B3"/>
    <w:rsid w:val="00FF2070"/>
    <w:rsid w:val="00FF70B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BEB23664-981B-4B10-9246-5C3EDB0B8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E78"/>
    <w:rPr>
      <w:sz w:val="20"/>
      <w:szCs w:val="20"/>
    </w:rPr>
  </w:style>
  <w:style w:type="paragraph" w:styleId="Heading1">
    <w:name w:val="heading 1"/>
    <w:basedOn w:val="Normal"/>
    <w:next w:val="Normal"/>
    <w:link w:val="Heading1Char"/>
    <w:uiPriority w:val="9"/>
    <w:qFormat/>
    <w:rsid w:val="00321E7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321E7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321E78"/>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321E78"/>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321E78"/>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321E78"/>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321E78"/>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321E78"/>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21E78"/>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4E88"/>
    <w:rPr>
      <w:rFonts w:ascii="Tahoma" w:hAnsi="Tahoma" w:cs="Tahoma"/>
      <w:sz w:val="16"/>
      <w:szCs w:val="16"/>
    </w:rPr>
  </w:style>
  <w:style w:type="character" w:customStyle="1" w:styleId="BalloonTextChar">
    <w:name w:val="Balloon Text Char"/>
    <w:basedOn w:val="DefaultParagraphFont"/>
    <w:link w:val="BalloonText"/>
    <w:uiPriority w:val="99"/>
    <w:semiHidden/>
    <w:rsid w:val="002C4E88"/>
    <w:rPr>
      <w:rFonts w:ascii="Tahoma" w:hAnsi="Tahoma" w:cs="Tahoma"/>
      <w:sz w:val="16"/>
      <w:szCs w:val="16"/>
    </w:rPr>
  </w:style>
  <w:style w:type="paragraph" w:styleId="Header">
    <w:name w:val="header"/>
    <w:basedOn w:val="Normal"/>
    <w:link w:val="HeaderChar"/>
    <w:uiPriority w:val="99"/>
    <w:unhideWhenUsed/>
    <w:rsid w:val="002C4E88"/>
    <w:pPr>
      <w:tabs>
        <w:tab w:val="center" w:pos="4513"/>
        <w:tab w:val="right" w:pos="9026"/>
      </w:tabs>
    </w:pPr>
  </w:style>
  <w:style w:type="character" w:customStyle="1" w:styleId="HeaderChar">
    <w:name w:val="Header Char"/>
    <w:basedOn w:val="DefaultParagraphFont"/>
    <w:link w:val="Header"/>
    <w:uiPriority w:val="99"/>
    <w:rsid w:val="002C4E88"/>
    <w:rPr>
      <w:sz w:val="24"/>
      <w:szCs w:val="24"/>
    </w:rPr>
  </w:style>
  <w:style w:type="paragraph" w:styleId="Footer">
    <w:name w:val="footer"/>
    <w:basedOn w:val="Normal"/>
    <w:link w:val="FooterChar"/>
    <w:uiPriority w:val="99"/>
    <w:unhideWhenUsed/>
    <w:rsid w:val="002C4E88"/>
    <w:pPr>
      <w:tabs>
        <w:tab w:val="center" w:pos="4513"/>
        <w:tab w:val="right" w:pos="9026"/>
      </w:tabs>
    </w:pPr>
  </w:style>
  <w:style w:type="character" w:customStyle="1" w:styleId="FooterChar">
    <w:name w:val="Footer Char"/>
    <w:basedOn w:val="DefaultParagraphFont"/>
    <w:link w:val="Footer"/>
    <w:uiPriority w:val="99"/>
    <w:rsid w:val="002C4E88"/>
    <w:rPr>
      <w:sz w:val="24"/>
      <w:szCs w:val="24"/>
    </w:rPr>
  </w:style>
  <w:style w:type="table" w:styleId="TableGrid">
    <w:name w:val="Table Grid"/>
    <w:basedOn w:val="TableNormal"/>
    <w:uiPriority w:val="59"/>
    <w:rsid w:val="002C4E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uiPriority w:val="20"/>
    <w:qFormat/>
    <w:rsid w:val="00321E78"/>
    <w:rPr>
      <w:caps/>
      <w:color w:val="243F60" w:themeColor="accent1" w:themeShade="7F"/>
      <w:spacing w:val="5"/>
    </w:rPr>
  </w:style>
  <w:style w:type="character" w:styleId="Hyperlink">
    <w:name w:val="Hyperlink"/>
    <w:basedOn w:val="DefaultParagraphFont"/>
    <w:uiPriority w:val="99"/>
    <w:unhideWhenUsed/>
    <w:rsid w:val="00ED4BBC"/>
    <w:rPr>
      <w:color w:val="0000FF" w:themeColor="hyperlink"/>
      <w:u w:val="single"/>
    </w:rPr>
  </w:style>
  <w:style w:type="character" w:customStyle="1" w:styleId="Heading1Char">
    <w:name w:val="Heading 1 Char"/>
    <w:basedOn w:val="DefaultParagraphFont"/>
    <w:link w:val="Heading1"/>
    <w:uiPriority w:val="9"/>
    <w:rsid w:val="00321E78"/>
    <w:rPr>
      <w:b/>
      <w:bCs/>
      <w:caps/>
      <w:color w:val="FFFFFF" w:themeColor="background1"/>
      <w:spacing w:val="15"/>
      <w:shd w:val="clear" w:color="auto" w:fill="4F81BD" w:themeFill="accent1"/>
    </w:rPr>
  </w:style>
  <w:style w:type="paragraph" w:styleId="ListParagraph">
    <w:name w:val="List Paragraph"/>
    <w:basedOn w:val="Normal"/>
    <w:uiPriority w:val="34"/>
    <w:qFormat/>
    <w:rsid w:val="00321E78"/>
    <w:pPr>
      <w:ind w:left="720"/>
      <w:contextualSpacing/>
    </w:pPr>
  </w:style>
  <w:style w:type="paragraph" w:customStyle="1" w:styleId="definitionacronyms">
    <w:name w:val="definition+acronyms"/>
    <w:basedOn w:val="Heading1"/>
    <w:qFormat/>
    <w:rsid w:val="00C735F6"/>
    <w:pPr>
      <w:spacing w:after="600"/>
      <w:jc w:val="center"/>
    </w:pPr>
  </w:style>
  <w:style w:type="table" w:customStyle="1" w:styleId="LightShading-Accent11">
    <w:name w:val="Light Shading - Accent 11"/>
    <w:basedOn w:val="TableNormal"/>
    <w:uiPriority w:val="60"/>
    <w:rsid w:val="00393F98"/>
    <w:rPr>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ITLE2">
    <w:name w:val="TITLE2"/>
    <w:basedOn w:val="Title"/>
    <w:rsid w:val="00C735F6"/>
  </w:style>
  <w:style w:type="paragraph" w:styleId="Title">
    <w:name w:val="Title"/>
    <w:basedOn w:val="Normal"/>
    <w:next w:val="Normal"/>
    <w:link w:val="TitleChar"/>
    <w:uiPriority w:val="10"/>
    <w:qFormat/>
    <w:rsid w:val="00321E78"/>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321E78"/>
    <w:rPr>
      <w:caps/>
      <w:color w:val="4F81BD" w:themeColor="accent1"/>
      <w:spacing w:val="10"/>
      <w:kern w:val="28"/>
      <w:sz w:val="52"/>
      <w:szCs w:val="52"/>
    </w:rPr>
  </w:style>
  <w:style w:type="paragraph" w:customStyle="1" w:styleId="Heading3list">
    <w:name w:val="Heading3list"/>
    <w:basedOn w:val="Normal"/>
    <w:qFormat/>
    <w:rsid w:val="00C735F6"/>
    <w:rPr>
      <w:rFonts w:asciiTheme="majorHAnsi" w:hAnsiTheme="majorHAnsi"/>
      <w:b/>
      <w:color w:val="548DD4" w:themeColor="text2" w:themeTint="99"/>
      <w:sz w:val="24"/>
      <w:szCs w:val="24"/>
    </w:rPr>
  </w:style>
  <w:style w:type="paragraph" w:customStyle="1" w:styleId="H11">
    <w:name w:val="H1(1)"/>
    <w:basedOn w:val="Normal"/>
    <w:qFormat/>
    <w:rsid w:val="00C735F6"/>
    <w:rPr>
      <w:rFonts w:asciiTheme="majorHAnsi" w:hAnsiTheme="majorHAnsi"/>
      <w:b/>
      <w:color w:val="365F91" w:themeColor="accent1" w:themeShade="BF"/>
      <w:sz w:val="28"/>
      <w:szCs w:val="28"/>
    </w:rPr>
  </w:style>
  <w:style w:type="paragraph" w:customStyle="1" w:styleId="attributes">
    <w:name w:val="attributes"/>
    <w:basedOn w:val="H11"/>
    <w:rsid w:val="00C735F6"/>
    <w:pPr>
      <w:spacing w:before="240" w:after="0"/>
    </w:pPr>
  </w:style>
  <w:style w:type="character" w:customStyle="1" w:styleId="Heading2Char">
    <w:name w:val="Heading 2 Char"/>
    <w:basedOn w:val="DefaultParagraphFont"/>
    <w:link w:val="Heading2"/>
    <w:uiPriority w:val="9"/>
    <w:semiHidden/>
    <w:rsid w:val="00321E78"/>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321E78"/>
    <w:rPr>
      <w:caps/>
      <w:color w:val="243F60" w:themeColor="accent1" w:themeShade="7F"/>
      <w:spacing w:val="15"/>
    </w:rPr>
  </w:style>
  <w:style w:type="character" w:customStyle="1" w:styleId="Heading5Char">
    <w:name w:val="Heading 5 Char"/>
    <w:basedOn w:val="DefaultParagraphFont"/>
    <w:link w:val="Heading5"/>
    <w:uiPriority w:val="9"/>
    <w:semiHidden/>
    <w:rsid w:val="00321E78"/>
    <w:rPr>
      <w:caps/>
      <w:color w:val="365F91" w:themeColor="accent1" w:themeShade="BF"/>
      <w:spacing w:val="10"/>
    </w:rPr>
  </w:style>
  <w:style w:type="character" w:customStyle="1" w:styleId="Heading6Char">
    <w:name w:val="Heading 6 Char"/>
    <w:basedOn w:val="DefaultParagraphFont"/>
    <w:link w:val="Heading6"/>
    <w:uiPriority w:val="9"/>
    <w:semiHidden/>
    <w:rsid w:val="00321E78"/>
    <w:rPr>
      <w:caps/>
      <w:color w:val="365F91" w:themeColor="accent1" w:themeShade="BF"/>
      <w:spacing w:val="10"/>
    </w:rPr>
  </w:style>
  <w:style w:type="character" w:customStyle="1" w:styleId="Heading7Char">
    <w:name w:val="Heading 7 Char"/>
    <w:basedOn w:val="DefaultParagraphFont"/>
    <w:link w:val="Heading7"/>
    <w:uiPriority w:val="9"/>
    <w:semiHidden/>
    <w:rsid w:val="00321E78"/>
    <w:rPr>
      <w:caps/>
      <w:color w:val="365F91" w:themeColor="accent1" w:themeShade="BF"/>
      <w:spacing w:val="10"/>
    </w:rPr>
  </w:style>
  <w:style w:type="character" w:customStyle="1" w:styleId="Heading8Char">
    <w:name w:val="Heading 8 Char"/>
    <w:basedOn w:val="DefaultParagraphFont"/>
    <w:link w:val="Heading8"/>
    <w:uiPriority w:val="9"/>
    <w:semiHidden/>
    <w:rsid w:val="00321E78"/>
    <w:rPr>
      <w:caps/>
      <w:spacing w:val="10"/>
      <w:sz w:val="18"/>
      <w:szCs w:val="18"/>
    </w:rPr>
  </w:style>
  <w:style w:type="paragraph" w:styleId="NoSpacing">
    <w:name w:val="No Spacing"/>
    <w:basedOn w:val="Normal"/>
    <w:link w:val="NoSpacingChar"/>
    <w:uiPriority w:val="1"/>
    <w:qFormat/>
    <w:rsid w:val="00321E78"/>
    <w:pPr>
      <w:spacing w:before="0" w:after="0" w:line="240" w:lineRule="auto"/>
    </w:pPr>
  </w:style>
  <w:style w:type="character" w:customStyle="1" w:styleId="NoSpacingChar">
    <w:name w:val="No Spacing Char"/>
    <w:basedOn w:val="DefaultParagraphFont"/>
    <w:link w:val="NoSpacing"/>
    <w:uiPriority w:val="1"/>
    <w:rsid w:val="00321E78"/>
    <w:rPr>
      <w:sz w:val="20"/>
      <w:szCs w:val="20"/>
    </w:rPr>
  </w:style>
  <w:style w:type="paragraph" w:styleId="TOCHeading">
    <w:name w:val="TOC Heading"/>
    <w:basedOn w:val="Heading1"/>
    <w:next w:val="Normal"/>
    <w:uiPriority w:val="39"/>
    <w:semiHidden/>
    <w:unhideWhenUsed/>
    <w:qFormat/>
    <w:rsid w:val="00321E78"/>
    <w:pPr>
      <w:outlineLvl w:val="9"/>
    </w:pPr>
    <w:rPr>
      <w:lang w:bidi="en-US"/>
    </w:rPr>
  </w:style>
  <w:style w:type="character" w:styleId="CommentReference">
    <w:name w:val="annotation reference"/>
    <w:basedOn w:val="DefaultParagraphFont"/>
    <w:uiPriority w:val="99"/>
    <w:semiHidden/>
    <w:unhideWhenUsed/>
    <w:rsid w:val="009C2973"/>
    <w:rPr>
      <w:sz w:val="16"/>
      <w:szCs w:val="16"/>
    </w:rPr>
  </w:style>
  <w:style w:type="paragraph" w:styleId="CommentText">
    <w:name w:val="annotation text"/>
    <w:basedOn w:val="Normal"/>
    <w:link w:val="CommentTextChar"/>
    <w:uiPriority w:val="99"/>
    <w:semiHidden/>
    <w:unhideWhenUsed/>
    <w:rsid w:val="009C2973"/>
    <w:pPr>
      <w:spacing w:line="240" w:lineRule="auto"/>
    </w:pPr>
  </w:style>
  <w:style w:type="character" w:customStyle="1" w:styleId="CommentTextChar">
    <w:name w:val="Comment Text Char"/>
    <w:basedOn w:val="DefaultParagraphFont"/>
    <w:link w:val="CommentText"/>
    <w:uiPriority w:val="99"/>
    <w:semiHidden/>
    <w:rsid w:val="009C2973"/>
    <w:rPr>
      <w:sz w:val="20"/>
      <w:szCs w:val="20"/>
    </w:rPr>
  </w:style>
  <w:style w:type="paragraph" w:styleId="CommentSubject">
    <w:name w:val="annotation subject"/>
    <w:basedOn w:val="CommentText"/>
    <w:next w:val="CommentText"/>
    <w:link w:val="CommentSubjectChar"/>
    <w:uiPriority w:val="99"/>
    <w:semiHidden/>
    <w:unhideWhenUsed/>
    <w:rsid w:val="009C2973"/>
    <w:rPr>
      <w:b/>
      <w:bCs/>
    </w:rPr>
  </w:style>
  <w:style w:type="character" w:customStyle="1" w:styleId="CommentSubjectChar">
    <w:name w:val="Comment Subject Char"/>
    <w:basedOn w:val="CommentTextChar"/>
    <w:link w:val="CommentSubject"/>
    <w:uiPriority w:val="99"/>
    <w:semiHidden/>
    <w:rsid w:val="009C2973"/>
    <w:rPr>
      <w:b/>
      <w:bCs/>
      <w:sz w:val="20"/>
      <w:szCs w:val="20"/>
    </w:rPr>
  </w:style>
  <w:style w:type="table" w:customStyle="1" w:styleId="TableGrid1">
    <w:name w:val="Table Grid1"/>
    <w:basedOn w:val="TableNormal"/>
    <w:next w:val="TableGrid"/>
    <w:uiPriority w:val="59"/>
    <w:rsid w:val="00F42B46"/>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semiHidden/>
    <w:rsid w:val="00321E78"/>
    <w:rPr>
      <w:caps/>
      <w:color w:val="365F91" w:themeColor="accent1" w:themeShade="BF"/>
      <w:spacing w:val="10"/>
    </w:rPr>
  </w:style>
  <w:style w:type="character" w:customStyle="1" w:styleId="Heading9Char">
    <w:name w:val="Heading 9 Char"/>
    <w:basedOn w:val="DefaultParagraphFont"/>
    <w:link w:val="Heading9"/>
    <w:uiPriority w:val="9"/>
    <w:semiHidden/>
    <w:rsid w:val="00321E78"/>
    <w:rPr>
      <w:i/>
      <w:caps/>
      <w:spacing w:val="10"/>
      <w:sz w:val="18"/>
      <w:szCs w:val="18"/>
    </w:rPr>
  </w:style>
  <w:style w:type="paragraph" w:styleId="Caption">
    <w:name w:val="caption"/>
    <w:basedOn w:val="Normal"/>
    <w:next w:val="Normal"/>
    <w:uiPriority w:val="35"/>
    <w:semiHidden/>
    <w:unhideWhenUsed/>
    <w:qFormat/>
    <w:rsid w:val="00321E78"/>
    <w:rPr>
      <w:b/>
      <w:bCs/>
      <w:color w:val="365F91" w:themeColor="accent1" w:themeShade="BF"/>
      <w:sz w:val="16"/>
      <w:szCs w:val="16"/>
    </w:rPr>
  </w:style>
  <w:style w:type="paragraph" w:styleId="Subtitle">
    <w:name w:val="Subtitle"/>
    <w:basedOn w:val="Normal"/>
    <w:next w:val="Normal"/>
    <w:link w:val="SubtitleChar"/>
    <w:uiPriority w:val="11"/>
    <w:qFormat/>
    <w:rsid w:val="00321E78"/>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321E78"/>
    <w:rPr>
      <w:caps/>
      <w:color w:val="595959" w:themeColor="text1" w:themeTint="A6"/>
      <w:spacing w:val="10"/>
      <w:sz w:val="24"/>
      <w:szCs w:val="24"/>
    </w:rPr>
  </w:style>
  <w:style w:type="character" w:styleId="Strong">
    <w:name w:val="Strong"/>
    <w:uiPriority w:val="22"/>
    <w:qFormat/>
    <w:rsid w:val="00321E78"/>
    <w:rPr>
      <w:b/>
      <w:bCs/>
    </w:rPr>
  </w:style>
  <w:style w:type="paragraph" w:styleId="Quote">
    <w:name w:val="Quote"/>
    <w:basedOn w:val="Normal"/>
    <w:next w:val="Normal"/>
    <w:link w:val="QuoteChar"/>
    <w:uiPriority w:val="29"/>
    <w:qFormat/>
    <w:rsid w:val="00321E78"/>
    <w:rPr>
      <w:i/>
      <w:iCs/>
    </w:rPr>
  </w:style>
  <w:style w:type="character" w:customStyle="1" w:styleId="QuoteChar">
    <w:name w:val="Quote Char"/>
    <w:basedOn w:val="DefaultParagraphFont"/>
    <w:link w:val="Quote"/>
    <w:uiPriority w:val="29"/>
    <w:rsid w:val="00321E78"/>
    <w:rPr>
      <w:i/>
      <w:iCs/>
      <w:sz w:val="20"/>
      <w:szCs w:val="20"/>
    </w:rPr>
  </w:style>
  <w:style w:type="paragraph" w:styleId="IntenseQuote">
    <w:name w:val="Intense Quote"/>
    <w:basedOn w:val="Normal"/>
    <w:next w:val="Normal"/>
    <w:link w:val="IntenseQuoteChar"/>
    <w:uiPriority w:val="30"/>
    <w:qFormat/>
    <w:rsid w:val="00321E78"/>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321E78"/>
    <w:rPr>
      <w:i/>
      <w:iCs/>
      <w:color w:val="4F81BD" w:themeColor="accent1"/>
      <w:sz w:val="20"/>
      <w:szCs w:val="20"/>
    </w:rPr>
  </w:style>
  <w:style w:type="character" w:styleId="SubtleEmphasis">
    <w:name w:val="Subtle Emphasis"/>
    <w:uiPriority w:val="19"/>
    <w:qFormat/>
    <w:rsid w:val="00321E78"/>
    <w:rPr>
      <w:i/>
      <w:iCs/>
      <w:color w:val="243F60" w:themeColor="accent1" w:themeShade="7F"/>
    </w:rPr>
  </w:style>
  <w:style w:type="character" w:styleId="IntenseEmphasis">
    <w:name w:val="Intense Emphasis"/>
    <w:uiPriority w:val="21"/>
    <w:qFormat/>
    <w:rsid w:val="00321E78"/>
    <w:rPr>
      <w:b/>
      <w:bCs/>
      <w:caps/>
      <w:color w:val="243F60" w:themeColor="accent1" w:themeShade="7F"/>
      <w:spacing w:val="10"/>
    </w:rPr>
  </w:style>
  <w:style w:type="character" w:styleId="SubtleReference">
    <w:name w:val="Subtle Reference"/>
    <w:uiPriority w:val="31"/>
    <w:qFormat/>
    <w:rsid w:val="00321E78"/>
    <w:rPr>
      <w:b/>
      <w:bCs/>
      <w:color w:val="4F81BD" w:themeColor="accent1"/>
    </w:rPr>
  </w:style>
  <w:style w:type="character" w:styleId="IntenseReference">
    <w:name w:val="Intense Reference"/>
    <w:uiPriority w:val="32"/>
    <w:qFormat/>
    <w:rsid w:val="00321E78"/>
    <w:rPr>
      <w:b/>
      <w:bCs/>
      <w:i/>
      <w:iCs/>
      <w:caps/>
      <w:color w:val="4F81BD" w:themeColor="accent1"/>
    </w:rPr>
  </w:style>
  <w:style w:type="character" w:styleId="BookTitle">
    <w:name w:val="Book Title"/>
    <w:uiPriority w:val="33"/>
    <w:qFormat/>
    <w:rsid w:val="00321E78"/>
    <w:rPr>
      <w:b/>
      <w:bCs/>
      <w:i/>
      <w:iCs/>
      <w:spacing w:val="9"/>
    </w:rPr>
  </w:style>
  <w:style w:type="paragraph" w:customStyle="1" w:styleId="Default">
    <w:name w:val="Default"/>
    <w:rsid w:val="00634555"/>
    <w:pPr>
      <w:autoSpaceDE w:val="0"/>
      <w:autoSpaceDN w:val="0"/>
      <w:adjustRightInd w:val="0"/>
      <w:spacing w:before="0" w:after="0" w:line="240" w:lineRule="auto"/>
    </w:pPr>
    <w:rPr>
      <w:rFonts w:ascii="Times New Roman" w:hAnsi="Times New Roman" w:cs="Times New Roman"/>
      <w:color w:val="000000"/>
      <w:sz w:val="24"/>
      <w:szCs w:val="24"/>
    </w:rPr>
  </w:style>
  <w:style w:type="paragraph" w:styleId="Revision">
    <w:name w:val="Revision"/>
    <w:hidden/>
    <w:uiPriority w:val="99"/>
    <w:semiHidden/>
    <w:rsid w:val="00B734DA"/>
    <w:pPr>
      <w:spacing w:before="0"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729722">
      <w:bodyDiv w:val="1"/>
      <w:marLeft w:val="0"/>
      <w:marRight w:val="0"/>
      <w:marTop w:val="0"/>
      <w:marBottom w:val="0"/>
      <w:divBdr>
        <w:top w:val="none" w:sz="0" w:space="0" w:color="auto"/>
        <w:left w:val="none" w:sz="0" w:space="0" w:color="auto"/>
        <w:bottom w:val="none" w:sz="0" w:space="0" w:color="auto"/>
        <w:right w:val="none" w:sz="0" w:space="0" w:color="auto"/>
      </w:divBdr>
    </w:div>
    <w:div w:id="1676953129">
      <w:bodyDiv w:val="1"/>
      <w:marLeft w:val="0"/>
      <w:marRight w:val="0"/>
      <w:marTop w:val="0"/>
      <w:marBottom w:val="0"/>
      <w:divBdr>
        <w:top w:val="none" w:sz="0" w:space="0" w:color="auto"/>
        <w:left w:val="none" w:sz="0" w:space="0" w:color="auto"/>
        <w:bottom w:val="none" w:sz="0" w:space="0" w:color="auto"/>
        <w:right w:val="none" w:sz="0" w:space="0" w:color="auto"/>
      </w:divBdr>
    </w:div>
    <w:div w:id="211604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E144F055-83DB-4D04-818B-FEFB43A99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1172</Words>
  <Characters>6582</Characters>
  <Application>Microsoft Office Word</Application>
  <DocSecurity>4</DocSecurity>
  <Lines>109</Lines>
  <Paragraphs>42</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harrid</dc:creator>
  <cp:lastModifiedBy>Kelsie Kruse</cp:lastModifiedBy>
  <cp:revision>2</cp:revision>
  <cp:lastPrinted>2016-05-18T00:39:00Z</cp:lastPrinted>
  <dcterms:created xsi:type="dcterms:W3CDTF">2019-02-12T03:21:00Z</dcterms:created>
  <dcterms:modified xsi:type="dcterms:W3CDTF">2019-02-12T03:21:00Z</dcterms:modified>
</cp:coreProperties>
</file>