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D2" w:rsidRPr="00335AD9" w:rsidRDefault="006627E0" w:rsidP="006627E0">
      <w:pPr>
        <w:pStyle w:val="Title"/>
      </w:pPr>
      <w:bookmarkStart w:id="0" w:name="_GoBack"/>
      <w:bookmarkEnd w:id="0"/>
      <w:r w:rsidRPr="00335AD9">
        <w:t xml:space="preserve">Inspection </w:t>
      </w:r>
      <w:r>
        <w:t>R</w:t>
      </w:r>
      <w:r w:rsidRPr="00335AD9">
        <w:t>eport</w:t>
      </w:r>
    </w:p>
    <w:tbl>
      <w:tblPr>
        <w:tblStyle w:val="TableGrid1"/>
        <w:tblW w:w="9639" w:type="dxa"/>
        <w:tblInd w:w="113" w:type="dxa"/>
        <w:tblLook w:val="04A0" w:firstRow="1" w:lastRow="0" w:firstColumn="1" w:lastColumn="0" w:noHBand="0" w:noVBand="1"/>
      </w:tblPr>
      <w:tblGrid>
        <w:gridCol w:w="5563"/>
        <w:gridCol w:w="4076"/>
      </w:tblGrid>
      <w:tr w:rsidR="00681A05" w:rsidRPr="00D478CD" w:rsidTr="00EF13FB">
        <w:trPr>
          <w:trHeight w:val="567"/>
        </w:trPr>
        <w:tc>
          <w:tcPr>
            <w:tcW w:w="5563" w:type="dxa"/>
            <w:vAlign w:val="center"/>
          </w:tcPr>
          <w:p w:rsidR="00681A05" w:rsidRPr="00D478CD" w:rsidRDefault="00681A05" w:rsidP="00162728">
            <w:pPr>
              <w:spacing w:before="120"/>
              <w:rPr>
                <w:lang w:val="en-US"/>
              </w:rPr>
            </w:pPr>
            <w:r w:rsidRPr="00BC71BB">
              <w:rPr>
                <w:b/>
                <w:color w:val="4E1A74"/>
                <w:lang w:val="en-US"/>
              </w:rPr>
              <w:t>Licence Holder</w:t>
            </w:r>
            <w:r w:rsidRPr="00BC71BB">
              <w:rPr>
                <w:color w:val="4E1A74"/>
                <w:lang w:val="en-US"/>
              </w:rPr>
              <w:t xml:space="preserve">: </w:t>
            </w:r>
            <w:r w:rsidR="00162728" w:rsidRPr="00107E2E">
              <w:t>Department of Defence and Australian Defence Force (Defence)</w:t>
            </w:r>
          </w:p>
        </w:tc>
        <w:tc>
          <w:tcPr>
            <w:tcW w:w="4076" w:type="dxa"/>
            <w:vAlign w:val="center"/>
          </w:tcPr>
          <w:p w:rsidR="00681A05" w:rsidRPr="00D478CD" w:rsidRDefault="00681A05" w:rsidP="00162728">
            <w:pPr>
              <w:spacing w:before="120"/>
              <w:rPr>
                <w:lang w:val="en-US"/>
              </w:rPr>
            </w:pPr>
            <w:r w:rsidRPr="00BC71BB">
              <w:rPr>
                <w:b/>
                <w:color w:val="4E1A74"/>
                <w:lang w:val="en-US"/>
              </w:rPr>
              <w:t>Licence Number:</w:t>
            </w:r>
            <w:r w:rsidRPr="00BC71BB">
              <w:rPr>
                <w:color w:val="4E1A74"/>
              </w:rPr>
              <w:t xml:space="preserve"> </w:t>
            </w:r>
            <w:r w:rsidR="00A24176" w:rsidRPr="00895D9E">
              <w:rPr>
                <w:color w:val="auto"/>
              </w:rPr>
              <w:t>F</w:t>
            </w:r>
            <w:r w:rsidR="00162728">
              <w:rPr>
                <w:color w:val="auto"/>
              </w:rPr>
              <w:t>0252</w:t>
            </w:r>
          </w:p>
        </w:tc>
      </w:tr>
      <w:tr w:rsidR="00681A05" w:rsidRPr="00D478CD" w:rsidTr="00EF13FB">
        <w:trPr>
          <w:trHeight w:val="450"/>
        </w:trPr>
        <w:tc>
          <w:tcPr>
            <w:tcW w:w="5563" w:type="dxa"/>
            <w:vMerge w:val="restart"/>
          </w:tcPr>
          <w:p w:rsidR="00681A05" w:rsidRPr="00C24160" w:rsidRDefault="00681A05" w:rsidP="00A24176">
            <w:pPr>
              <w:spacing w:before="120"/>
              <w:rPr>
                <w:b/>
                <w:color w:val="4E1A74"/>
                <w:lang w:val="en-US"/>
              </w:rPr>
            </w:pPr>
            <w:r w:rsidRPr="00BC71BB">
              <w:rPr>
                <w:b/>
                <w:color w:val="4E1A74"/>
                <w:lang w:val="en-US"/>
              </w:rPr>
              <w:t xml:space="preserve">Location inspected: </w:t>
            </w:r>
            <w:r w:rsidR="00162728" w:rsidRPr="00107E2E">
              <w:rPr>
                <w:lang w:val="en-US"/>
              </w:rPr>
              <w:t>Defence base in South Australia</w:t>
            </w:r>
          </w:p>
        </w:tc>
        <w:tc>
          <w:tcPr>
            <w:tcW w:w="4076" w:type="dxa"/>
            <w:vAlign w:val="center"/>
          </w:tcPr>
          <w:p w:rsidR="00681A05" w:rsidRPr="00C24160" w:rsidRDefault="00681A05" w:rsidP="00144CDA">
            <w:pPr>
              <w:spacing w:before="120"/>
              <w:rPr>
                <w:b/>
                <w:color w:val="4E1A74"/>
                <w:lang w:val="en-US"/>
              </w:rPr>
            </w:pPr>
            <w:r w:rsidRPr="00BC71BB">
              <w:rPr>
                <w:b/>
                <w:color w:val="4E1A74"/>
                <w:lang w:val="en-US"/>
              </w:rPr>
              <w:t>Date</w:t>
            </w:r>
            <w:r w:rsidR="00A24176" w:rsidRPr="00BC71BB">
              <w:rPr>
                <w:b/>
                <w:color w:val="4E1A74"/>
                <w:lang w:val="en-US"/>
              </w:rPr>
              <w:t>/s</w:t>
            </w:r>
            <w:r w:rsidRPr="00BC71BB">
              <w:rPr>
                <w:b/>
                <w:color w:val="4E1A74"/>
                <w:lang w:val="en-US"/>
              </w:rPr>
              <w:t xml:space="preserve"> of inspection: </w:t>
            </w:r>
            <w:r w:rsidR="00144CDA">
              <w:rPr>
                <w:lang w:val="en-US"/>
              </w:rPr>
              <w:t>30</w:t>
            </w:r>
            <w:r w:rsidR="00162728" w:rsidRPr="00107E2E">
              <w:rPr>
                <w:lang w:val="en-US"/>
              </w:rPr>
              <w:t xml:space="preserve"> March - 7 April 2017</w:t>
            </w:r>
          </w:p>
        </w:tc>
      </w:tr>
      <w:tr w:rsidR="00681A05" w:rsidRPr="00D478CD" w:rsidTr="00EF13FB">
        <w:trPr>
          <w:trHeight w:val="450"/>
        </w:trPr>
        <w:tc>
          <w:tcPr>
            <w:tcW w:w="5563" w:type="dxa"/>
            <w:vMerge/>
            <w:vAlign w:val="center"/>
          </w:tcPr>
          <w:p w:rsidR="00681A05" w:rsidRPr="00C24160" w:rsidRDefault="00681A05" w:rsidP="00C24160">
            <w:pPr>
              <w:spacing w:before="120"/>
              <w:rPr>
                <w:b/>
                <w:color w:val="4E1A74"/>
                <w:lang w:val="en-US"/>
              </w:rPr>
            </w:pPr>
          </w:p>
        </w:tc>
        <w:tc>
          <w:tcPr>
            <w:tcW w:w="4076" w:type="dxa"/>
            <w:vAlign w:val="center"/>
          </w:tcPr>
          <w:p w:rsidR="00681A05" w:rsidRPr="00C24160" w:rsidRDefault="00681A05" w:rsidP="00F139D8">
            <w:pPr>
              <w:spacing w:before="120"/>
              <w:rPr>
                <w:b/>
                <w:color w:val="4E1A74"/>
                <w:lang w:val="en-US"/>
              </w:rPr>
            </w:pPr>
            <w:r w:rsidRPr="00BC71BB">
              <w:rPr>
                <w:b/>
                <w:color w:val="4E1A74"/>
                <w:lang w:val="en-US"/>
              </w:rPr>
              <w:t>Report No:</w:t>
            </w:r>
            <w:r w:rsidRPr="00BC71BB">
              <w:rPr>
                <w:color w:val="4E1A74"/>
              </w:rPr>
              <w:t xml:space="preserve"> </w:t>
            </w:r>
            <w:r w:rsidRPr="00C24160">
              <w:rPr>
                <w:lang w:val="en-US"/>
              </w:rPr>
              <w:t>R</w:t>
            </w:r>
            <w:r w:rsidR="00162728">
              <w:rPr>
                <w:lang w:val="en-US"/>
              </w:rPr>
              <w:t>17</w:t>
            </w:r>
            <w:r w:rsidRPr="00C24160">
              <w:rPr>
                <w:lang w:val="en-US"/>
              </w:rPr>
              <w:t>/</w:t>
            </w:r>
            <w:r w:rsidR="00F139D8">
              <w:rPr>
                <w:lang w:val="en-US"/>
              </w:rPr>
              <w:t>03877</w:t>
            </w:r>
          </w:p>
        </w:tc>
      </w:tr>
      <w:tr w:rsidR="00681A05" w:rsidRPr="00D478CD" w:rsidTr="00EF13FB">
        <w:tc>
          <w:tcPr>
            <w:tcW w:w="9639" w:type="dxa"/>
            <w:gridSpan w:val="2"/>
          </w:tcPr>
          <w:p w:rsidR="00ED43CA" w:rsidRPr="006627E0" w:rsidRDefault="00ED43CA" w:rsidP="006627E0">
            <w:pPr>
              <w:rPr>
                <w:b/>
                <w:spacing w:val="-2"/>
              </w:rPr>
            </w:pPr>
            <w:r w:rsidRPr="006627E0">
              <w:rPr>
                <w:spacing w:val="-2"/>
              </w:rPr>
              <w:t xml:space="preserve">An inspection was conducted as part of ARPANSA’s baseline inspection program to assess compliance with the </w:t>
            </w:r>
            <w:r w:rsidRPr="006627E0">
              <w:rPr>
                <w:i/>
                <w:spacing w:val="-2"/>
              </w:rPr>
              <w:t>Australian Radiation Protection and Nuclear Safety Act 1998</w:t>
            </w:r>
            <w:r w:rsidRPr="006627E0">
              <w:rPr>
                <w:spacing w:val="-2"/>
              </w:rPr>
              <w:t xml:space="preserve"> (the Act), the Australian Radiation Protection and Nuclear Safety Regulations 1999 (the Regulations), and conditions of </w:t>
            </w:r>
            <w:r w:rsidR="001F3F99" w:rsidRPr="006627E0">
              <w:rPr>
                <w:spacing w:val="-2"/>
              </w:rPr>
              <w:t xml:space="preserve">Facility Licence </w:t>
            </w:r>
            <w:r w:rsidRPr="006627E0">
              <w:rPr>
                <w:spacing w:val="-2"/>
              </w:rPr>
              <w:t>F</w:t>
            </w:r>
            <w:r w:rsidR="001F3F99" w:rsidRPr="006627E0">
              <w:rPr>
                <w:spacing w:val="-2"/>
              </w:rPr>
              <w:t>0252</w:t>
            </w:r>
            <w:r w:rsidRPr="006627E0">
              <w:rPr>
                <w:spacing w:val="-2"/>
              </w:rPr>
              <w:t xml:space="preserve">. </w:t>
            </w:r>
          </w:p>
          <w:p w:rsidR="001F3F99" w:rsidRPr="006627E0" w:rsidRDefault="00ED43CA" w:rsidP="006627E0">
            <w:r w:rsidRPr="006627E0">
              <w:t xml:space="preserve">The scope of the inspection included an assessment of </w:t>
            </w:r>
            <w:r w:rsidR="001F3F99" w:rsidRPr="006627E0">
              <w:t>Defence</w:t>
            </w:r>
            <w:r w:rsidRPr="006627E0">
              <w:t xml:space="preserve">’s performance in the following areas:  </w:t>
            </w:r>
          </w:p>
          <w:p w:rsidR="001F3F99" w:rsidRPr="00D101F0" w:rsidRDefault="001F3F99" w:rsidP="006627E0">
            <w:pPr>
              <w:pStyle w:val="ListParagraph"/>
              <w:numPr>
                <w:ilvl w:val="0"/>
                <w:numId w:val="7"/>
              </w:numPr>
              <w:spacing w:before="60" w:line="240" w:lineRule="auto"/>
              <w:rPr>
                <w:color w:val="auto"/>
              </w:rPr>
            </w:pPr>
            <w:r w:rsidRPr="00D101F0">
              <w:rPr>
                <w:color w:val="auto"/>
              </w:rPr>
              <w:t xml:space="preserve">Performance reporting and verification </w:t>
            </w:r>
          </w:p>
          <w:p w:rsidR="001F3F99" w:rsidRDefault="001F3F99" w:rsidP="006627E0">
            <w:pPr>
              <w:pStyle w:val="ListParagraph"/>
              <w:numPr>
                <w:ilvl w:val="0"/>
                <w:numId w:val="7"/>
              </w:numPr>
              <w:spacing w:before="60" w:line="240" w:lineRule="auto"/>
              <w:rPr>
                <w:color w:val="auto"/>
              </w:rPr>
            </w:pPr>
            <w:r w:rsidRPr="00D101F0">
              <w:rPr>
                <w:color w:val="auto"/>
              </w:rPr>
              <w:t xml:space="preserve">Configuration </w:t>
            </w:r>
            <w:r>
              <w:rPr>
                <w:color w:val="auto"/>
              </w:rPr>
              <w:t>management</w:t>
            </w:r>
            <w:r w:rsidRPr="00D101F0">
              <w:rPr>
                <w:color w:val="auto"/>
              </w:rPr>
              <w:t xml:space="preserve"> </w:t>
            </w:r>
          </w:p>
          <w:p w:rsidR="001F3F99" w:rsidRDefault="001F3F99" w:rsidP="006627E0">
            <w:pPr>
              <w:pStyle w:val="ListParagraph"/>
              <w:numPr>
                <w:ilvl w:val="0"/>
                <w:numId w:val="7"/>
              </w:numPr>
              <w:spacing w:before="60" w:line="240" w:lineRule="auto"/>
              <w:rPr>
                <w:color w:val="auto"/>
              </w:rPr>
            </w:pPr>
            <w:r>
              <w:rPr>
                <w:color w:val="auto"/>
              </w:rPr>
              <w:t>Inspection testing and maintenance</w:t>
            </w:r>
          </w:p>
          <w:p w:rsidR="009315F7" w:rsidRPr="00D101F0" w:rsidRDefault="009315F7" w:rsidP="006627E0">
            <w:pPr>
              <w:pStyle w:val="ListParagraph"/>
              <w:numPr>
                <w:ilvl w:val="0"/>
                <w:numId w:val="7"/>
              </w:numPr>
              <w:spacing w:before="60" w:line="240" w:lineRule="auto"/>
              <w:rPr>
                <w:color w:val="auto"/>
              </w:rPr>
            </w:pPr>
            <w:r>
              <w:rPr>
                <w:color w:val="auto"/>
              </w:rPr>
              <w:t>Training</w:t>
            </w:r>
          </w:p>
          <w:p w:rsidR="001F3F99" w:rsidRDefault="001F3F99" w:rsidP="006627E0">
            <w:pPr>
              <w:pStyle w:val="ListParagraph"/>
              <w:numPr>
                <w:ilvl w:val="0"/>
                <w:numId w:val="7"/>
              </w:numPr>
              <w:spacing w:before="60" w:line="240" w:lineRule="auto"/>
              <w:rPr>
                <w:color w:val="auto"/>
              </w:rPr>
            </w:pPr>
            <w:r w:rsidRPr="00D101F0">
              <w:rPr>
                <w:color w:val="auto"/>
              </w:rPr>
              <w:t xml:space="preserve">Event protection </w:t>
            </w:r>
          </w:p>
          <w:p w:rsidR="009315F7" w:rsidRPr="00D101F0" w:rsidRDefault="009315F7" w:rsidP="006627E0">
            <w:pPr>
              <w:pStyle w:val="ListParagraph"/>
              <w:numPr>
                <w:ilvl w:val="0"/>
                <w:numId w:val="7"/>
              </w:numPr>
              <w:spacing w:before="60" w:line="240" w:lineRule="auto"/>
              <w:rPr>
                <w:color w:val="auto"/>
              </w:rPr>
            </w:pPr>
            <w:r>
              <w:rPr>
                <w:color w:val="auto"/>
              </w:rPr>
              <w:t>Security</w:t>
            </w:r>
          </w:p>
          <w:p w:rsidR="001F3F99" w:rsidRPr="00D101F0" w:rsidRDefault="001F3F99" w:rsidP="006627E0">
            <w:pPr>
              <w:pStyle w:val="ListParagraph"/>
              <w:numPr>
                <w:ilvl w:val="0"/>
                <w:numId w:val="7"/>
              </w:numPr>
              <w:spacing w:before="60" w:line="240" w:lineRule="auto"/>
              <w:rPr>
                <w:color w:val="auto"/>
              </w:rPr>
            </w:pPr>
            <w:r w:rsidRPr="00D101F0">
              <w:rPr>
                <w:color w:val="auto"/>
              </w:rPr>
              <w:t xml:space="preserve">Radiation protection </w:t>
            </w:r>
          </w:p>
          <w:p w:rsidR="001F3F99" w:rsidRPr="001F3F99" w:rsidRDefault="001F3F99" w:rsidP="006627E0">
            <w:pPr>
              <w:pStyle w:val="ListParagraph"/>
              <w:numPr>
                <w:ilvl w:val="0"/>
                <w:numId w:val="7"/>
              </w:numPr>
              <w:spacing w:before="60" w:line="240" w:lineRule="auto"/>
              <w:rPr>
                <w:color w:val="auto"/>
              </w:rPr>
            </w:pPr>
            <w:r w:rsidRPr="001F3F99">
              <w:rPr>
                <w:color w:val="auto"/>
              </w:rPr>
              <w:t>Emergency preparedness and response</w:t>
            </w:r>
          </w:p>
          <w:p w:rsidR="00ED43CA" w:rsidRPr="00D641B0" w:rsidRDefault="00A00ECF" w:rsidP="006627E0">
            <w:r>
              <w:t xml:space="preserve">The inspection </w:t>
            </w:r>
            <w:r w:rsidR="00ED43CA" w:rsidRPr="00D641B0">
              <w:t xml:space="preserve">consisted of a review of records, interviews, and </w:t>
            </w:r>
            <w:r w:rsidR="00ED43CA" w:rsidRPr="001F3F99">
              <w:rPr>
                <w:color w:val="auto"/>
              </w:rPr>
              <w:t xml:space="preserve">physical inspection of the facility. </w:t>
            </w:r>
          </w:p>
          <w:p w:rsidR="00681A05" w:rsidRPr="000B6360" w:rsidRDefault="00681A05" w:rsidP="00337761">
            <w:pPr>
              <w:pStyle w:val="Heading1"/>
              <w:outlineLvl w:val="0"/>
            </w:pPr>
            <w:r w:rsidRPr="000B6360">
              <w:t>Background</w:t>
            </w:r>
            <w:r w:rsidR="000E44B6">
              <w:t xml:space="preserve"> </w:t>
            </w:r>
          </w:p>
          <w:p w:rsidR="000E44B6" w:rsidRDefault="00032C74" w:rsidP="006627E0">
            <w:r>
              <w:t>The Defence establishment houses a 1.2-3 MeV linear accelerator (linac) which is used for radiographing explosive ordnance and weapons.</w:t>
            </w:r>
          </w:p>
          <w:p w:rsidR="00681A05" w:rsidRPr="005D3B78" w:rsidRDefault="00681A05" w:rsidP="00337761">
            <w:pPr>
              <w:pStyle w:val="Heading1"/>
              <w:outlineLvl w:val="0"/>
            </w:pPr>
            <w:r w:rsidRPr="00AC133F">
              <w:t>O</w:t>
            </w:r>
            <w:r w:rsidRPr="005D3B78">
              <w:t>bservations</w:t>
            </w:r>
          </w:p>
          <w:p w:rsidR="00282797" w:rsidRPr="005D3B78" w:rsidRDefault="00282797" w:rsidP="005D3B78">
            <w:pPr>
              <w:pStyle w:val="Heading2"/>
            </w:pPr>
            <w:r w:rsidRPr="005D3B78">
              <w:t>Performance reporting and verification</w:t>
            </w:r>
          </w:p>
          <w:p w:rsidR="00794A02" w:rsidRPr="006627E0" w:rsidRDefault="002F7596" w:rsidP="006627E0">
            <w:pPr>
              <w:rPr>
                <w:spacing w:val="-2"/>
              </w:rPr>
            </w:pPr>
            <w:r w:rsidRPr="006627E0">
              <w:rPr>
                <w:spacing w:val="-2"/>
              </w:rPr>
              <w:t>D</w:t>
            </w:r>
            <w:r w:rsidR="00794A02" w:rsidRPr="006627E0">
              <w:rPr>
                <w:spacing w:val="-2"/>
              </w:rPr>
              <w:t xml:space="preserve">ocuments </w:t>
            </w:r>
            <w:r w:rsidRPr="006627E0">
              <w:rPr>
                <w:spacing w:val="-2"/>
              </w:rPr>
              <w:t xml:space="preserve">describing the operation of the facility and </w:t>
            </w:r>
            <w:r w:rsidR="00794A02" w:rsidRPr="006627E0">
              <w:rPr>
                <w:spacing w:val="-2"/>
              </w:rPr>
              <w:t>relat</w:t>
            </w:r>
            <w:r w:rsidRPr="006627E0">
              <w:rPr>
                <w:spacing w:val="-2"/>
              </w:rPr>
              <w:t>ing</w:t>
            </w:r>
            <w:r w:rsidR="00794A02" w:rsidRPr="006627E0">
              <w:rPr>
                <w:spacing w:val="-2"/>
              </w:rPr>
              <w:t xml:space="preserve"> to safety and explosive ordnance are reviewed on an annual basis</w:t>
            </w:r>
            <w:r w:rsidR="00DB3BD9" w:rsidRPr="006627E0">
              <w:rPr>
                <w:spacing w:val="-2"/>
              </w:rPr>
              <w:t>. O</w:t>
            </w:r>
            <w:r w:rsidR="00794A02" w:rsidRPr="006627E0">
              <w:rPr>
                <w:spacing w:val="-2"/>
              </w:rPr>
              <w:t xml:space="preserve">ther documents are reviewed on a three year cycle. </w:t>
            </w:r>
            <w:r w:rsidR="007576C2" w:rsidRPr="006627E0">
              <w:rPr>
                <w:spacing w:val="-2"/>
              </w:rPr>
              <w:t xml:space="preserve">The processes associated with </w:t>
            </w:r>
            <w:r w:rsidR="00920733" w:rsidRPr="006627E0">
              <w:rPr>
                <w:spacing w:val="-2"/>
              </w:rPr>
              <w:t xml:space="preserve">the radiography of ordnance achieved NATA accreditation in December 2016. </w:t>
            </w:r>
            <w:r w:rsidR="009D659F" w:rsidRPr="006627E0">
              <w:rPr>
                <w:spacing w:val="-2"/>
              </w:rPr>
              <w:t xml:space="preserve">The </w:t>
            </w:r>
            <w:r w:rsidR="00FC1EB8" w:rsidRPr="006627E0">
              <w:rPr>
                <w:spacing w:val="-2"/>
              </w:rPr>
              <w:t>U</w:t>
            </w:r>
            <w:r w:rsidR="009D659F" w:rsidRPr="006627E0">
              <w:rPr>
                <w:spacing w:val="-2"/>
              </w:rPr>
              <w:t xml:space="preserve">nit is in the process of transitioning from one document management system to another. </w:t>
            </w:r>
            <w:r w:rsidR="003F7B55" w:rsidRPr="006627E0">
              <w:rPr>
                <w:spacing w:val="-2"/>
              </w:rPr>
              <w:t xml:space="preserve">This requires that the data that had previously been programmed into the system is now managed manually. The </w:t>
            </w:r>
            <w:r w:rsidR="00FC1EB8" w:rsidRPr="006627E0">
              <w:rPr>
                <w:spacing w:val="-2"/>
              </w:rPr>
              <w:t>U</w:t>
            </w:r>
            <w:r w:rsidR="003F7B55" w:rsidRPr="006627E0">
              <w:rPr>
                <w:spacing w:val="-2"/>
              </w:rPr>
              <w:t xml:space="preserve">nit was able to show that the majority of the documents had been reviewed according to their schedule. However, </w:t>
            </w:r>
            <w:r w:rsidR="00470E93" w:rsidRPr="006627E0">
              <w:rPr>
                <w:spacing w:val="-2"/>
              </w:rPr>
              <w:t xml:space="preserve">review of </w:t>
            </w:r>
            <w:r w:rsidR="00A82403" w:rsidRPr="006627E0">
              <w:rPr>
                <w:spacing w:val="-2"/>
              </w:rPr>
              <w:t>the</w:t>
            </w:r>
            <w:r w:rsidR="003F7B55" w:rsidRPr="006627E0">
              <w:rPr>
                <w:spacing w:val="-2"/>
              </w:rPr>
              <w:t xml:space="preserve"> document</w:t>
            </w:r>
            <w:r w:rsidR="00A82403" w:rsidRPr="006627E0">
              <w:rPr>
                <w:spacing w:val="-2"/>
              </w:rPr>
              <w:t xml:space="preserve"> describing general safety at the base had been </w:t>
            </w:r>
            <w:r w:rsidR="005B561C" w:rsidRPr="006627E0">
              <w:rPr>
                <w:spacing w:val="-2"/>
              </w:rPr>
              <w:t>delayed</w:t>
            </w:r>
            <w:r w:rsidR="00A82403" w:rsidRPr="006627E0">
              <w:rPr>
                <w:spacing w:val="-2"/>
              </w:rPr>
              <w:t xml:space="preserve"> within the </w:t>
            </w:r>
            <w:r w:rsidR="00A82403" w:rsidRPr="006627E0">
              <w:rPr>
                <w:spacing w:val="-2"/>
              </w:rPr>
              <w:lastRenderedPageBreak/>
              <w:t xml:space="preserve">process and had not yet been approved </w:t>
            </w:r>
            <w:r w:rsidR="005B561C" w:rsidRPr="006627E0">
              <w:rPr>
                <w:spacing w:val="-2"/>
              </w:rPr>
              <w:t xml:space="preserve">or </w:t>
            </w:r>
            <w:r w:rsidR="00A82403" w:rsidRPr="006627E0">
              <w:rPr>
                <w:spacing w:val="-2"/>
              </w:rPr>
              <w:t xml:space="preserve">published. </w:t>
            </w:r>
            <w:r w:rsidR="0045165F" w:rsidRPr="006627E0">
              <w:rPr>
                <w:spacing w:val="-2"/>
              </w:rPr>
              <w:t>This indicates inadequate oversight of the review process.</w:t>
            </w:r>
          </w:p>
          <w:p w:rsidR="005D3B78" w:rsidRPr="005D3B78" w:rsidRDefault="005D3B78" w:rsidP="005D3B78">
            <w:pPr>
              <w:pStyle w:val="Heading2"/>
              <w:spacing w:before="0"/>
              <w:outlineLvl w:val="1"/>
              <w:rPr>
                <w:b w:val="0"/>
                <w:i w:val="0"/>
              </w:rPr>
            </w:pPr>
          </w:p>
          <w:p w:rsidR="00282797" w:rsidRPr="005D3B78" w:rsidRDefault="00282797" w:rsidP="005D3B78">
            <w:pPr>
              <w:pStyle w:val="Heading2"/>
            </w:pPr>
            <w:r w:rsidRPr="005D3B78">
              <w:t>Configuration control</w:t>
            </w:r>
          </w:p>
          <w:p w:rsidR="00282797" w:rsidRDefault="00626588" w:rsidP="006627E0">
            <w:r>
              <w:t>Th</w:t>
            </w:r>
            <w:r w:rsidR="004F5B93">
              <w:t>e</w:t>
            </w:r>
            <w:r>
              <w:t xml:space="preserve"> </w:t>
            </w:r>
            <w:r w:rsidR="004F5B93">
              <w:t xml:space="preserve">current </w:t>
            </w:r>
            <w:r>
              <w:t>lin</w:t>
            </w:r>
            <w:r w:rsidR="0009340E">
              <w:t xml:space="preserve">ac was originally procured to supplement another </w:t>
            </w:r>
            <w:r w:rsidR="00945FDF">
              <w:t>higher energy</w:t>
            </w:r>
            <w:r w:rsidR="0009340E">
              <w:t xml:space="preserve"> linac</w:t>
            </w:r>
            <w:r w:rsidR="00171A89">
              <w:t xml:space="preserve">. </w:t>
            </w:r>
            <w:r w:rsidR="0009340E">
              <w:t>The two linac</w:t>
            </w:r>
            <w:r w:rsidR="00DA449C">
              <w:t>s</w:t>
            </w:r>
            <w:r w:rsidR="0009340E">
              <w:t xml:space="preserve"> were</w:t>
            </w:r>
            <w:r>
              <w:t xml:space="preserve"> </w:t>
            </w:r>
            <w:r w:rsidR="0009340E">
              <w:t xml:space="preserve">housed in the same building. The safety case for </w:t>
            </w:r>
            <w:r w:rsidR="009661D3">
              <w:t>the newer</w:t>
            </w:r>
            <w:r w:rsidR="0009340E">
              <w:t xml:space="preserve"> linac was based upon the argument that it produces less energetic radiation</w:t>
            </w:r>
            <w:r w:rsidR="00DA449C">
              <w:t xml:space="preserve">, and as such, the shielding and safety systems that were developed for the </w:t>
            </w:r>
            <w:r w:rsidR="005B561C">
              <w:t xml:space="preserve">more </w:t>
            </w:r>
            <w:r w:rsidR="00DA449C">
              <w:t xml:space="preserve">powerful </w:t>
            </w:r>
            <w:r w:rsidR="009661D3">
              <w:t>linac</w:t>
            </w:r>
            <w:r w:rsidR="00FD5C89">
              <w:t xml:space="preserve"> exceed those required</w:t>
            </w:r>
            <w:r w:rsidR="009661D3">
              <w:t xml:space="preserve"> </w:t>
            </w:r>
            <w:r w:rsidR="00DA449C">
              <w:t xml:space="preserve">for this </w:t>
            </w:r>
            <w:r w:rsidR="005B561C">
              <w:t xml:space="preserve">newer </w:t>
            </w:r>
            <w:r w:rsidR="00DA449C">
              <w:t>one</w:t>
            </w:r>
            <w:r w:rsidR="009661D3">
              <w:t xml:space="preserve">. That is, </w:t>
            </w:r>
            <w:r w:rsidR="00A55B17">
              <w:t>th</w:t>
            </w:r>
            <w:r w:rsidR="00D82D8F">
              <w:t xml:space="preserve">e newer </w:t>
            </w:r>
            <w:r w:rsidR="00A55B17">
              <w:t>linac operates within the safety envelope established</w:t>
            </w:r>
            <w:r w:rsidR="008822EF">
              <w:t xml:space="preserve"> within the safety analysis report (SAR)</w:t>
            </w:r>
            <w:r w:rsidR="00A55B17">
              <w:t xml:space="preserve"> for the more powerful linac</w:t>
            </w:r>
            <w:r w:rsidR="00DA449C">
              <w:t>.</w:t>
            </w:r>
            <w:r w:rsidR="00A55B17">
              <w:t xml:space="preserve"> </w:t>
            </w:r>
            <w:r w:rsidR="004F5B93">
              <w:t xml:space="preserve"> </w:t>
            </w:r>
            <w:r w:rsidR="00171A89">
              <w:t>Some time after</w:t>
            </w:r>
            <w:r w:rsidR="004F5B93">
              <w:t xml:space="preserve"> procuring the lower energy linac</w:t>
            </w:r>
            <w:r w:rsidR="002B771E">
              <w:t>,</w:t>
            </w:r>
            <w:r w:rsidR="004F5B93">
              <w:t xml:space="preserve"> </w:t>
            </w:r>
            <w:r w:rsidR="00A55B17">
              <w:t xml:space="preserve">Defence decided there is no need for the </w:t>
            </w:r>
            <w:r w:rsidR="004F5B93">
              <w:t>higher energy</w:t>
            </w:r>
            <w:r w:rsidR="00A55B17">
              <w:t xml:space="preserve"> linac</w:t>
            </w:r>
            <w:r w:rsidR="00171A89">
              <w:t>. It</w:t>
            </w:r>
            <w:r w:rsidR="00A55B17">
              <w:t xml:space="preserve"> has </w:t>
            </w:r>
            <w:r w:rsidR="00171A89">
              <w:t xml:space="preserve">since </w:t>
            </w:r>
            <w:r w:rsidR="00A55B17">
              <w:t xml:space="preserve">been </w:t>
            </w:r>
            <w:r w:rsidR="004F5B93">
              <w:t xml:space="preserve">subsequently </w:t>
            </w:r>
            <w:r w:rsidR="00A55B17">
              <w:t>decommissioned</w:t>
            </w:r>
            <w:r w:rsidR="00470E93">
              <w:t xml:space="preserve"> and removed</w:t>
            </w:r>
            <w:r w:rsidR="00A55B17">
              <w:t xml:space="preserve">. </w:t>
            </w:r>
            <w:r w:rsidR="008666EF">
              <w:t>T</w:t>
            </w:r>
            <w:r w:rsidR="00A55B17">
              <w:t xml:space="preserve">he </w:t>
            </w:r>
            <w:r w:rsidR="008822EF">
              <w:t xml:space="preserve">SAR for the </w:t>
            </w:r>
            <w:r w:rsidR="00945FDF">
              <w:t>higher energy</w:t>
            </w:r>
            <w:r w:rsidR="008822EF">
              <w:t xml:space="preserve"> linac has not been</w:t>
            </w:r>
            <w:r w:rsidR="00F8416C">
              <w:t xml:space="preserve"> reviewed </w:t>
            </w:r>
            <w:r w:rsidR="00470E93">
              <w:t xml:space="preserve">or </w:t>
            </w:r>
            <w:r w:rsidR="00F8416C">
              <w:t>updated</w:t>
            </w:r>
            <w:r w:rsidR="009661D3">
              <w:t xml:space="preserve"> to reflect the role it plays in demonstrating the safety of the newer linac.</w:t>
            </w:r>
            <w:r w:rsidR="00773B25">
              <w:t xml:space="preserve"> This leaves Defence at risk of losing sight of the safety margins in place</w:t>
            </w:r>
            <w:r w:rsidR="006627E0">
              <w:t>.</w:t>
            </w:r>
          </w:p>
          <w:p w:rsidR="00282797" w:rsidRPr="005D3B78" w:rsidRDefault="00282797" w:rsidP="005D3B78">
            <w:pPr>
              <w:pStyle w:val="Heading2"/>
            </w:pPr>
            <w:r w:rsidRPr="005D3B78">
              <w:t xml:space="preserve">Inspection testing and maintenance </w:t>
            </w:r>
          </w:p>
          <w:p w:rsidR="001A2F5C" w:rsidRDefault="001A2F5C" w:rsidP="006627E0">
            <w:r>
              <w:t xml:space="preserve">Radiation surveys </w:t>
            </w:r>
            <w:r w:rsidRPr="00671306">
              <w:t xml:space="preserve">are performed annually, if maintenance is performed, or </w:t>
            </w:r>
            <w:r w:rsidR="00470E93">
              <w:t xml:space="preserve">if </w:t>
            </w:r>
            <w:r w:rsidRPr="00671306">
              <w:t xml:space="preserve">the location or </w:t>
            </w:r>
            <w:r w:rsidR="00D82D8F">
              <w:t xml:space="preserve">beam </w:t>
            </w:r>
            <w:r w:rsidRPr="00671306">
              <w:t>direction of the linac is changed. Records of recent surveys were supplied.</w:t>
            </w:r>
            <w:r w:rsidR="00671306">
              <w:t xml:space="preserve"> This demonstrated that Defence has been monitoring the radiation </w:t>
            </w:r>
            <w:r w:rsidR="009279BB">
              <w:t>around</w:t>
            </w:r>
            <w:r w:rsidR="00671306">
              <w:t xml:space="preserve"> the facility. The</w:t>
            </w:r>
            <w:r w:rsidR="000778D6">
              <w:t xml:space="preserve"> reco</w:t>
            </w:r>
            <w:r w:rsidR="00671306">
              <w:t xml:space="preserve">rded values </w:t>
            </w:r>
            <w:r w:rsidR="00CB7A0B">
              <w:t xml:space="preserve">confirm that the shielding present at the facility is effective and </w:t>
            </w:r>
            <w:r w:rsidR="009279BB">
              <w:t>that</w:t>
            </w:r>
            <w:r w:rsidR="00CB7A0B">
              <w:t xml:space="preserve"> occupational doses </w:t>
            </w:r>
            <w:r w:rsidR="009279BB">
              <w:t xml:space="preserve">are </w:t>
            </w:r>
            <w:r w:rsidR="00CB7A0B">
              <w:t>well below the dose limits.</w:t>
            </w:r>
          </w:p>
          <w:p w:rsidR="00282797" w:rsidRDefault="001F259C" w:rsidP="006627E0">
            <w:r>
              <w:t xml:space="preserve">A </w:t>
            </w:r>
            <w:r w:rsidRPr="00A00ECF">
              <w:t>variety of</w:t>
            </w:r>
            <w:r>
              <w:t xml:space="preserve"> safety features were used in the design of the </w:t>
            </w:r>
            <w:r w:rsidR="00F62B8D">
              <w:t xml:space="preserve">facility. </w:t>
            </w:r>
            <w:r>
              <w:t xml:space="preserve">These include </w:t>
            </w:r>
            <w:r w:rsidR="002A4A5E">
              <w:t>interlocks</w:t>
            </w:r>
            <w:r w:rsidR="00FC1EB8">
              <w:t>,</w:t>
            </w:r>
            <w:r w:rsidR="002A4A5E">
              <w:t xml:space="preserve"> which </w:t>
            </w:r>
            <w:r w:rsidR="00F62B8D">
              <w:t xml:space="preserve">if tripped, </w:t>
            </w:r>
            <w:r w:rsidR="002A4A5E">
              <w:t>prevent the linac from producing radiation</w:t>
            </w:r>
            <w:r w:rsidR="00FC1EB8">
              <w:t>,</w:t>
            </w:r>
            <w:r w:rsidR="002A4A5E">
              <w:t xml:space="preserve"> and </w:t>
            </w:r>
            <w:r>
              <w:t xml:space="preserve">emergency stop buttons, which if pressed, cut power to the entire system (including the chiller used to remove heat generated by the operation of the linac). </w:t>
            </w:r>
            <w:r w:rsidR="002A4A5E">
              <w:t xml:space="preserve">Every day that the linac is operated, one of the emergency stop switches is tested to confirm that it is functional. The operator tests a different emergency stop switch each time to demonstrate that they are all functioning correctly. </w:t>
            </w:r>
            <w:r w:rsidR="004B390E">
              <w:t xml:space="preserve">However, a list of all of the safety interlocks, emergency stop buttons, barriers and emergency systems does not exist. </w:t>
            </w:r>
            <w:r w:rsidR="00EE4AD9">
              <w:t xml:space="preserve">This leaves Defence at risk of </w:t>
            </w:r>
            <w:r w:rsidR="007E7782">
              <w:t>losing corporate knowledge of the safety systems in place.</w:t>
            </w:r>
          </w:p>
          <w:p w:rsidR="00282797" w:rsidRPr="005D3B78" w:rsidRDefault="00282797" w:rsidP="005D3B78">
            <w:pPr>
              <w:pStyle w:val="Heading2"/>
            </w:pPr>
            <w:r w:rsidRPr="005D3B78">
              <w:t>Training</w:t>
            </w:r>
          </w:p>
          <w:p w:rsidR="00282797" w:rsidRDefault="00282797" w:rsidP="006627E0">
            <w:r>
              <w:t xml:space="preserve">A mandatory training program is conducted annually. This consists of briefings and awareness sessions on various topics (i.e. WHS, security and first aid). Included in this program is a session on </w:t>
            </w:r>
            <w:r w:rsidR="00F130C6">
              <w:t>r</w:t>
            </w:r>
            <w:r>
              <w:t xml:space="preserve">adiation </w:t>
            </w:r>
            <w:r w:rsidR="00F130C6">
              <w:t>s</w:t>
            </w:r>
            <w:r>
              <w:t>afety</w:t>
            </w:r>
            <w:r w:rsidR="00F130C6">
              <w:t xml:space="preserve"> that </w:t>
            </w:r>
            <w:r w:rsidRPr="00FD4963">
              <w:t>covers both the fundamental physics associated with radiation protection and the specific safety systems in place at this facility.</w:t>
            </w:r>
            <w:r>
              <w:t xml:space="preserve"> Records of attendance were </w:t>
            </w:r>
            <w:r w:rsidR="007C329D">
              <w:t xml:space="preserve">kept </w:t>
            </w:r>
            <w:r>
              <w:t>for some of the sessions.</w:t>
            </w:r>
            <w:r w:rsidR="006E1ABA">
              <w:t xml:space="preserve"> Thereby,</w:t>
            </w:r>
            <w:r>
              <w:t xml:space="preserve"> Defence was able to provide records demonstrating that virtually all personnel were present on two of the days that the mandatory training was held. This included the radiographer and his assistant. However, there was no record to show that personnel were present for the refresher on radiation safety. </w:t>
            </w:r>
            <w:r w:rsidR="0027156A">
              <w:t>This indicates inadequacies in record keeping.</w:t>
            </w:r>
          </w:p>
          <w:p w:rsidR="00282797" w:rsidRPr="005D3B78" w:rsidRDefault="00282797" w:rsidP="005D3B78">
            <w:pPr>
              <w:pStyle w:val="Heading2"/>
            </w:pPr>
            <w:r w:rsidRPr="005D3B78">
              <w:t>Event protection</w:t>
            </w:r>
          </w:p>
          <w:p w:rsidR="002B6483" w:rsidRDefault="0080270D" w:rsidP="006627E0">
            <w:r>
              <w:t xml:space="preserve">There are plans </w:t>
            </w:r>
            <w:r w:rsidR="002B6483">
              <w:t>in place for the base to deal with a multitude of different emergencies address</w:t>
            </w:r>
            <w:r w:rsidR="00C91C70">
              <w:t>ing</w:t>
            </w:r>
            <w:r w:rsidR="002B6483">
              <w:t xml:space="preserve"> a variety of possible scenarios from bushfires, aircraft accidents, storms, flooding, power failure and explosions. </w:t>
            </w:r>
            <w:r w:rsidR="00C900D5">
              <w:t xml:space="preserve">The </w:t>
            </w:r>
            <w:proofErr w:type="gramStart"/>
            <w:r w:rsidR="00C900D5">
              <w:t xml:space="preserve">range of scenarios covering external </w:t>
            </w:r>
            <w:r w:rsidR="00916531">
              <w:t>initiating events are</w:t>
            </w:r>
            <w:proofErr w:type="gramEnd"/>
            <w:r w:rsidR="00916531">
              <w:t xml:space="preserve"> extremely broad for a machine generated source of radiation (i.e. linac).</w:t>
            </w:r>
          </w:p>
          <w:p w:rsidR="00282797" w:rsidRPr="005D3B78" w:rsidRDefault="00282797" w:rsidP="005D3B78">
            <w:pPr>
              <w:pStyle w:val="Heading2"/>
            </w:pPr>
            <w:r w:rsidRPr="005D3B78">
              <w:lastRenderedPageBreak/>
              <w:t>Security</w:t>
            </w:r>
          </w:p>
          <w:p w:rsidR="00282797" w:rsidRDefault="0080270D" w:rsidP="006627E0">
            <w:r>
              <w:t xml:space="preserve">The security measures in place are sound for this type of source. </w:t>
            </w:r>
            <w:r w:rsidR="001C2FC2">
              <w:t xml:space="preserve">The linac is </w:t>
            </w:r>
            <w:r w:rsidR="0026297B">
              <w:t>secured with</w:t>
            </w:r>
            <w:r w:rsidR="001C2FC2">
              <w:t xml:space="preserve">in a locked building </w:t>
            </w:r>
            <w:r w:rsidR="0026297B">
              <w:t xml:space="preserve">within a </w:t>
            </w:r>
            <w:r w:rsidR="001C2FC2">
              <w:t xml:space="preserve">Defence base. </w:t>
            </w:r>
            <w:r w:rsidR="0026297B">
              <w:t xml:space="preserve">Access is via </w:t>
            </w:r>
            <w:r w:rsidR="001C2FC2">
              <w:t xml:space="preserve">a security checkpoint on the way to the facility. </w:t>
            </w:r>
            <w:r w:rsidR="00686012">
              <w:t xml:space="preserve">The keys to access both the facility and </w:t>
            </w:r>
            <w:r w:rsidR="00FC1EB8">
              <w:t xml:space="preserve">to </w:t>
            </w:r>
            <w:r w:rsidR="00686012">
              <w:t xml:space="preserve">power the linac are held securely. Access to these keys is </w:t>
            </w:r>
            <w:r w:rsidR="007C329D">
              <w:t xml:space="preserve">limited </w:t>
            </w:r>
            <w:r w:rsidR="00686012">
              <w:t xml:space="preserve">to those </w:t>
            </w:r>
            <w:r w:rsidR="007C329D">
              <w:t xml:space="preserve">who </w:t>
            </w:r>
            <w:r w:rsidR="00686012">
              <w:t xml:space="preserve">need them and </w:t>
            </w:r>
            <w:r w:rsidR="00220694">
              <w:t>records of who has drawn the keys are</w:t>
            </w:r>
            <w:r w:rsidR="00686012">
              <w:t xml:space="preserve"> </w:t>
            </w:r>
            <w:r w:rsidR="005D3194">
              <w:t xml:space="preserve">kept and </w:t>
            </w:r>
            <w:r w:rsidR="00686012">
              <w:t>auditable.</w:t>
            </w:r>
          </w:p>
          <w:p w:rsidR="00282797" w:rsidRPr="005D3B78" w:rsidRDefault="00282797" w:rsidP="005D3B78">
            <w:pPr>
              <w:pStyle w:val="Heading2"/>
            </w:pPr>
            <w:r w:rsidRPr="005D3B78">
              <w:t>Radiation protection</w:t>
            </w:r>
          </w:p>
          <w:p w:rsidR="00F8416C" w:rsidRDefault="004A2B92" w:rsidP="006627E0">
            <w:r>
              <w:t xml:space="preserve">The Unit </w:t>
            </w:r>
            <w:r w:rsidR="009A7352">
              <w:t>has a quality system in place to create, review and manage</w:t>
            </w:r>
            <w:r w:rsidR="004957FC">
              <w:t xml:space="preserve"> the</w:t>
            </w:r>
            <w:r w:rsidR="009A7352">
              <w:t xml:space="preserve"> polic</w:t>
            </w:r>
            <w:r w:rsidR="004957FC">
              <w:t>ies</w:t>
            </w:r>
            <w:r w:rsidR="009A7352">
              <w:t xml:space="preserve">, processes and procedures associated with their examination of explosive ordnance. </w:t>
            </w:r>
            <w:r w:rsidR="00F21C75">
              <w:t>This includes</w:t>
            </w:r>
            <w:r>
              <w:t xml:space="preserve"> </w:t>
            </w:r>
            <w:r w:rsidR="009A7352">
              <w:t>a technical information review process. This is used to identify the actions</w:t>
            </w:r>
            <w:r w:rsidR="004D456B">
              <w:t xml:space="preserve"> </w:t>
            </w:r>
            <w:r w:rsidR="00C97F28">
              <w:t xml:space="preserve">that </w:t>
            </w:r>
            <w:r w:rsidR="009A7352">
              <w:t xml:space="preserve">would </w:t>
            </w:r>
            <w:r w:rsidR="004957FC">
              <w:t>stem</w:t>
            </w:r>
            <w:r w:rsidR="009A7352">
              <w:t xml:space="preserve"> </w:t>
            </w:r>
            <w:r w:rsidR="004957FC">
              <w:t>from the</w:t>
            </w:r>
            <w:r w:rsidR="009A7352">
              <w:t xml:space="preserve"> adopt</w:t>
            </w:r>
            <w:r w:rsidR="004957FC">
              <w:t>ion of</w:t>
            </w:r>
            <w:r w:rsidR="009A7352">
              <w:t xml:space="preserve"> </w:t>
            </w:r>
            <w:r w:rsidR="001649C2">
              <w:t xml:space="preserve">best practices (i.e. </w:t>
            </w:r>
            <w:r w:rsidR="009A7352">
              <w:t>a new standard or code of practice</w:t>
            </w:r>
            <w:r w:rsidR="001649C2">
              <w:t>)</w:t>
            </w:r>
            <w:r w:rsidR="004D456B">
              <w:t>. The process is then used to implement the appropriate actions and certify that the actions have been implemented correctly</w:t>
            </w:r>
            <w:r w:rsidR="009A7352">
              <w:t xml:space="preserve">. </w:t>
            </w:r>
            <w:r w:rsidR="00694AB7">
              <w:t xml:space="preserve">ARPANSA has previously </w:t>
            </w:r>
            <w:r w:rsidR="00372F23">
              <w:t xml:space="preserve">advised </w:t>
            </w:r>
            <w:r w:rsidR="00694AB7">
              <w:t xml:space="preserve">Defence </w:t>
            </w:r>
            <w:r w:rsidR="00372F23">
              <w:t xml:space="preserve">of </w:t>
            </w:r>
            <w:r w:rsidR="00694AB7">
              <w:t xml:space="preserve">the existence of an American Standard that addresses safety practices associated with this type of facility. </w:t>
            </w:r>
            <w:r w:rsidR="00C97F28">
              <w:t xml:space="preserve">However, </w:t>
            </w:r>
            <w:r w:rsidR="004957FC">
              <w:t>Defence have not implemented the process to assess this standard.</w:t>
            </w:r>
          </w:p>
          <w:p w:rsidR="00A9710F" w:rsidRDefault="00A9710F" w:rsidP="006627E0">
            <w:r>
              <w:t xml:space="preserve">Defence </w:t>
            </w:r>
            <w:r w:rsidR="00372F23">
              <w:t xml:space="preserve">initially </w:t>
            </w:r>
            <w:r>
              <w:t xml:space="preserve">utilised a consultant to develop the shielding design for this facility. When the facility was commissioned, </w:t>
            </w:r>
            <w:r w:rsidR="00372F23">
              <w:t xml:space="preserve">a </w:t>
            </w:r>
            <w:r>
              <w:t>medical physicist</w:t>
            </w:r>
            <w:r w:rsidR="00D3063B">
              <w:t xml:space="preserve"> from </w:t>
            </w:r>
            <w:r w:rsidR="006C6AE1">
              <w:t xml:space="preserve">a nearby </w:t>
            </w:r>
            <w:r w:rsidR="00D3063B">
              <w:t>hospital was engaged to perform the initial survey</w:t>
            </w:r>
            <w:r w:rsidR="00372F23">
              <w:t xml:space="preserve"> to </w:t>
            </w:r>
            <w:r w:rsidR="00D3063B">
              <w:t xml:space="preserve">independently </w:t>
            </w:r>
            <w:r w:rsidR="00372F23">
              <w:t xml:space="preserve">verify </w:t>
            </w:r>
            <w:r w:rsidR="00D3063B">
              <w:t>the shielding design.</w:t>
            </w:r>
            <w:r w:rsidR="00862F65">
              <w:t xml:space="preserve"> </w:t>
            </w:r>
            <w:r w:rsidR="00372F23">
              <w:t>I</w:t>
            </w:r>
            <w:r w:rsidR="00862F65">
              <w:t>n the period since</w:t>
            </w:r>
            <w:r w:rsidR="009F6E48">
              <w:t>,</w:t>
            </w:r>
            <w:r w:rsidR="00372F23">
              <w:t xml:space="preserve"> however</w:t>
            </w:r>
            <w:r w:rsidR="00862F65">
              <w:t>, n</w:t>
            </w:r>
            <w:r w:rsidR="00372F23">
              <w:t>o external</w:t>
            </w:r>
            <w:r w:rsidR="00862F65">
              <w:t xml:space="preserve"> expert has been utilised to assess the performance of the facility.</w:t>
            </w:r>
            <w:r w:rsidR="00D3063B">
              <w:t xml:space="preserve"> </w:t>
            </w:r>
            <w:r w:rsidR="00633282">
              <w:t>This indicates that further improvements</w:t>
            </w:r>
            <w:r w:rsidR="00F452A8">
              <w:t xml:space="preserve"> or best practices</w:t>
            </w:r>
            <w:r w:rsidR="00633282">
              <w:t xml:space="preserve"> may not be identified.</w:t>
            </w:r>
          </w:p>
          <w:p w:rsidR="00282797" w:rsidRPr="005D3B78" w:rsidRDefault="00282797" w:rsidP="005D3B78">
            <w:pPr>
              <w:pStyle w:val="Heading2"/>
            </w:pPr>
            <w:r w:rsidRPr="005D3B78">
              <w:t>Emergency preparedness and response</w:t>
            </w:r>
          </w:p>
          <w:p w:rsidR="002B6483" w:rsidRPr="002B6483" w:rsidRDefault="00397214" w:rsidP="006627E0">
            <w:r>
              <w:t>A</w:t>
            </w:r>
            <w:r w:rsidR="0087283C">
              <w:t xml:space="preserve"> work</w:t>
            </w:r>
            <w:r w:rsidR="002B6483">
              <w:t xml:space="preserve"> instruction</w:t>
            </w:r>
            <w:r w:rsidR="0087283C">
              <w:t xml:space="preserve"> and an associated procedure describe</w:t>
            </w:r>
            <w:r w:rsidR="002B6483">
              <w:t xml:space="preserve"> what to do i</w:t>
            </w:r>
            <w:r w:rsidR="0087283C">
              <w:t>f</w:t>
            </w:r>
            <w:r w:rsidR="002B6483">
              <w:t xml:space="preserve"> an emergency evacuation</w:t>
            </w:r>
            <w:r w:rsidR="0087283C">
              <w:t xml:space="preserve"> is needed</w:t>
            </w:r>
            <w:r w:rsidR="002B6483">
              <w:t xml:space="preserve">. </w:t>
            </w:r>
            <w:r>
              <w:t>This instruction applies to several buildings on site and is not</w:t>
            </w:r>
            <w:r w:rsidR="0087283C">
              <w:t xml:space="preserve"> unique to this facility. </w:t>
            </w:r>
            <w:r w:rsidR="006C6AE1">
              <w:t>Emergency drills/exercises are conducted</w:t>
            </w:r>
            <w:r w:rsidR="002B7CBF">
              <w:t xml:space="preserve"> on annual basis.</w:t>
            </w:r>
            <w:r w:rsidR="006D0E76">
              <w:t xml:space="preserve"> These can include a lockdown of the base, unplanned detonation of an explosive </w:t>
            </w:r>
            <w:r w:rsidR="001B7CB7">
              <w:t>or a fire in a warehouse.</w:t>
            </w:r>
            <w:r w:rsidR="002B7CBF">
              <w:t xml:space="preserve"> </w:t>
            </w:r>
            <w:r w:rsidR="006D0E76">
              <w:t xml:space="preserve">In some instances, staff on base may be </w:t>
            </w:r>
            <w:r w:rsidR="00FC1EB8">
              <w:t>forewarned</w:t>
            </w:r>
            <w:r w:rsidR="006D0E76">
              <w:t xml:space="preserve"> that a drill is going to be conducted</w:t>
            </w:r>
            <w:r w:rsidR="00C5106B">
              <w:t>,</w:t>
            </w:r>
            <w:r w:rsidR="006D0E76">
              <w:t xml:space="preserve"> </w:t>
            </w:r>
            <w:r w:rsidR="005D3194">
              <w:t>h</w:t>
            </w:r>
            <w:r w:rsidR="006D0E76">
              <w:t>owever,</w:t>
            </w:r>
            <w:r w:rsidR="001B7CB7">
              <w:t xml:space="preserve"> </w:t>
            </w:r>
            <w:r w:rsidR="005D3194">
              <w:t xml:space="preserve">at </w:t>
            </w:r>
            <w:r w:rsidR="001B7CB7">
              <w:t>other times</w:t>
            </w:r>
            <w:r w:rsidR="006D0E76">
              <w:t xml:space="preserve"> the drills are held without warning or notice.</w:t>
            </w:r>
            <w:r w:rsidR="001B7CB7">
              <w:t xml:space="preserve"> In some instances this is done in collaboration with external bodies (such as the local emergency services). </w:t>
            </w:r>
            <w:r w:rsidR="002B7CBF">
              <w:t>There is constant collaboration with l</w:t>
            </w:r>
            <w:r w:rsidR="003570A4">
              <w:t xml:space="preserve">ocal emergency services so that </w:t>
            </w:r>
            <w:r w:rsidR="001B7CB7">
              <w:t xml:space="preserve">their </w:t>
            </w:r>
            <w:r w:rsidR="003570A4">
              <w:t>personnel know the arrangements for accessing the base and the controls that are in place to deal with the hazards that are present (i.e. explosives).</w:t>
            </w:r>
            <w:r w:rsidR="006D62E0">
              <w:t xml:space="preserve"> </w:t>
            </w:r>
            <w:r w:rsidR="00001FB3">
              <w:t xml:space="preserve">However, </w:t>
            </w:r>
            <w:r w:rsidR="00C5106B">
              <w:t>Defence had not considered a scenario whereby</w:t>
            </w:r>
            <w:r w:rsidR="006D62E0">
              <w:t xml:space="preserve"> </w:t>
            </w:r>
            <w:r w:rsidR="00C11519">
              <w:t xml:space="preserve">an out-of-control source of radiation </w:t>
            </w:r>
            <w:r w:rsidR="00001FB3">
              <w:t>emerged</w:t>
            </w:r>
            <w:r w:rsidR="00227EAA">
              <w:t>. For instance,</w:t>
            </w:r>
            <w:r w:rsidR="00C11519">
              <w:t xml:space="preserve"> </w:t>
            </w:r>
            <w:r w:rsidR="00FC1EB8">
              <w:t xml:space="preserve">if </w:t>
            </w:r>
            <w:r w:rsidR="00C11519">
              <w:t xml:space="preserve">the linac </w:t>
            </w:r>
            <w:r w:rsidR="00001FB3">
              <w:t xml:space="preserve">continued </w:t>
            </w:r>
            <w:r w:rsidR="00C11519">
              <w:t>to operate after the radiographer has commanded it to stop</w:t>
            </w:r>
            <w:r w:rsidR="00227EAA">
              <w:t xml:space="preserve">. </w:t>
            </w:r>
            <w:r w:rsidR="00001FB3">
              <w:t xml:space="preserve">While </w:t>
            </w:r>
            <w:r w:rsidR="000B2D06">
              <w:t xml:space="preserve">this type of event has not occurred and </w:t>
            </w:r>
            <w:r w:rsidR="00001FB3">
              <w:t>t</w:t>
            </w:r>
            <w:r w:rsidR="00C5106B">
              <w:t xml:space="preserve">he Unit was able to describe a sensible way to deal with such a </w:t>
            </w:r>
            <w:r w:rsidR="00001FB3">
              <w:t>situation</w:t>
            </w:r>
            <w:r w:rsidR="00227EAA">
              <w:t>,</w:t>
            </w:r>
            <w:r w:rsidR="00C11519">
              <w:t xml:space="preserve"> </w:t>
            </w:r>
            <w:r w:rsidR="00227EAA">
              <w:t xml:space="preserve">a procedure or </w:t>
            </w:r>
            <w:r w:rsidR="006D62E0">
              <w:t>instruction had not been developed</w:t>
            </w:r>
            <w:r w:rsidR="00227EAA">
              <w:t xml:space="preserve"> for training operators in how to respond to the situation</w:t>
            </w:r>
            <w:r w:rsidR="00C11519">
              <w:t>.</w:t>
            </w:r>
            <w:r w:rsidR="006D62E0">
              <w:t xml:space="preserve"> </w:t>
            </w:r>
            <w:r w:rsidR="00BE6E40">
              <w:t xml:space="preserve">This leaves new or less experienced operators at risk of not knowing what to do in the event that this occurs. </w:t>
            </w:r>
          </w:p>
          <w:p w:rsidR="00681A05" w:rsidRPr="005606C7" w:rsidRDefault="00681A05" w:rsidP="000B6360">
            <w:pPr>
              <w:pStyle w:val="Heading1"/>
              <w:outlineLvl w:val="0"/>
            </w:pPr>
            <w:r w:rsidRPr="0084593E">
              <w:t>Findings</w:t>
            </w:r>
          </w:p>
          <w:p w:rsidR="000D5B5E" w:rsidRPr="005C508B" w:rsidRDefault="00F6231B" w:rsidP="006627E0">
            <w:r w:rsidRPr="007D3C2C">
              <w:t xml:space="preserve">The licence holder was found to be in compliance with the requirements of the Act, the Regulations, and licence conditions. </w:t>
            </w:r>
          </w:p>
          <w:p w:rsidR="00F6231B" w:rsidRPr="00EE4DE5" w:rsidRDefault="00F6231B" w:rsidP="006627E0">
            <w:pPr>
              <w:rPr>
                <w:b/>
              </w:rPr>
            </w:pPr>
            <w:r w:rsidRPr="00EE4DE5">
              <w:t xml:space="preserve">The inspection revealed the following </w:t>
            </w:r>
            <w:r w:rsidRPr="006627E0">
              <w:rPr>
                <w:b/>
              </w:rPr>
              <w:t>areas for improvement</w:t>
            </w:r>
            <w:r w:rsidRPr="00EE4DE5">
              <w:t>:</w:t>
            </w:r>
          </w:p>
          <w:p w:rsidR="00FC1EB8" w:rsidRDefault="00FC1EB8" w:rsidP="005D3B78">
            <w:pPr>
              <w:pStyle w:val="ListParagraph"/>
              <w:numPr>
                <w:ilvl w:val="0"/>
                <w:numId w:val="7"/>
              </w:numPr>
              <w:spacing w:before="60" w:line="240" w:lineRule="auto"/>
              <w:rPr>
                <w:b/>
                <w:color w:val="auto"/>
              </w:rPr>
            </w:pPr>
            <w:r>
              <w:rPr>
                <w:color w:val="auto"/>
              </w:rPr>
              <w:t>Oversight arrangements associated with the review and approval of documents describing safety.</w:t>
            </w:r>
          </w:p>
          <w:p w:rsidR="00FC1EB8" w:rsidRDefault="00FC1EB8" w:rsidP="005D3B78">
            <w:pPr>
              <w:pStyle w:val="ListParagraph"/>
              <w:numPr>
                <w:ilvl w:val="0"/>
                <w:numId w:val="7"/>
              </w:numPr>
              <w:spacing w:before="60" w:line="240" w:lineRule="auto"/>
              <w:rPr>
                <w:b/>
                <w:color w:val="auto"/>
              </w:rPr>
            </w:pPr>
            <w:r>
              <w:rPr>
                <w:color w:val="auto"/>
              </w:rPr>
              <w:t>Review and revision of the S</w:t>
            </w:r>
            <w:r w:rsidR="0016169E">
              <w:rPr>
                <w:color w:val="auto"/>
              </w:rPr>
              <w:t>afety Analysis Report</w:t>
            </w:r>
            <w:r>
              <w:rPr>
                <w:color w:val="auto"/>
              </w:rPr>
              <w:t>.</w:t>
            </w:r>
          </w:p>
          <w:p w:rsidR="00F6231B" w:rsidRDefault="00FC1EB8" w:rsidP="005D3B78">
            <w:pPr>
              <w:pStyle w:val="ListParagraph"/>
              <w:numPr>
                <w:ilvl w:val="0"/>
                <w:numId w:val="7"/>
              </w:numPr>
              <w:spacing w:before="60" w:line="240" w:lineRule="auto"/>
              <w:rPr>
                <w:b/>
                <w:color w:val="auto"/>
              </w:rPr>
            </w:pPr>
            <w:r>
              <w:rPr>
                <w:color w:val="auto"/>
              </w:rPr>
              <w:t>R</w:t>
            </w:r>
            <w:r w:rsidR="00FD4963" w:rsidRPr="00FD4963">
              <w:rPr>
                <w:color w:val="auto"/>
              </w:rPr>
              <w:t>ecord keeping associated with attendance at training sessions.</w:t>
            </w:r>
          </w:p>
          <w:p w:rsidR="002B6483" w:rsidRPr="00EE4DE5" w:rsidRDefault="00FC1EB8" w:rsidP="005D3B78">
            <w:pPr>
              <w:pStyle w:val="ListParagraph"/>
              <w:numPr>
                <w:ilvl w:val="0"/>
                <w:numId w:val="7"/>
              </w:numPr>
              <w:spacing w:before="60" w:line="240" w:lineRule="auto"/>
              <w:rPr>
                <w:b/>
                <w:color w:val="auto"/>
              </w:rPr>
            </w:pPr>
            <w:r>
              <w:rPr>
                <w:color w:val="auto"/>
              </w:rPr>
              <w:t xml:space="preserve">Identification and assessment of best practices in the operation of the facility. </w:t>
            </w:r>
          </w:p>
          <w:p w:rsidR="00681A05" w:rsidRPr="000702D3" w:rsidRDefault="00F6231B" w:rsidP="006627E0">
            <w:r w:rsidRPr="00090AB6">
              <w:t xml:space="preserve">It is expected that </w:t>
            </w:r>
            <w:r>
              <w:t xml:space="preserve">improvement </w:t>
            </w:r>
            <w:r w:rsidRPr="00090AB6">
              <w:t>actions be taken in a timely manner.</w:t>
            </w:r>
          </w:p>
        </w:tc>
      </w:tr>
    </w:tbl>
    <w:p w:rsidR="00F6231B" w:rsidRPr="005D3B78" w:rsidRDefault="00F6231B" w:rsidP="005D3B78">
      <w:pPr>
        <w:spacing w:before="0" w:line="240" w:lineRule="auto"/>
        <w:rPr>
          <w:sz w:val="14"/>
        </w:rPr>
      </w:pPr>
    </w:p>
    <w:sectPr w:rsidR="00F6231B" w:rsidRPr="005D3B78" w:rsidSect="005D3B78">
      <w:headerReference w:type="default" r:id="rId9"/>
      <w:footerReference w:type="default" r:id="rId10"/>
      <w:headerReference w:type="first" r:id="rId11"/>
      <w:footerReference w:type="first" r:id="rId12"/>
      <w:type w:val="continuous"/>
      <w:pgSz w:w="11906" w:h="16838" w:code="9"/>
      <w:pgMar w:top="1134" w:right="1134"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EF" w:rsidRDefault="00E858EF" w:rsidP="00C24160">
      <w:r>
        <w:separator/>
      </w:r>
    </w:p>
  </w:endnote>
  <w:endnote w:type="continuationSeparator" w:id="0">
    <w:p w:rsidR="00E858EF" w:rsidRDefault="00E858EF"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05" w:rsidRPr="003B4502" w:rsidRDefault="00C24160" w:rsidP="000B6360">
    <w:pPr>
      <w:pStyle w:val="Header"/>
      <w:spacing w:before="0"/>
      <w:jc w:val="center"/>
      <w:rPr>
        <w:sz w:val="18"/>
      </w:rPr>
    </w:pPr>
    <w:r w:rsidRPr="003B4502">
      <w:rPr>
        <w:sz w:val="18"/>
      </w:rPr>
      <w:fldChar w:fldCharType="begin"/>
    </w:r>
    <w:r w:rsidRPr="003B4502">
      <w:rPr>
        <w:sz w:val="18"/>
      </w:rPr>
      <w:instrText xml:space="preserve"> PAGE  \* Arabic  \* MERGEFORMAT </w:instrText>
    </w:r>
    <w:r w:rsidRPr="003B4502">
      <w:rPr>
        <w:sz w:val="18"/>
      </w:rPr>
      <w:fldChar w:fldCharType="separate"/>
    </w:r>
    <w:r w:rsidR="00FA1D38">
      <w:rPr>
        <w:noProof/>
        <w:sz w:val="18"/>
      </w:rPr>
      <w:t>2</w:t>
    </w:r>
    <w:r w:rsidRPr="003B4502">
      <w:rPr>
        <w:sz w:val="18"/>
      </w:rPr>
      <w:fldChar w:fldCharType="end"/>
    </w:r>
    <w:r w:rsidRPr="003B4502">
      <w:rPr>
        <w:sz w:val="18"/>
      </w:rPr>
      <w:t xml:space="preserve"> of </w:t>
    </w:r>
    <w:r w:rsidRPr="003B4502">
      <w:rPr>
        <w:sz w:val="18"/>
      </w:rPr>
      <w:fldChar w:fldCharType="begin"/>
    </w:r>
    <w:r w:rsidRPr="003B4502">
      <w:rPr>
        <w:sz w:val="18"/>
      </w:rPr>
      <w:instrText xml:space="preserve"> NUMPAGES  \* Arabic  \* MERGEFORMAT </w:instrText>
    </w:r>
    <w:r w:rsidRPr="003B4502">
      <w:rPr>
        <w:sz w:val="18"/>
      </w:rPr>
      <w:fldChar w:fldCharType="separate"/>
    </w:r>
    <w:r w:rsidR="00FA1D38">
      <w:rPr>
        <w:noProof/>
        <w:sz w:val="18"/>
      </w:rPr>
      <w:t>3</w:t>
    </w:r>
    <w:r w:rsidRPr="003B4502">
      <w:rPr>
        <w:sz w:val="18"/>
      </w:rPr>
      <w:fldChar w:fldCharType="end"/>
    </w:r>
  </w:p>
  <w:p w:rsidR="00681A05" w:rsidRPr="000B6360" w:rsidRDefault="00681A05" w:rsidP="000B6360">
    <w:pPr>
      <w:pStyle w:val="Header"/>
      <w:spacing w:before="0"/>
      <w:jc w:val="center"/>
      <w:rPr>
        <w:color w:val="FF0000"/>
        <w:sz w:val="18"/>
      </w:rPr>
    </w:pPr>
    <w:r w:rsidRPr="000B6360">
      <w:rPr>
        <w:color w:val="FF0000"/>
        <w:sz w:val="18"/>
      </w:rPr>
      <w:t>UNCLASSIFIED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A3" w:rsidRPr="00E55BEA" w:rsidRDefault="00444AA3" w:rsidP="00EF13FB">
    <w:pPr>
      <w:pStyle w:val="Footer"/>
      <w:tabs>
        <w:tab w:val="clear" w:pos="4513"/>
        <w:tab w:val="clear" w:pos="9026"/>
        <w:tab w:val="left" w:pos="3686"/>
        <w:tab w:val="right" w:pos="9498"/>
      </w:tabs>
      <w:rPr>
        <w:sz w:val="16"/>
        <w:szCs w:val="18"/>
      </w:rPr>
    </w:pPr>
    <w:r w:rsidRPr="00E55BEA">
      <w:rPr>
        <w:noProof/>
        <w:sz w:val="12"/>
      </w:rPr>
      <w:drawing>
        <wp:anchor distT="0" distB="0" distL="114300" distR="114300" simplePos="0" relativeHeight="251665408" behindDoc="0" locked="0" layoutInCell="1" allowOverlap="1" wp14:anchorId="3FE7DFA2" wp14:editId="3D7B30E1">
          <wp:simplePos x="0" y="0"/>
          <wp:positionH relativeFrom="column">
            <wp:posOffset>0</wp:posOffset>
          </wp:positionH>
          <wp:positionV relativeFrom="paragraph">
            <wp:posOffset>26035</wp:posOffset>
          </wp:positionV>
          <wp:extent cx="6120000" cy="54000"/>
          <wp:effectExtent l="0" t="0" r="0" b="3175"/>
          <wp:wrapTopAndBottom/>
          <wp:docPr id="5" name="Picture 5" descr="Coloured str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 xml:space="preserve">PO Box 655, Miranda </w:t>
    </w:r>
    <w:r w:rsidR="006627E0">
      <w:rPr>
        <w:sz w:val="16"/>
        <w:szCs w:val="18"/>
      </w:rPr>
      <w:t xml:space="preserve">NSW </w:t>
    </w:r>
    <w:r w:rsidR="00E42010">
      <w:rPr>
        <w:sz w:val="16"/>
        <w:szCs w:val="18"/>
      </w:rPr>
      <w:t>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EF" w:rsidRDefault="00E858EF" w:rsidP="00C24160">
      <w:r>
        <w:separator/>
      </w:r>
    </w:p>
  </w:footnote>
  <w:footnote w:type="continuationSeparator" w:id="0">
    <w:p w:rsidR="00E858EF" w:rsidRDefault="00E858EF" w:rsidP="00C24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8A" w:rsidRDefault="00FA74F6" w:rsidP="00C24160">
    <w:pPr>
      <w:pStyle w:val="Header"/>
      <w:rPr>
        <w:noProof/>
      </w:rPr>
    </w:pPr>
    <w:r>
      <w:rPr>
        <w:noProof/>
      </w:rPr>
      <w:drawing>
        <wp:inline distT="0" distB="0" distL="0" distR="0" wp14:anchorId="31D8DD92" wp14:editId="67B90453">
          <wp:extent cx="6120130" cy="731520"/>
          <wp:effectExtent l="0" t="0" r="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BA4"/>
    <w:multiLevelType w:val="hybridMultilevel"/>
    <w:tmpl w:val="4656D830"/>
    <w:lvl w:ilvl="0" w:tplc="26D87860">
      <w:start w:val="1"/>
      <w:numFmt w:val="decimal"/>
      <w:pStyle w:val="ListParagraph"/>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nsid w:val="4123244F"/>
    <w:multiLevelType w:val="multilevel"/>
    <w:tmpl w:val="70167D4E"/>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CF4618D"/>
    <w:multiLevelType w:val="hybridMultilevel"/>
    <w:tmpl w:val="5DD4E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FE93366"/>
    <w:multiLevelType w:val="hybridMultilevel"/>
    <w:tmpl w:val="F826613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6">
    <w:nsid w:val="7A2A604D"/>
    <w:multiLevelType w:val="hybridMultilevel"/>
    <w:tmpl w:val="53DEB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01"/>
    <w:rsid w:val="00001FB3"/>
    <w:rsid w:val="000279E1"/>
    <w:rsid w:val="00032C74"/>
    <w:rsid w:val="000416E2"/>
    <w:rsid w:val="000568F3"/>
    <w:rsid w:val="000702D3"/>
    <w:rsid w:val="000778D6"/>
    <w:rsid w:val="0009340E"/>
    <w:rsid w:val="000B2D06"/>
    <w:rsid w:val="000B373D"/>
    <w:rsid w:val="000B6360"/>
    <w:rsid w:val="000D5B5E"/>
    <w:rsid w:val="000E44B6"/>
    <w:rsid w:val="000F2FD1"/>
    <w:rsid w:val="000F4E3F"/>
    <w:rsid w:val="000F73FB"/>
    <w:rsid w:val="00110A0A"/>
    <w:rsid w:val="00144CDA"/>
    <w:rsid w:val="001511CB"/>
    <w:rsid w:val="00151CAC"/>
    <w:rsid w:val="0016169E"/>
    <w:rsid w:val="00162728"/>
    <w:rsid w:val="001649C2"/>
    <w:rsid w:val="00171A89"/>
    <w:rsid w:val="00197595"/>
    <w:rsid w:val="001A2F5C"/>
    <w:rsid w:val="001A40BA"/>
    <w:rsid w:val="001B7CB7"/>
    <w:rsid w:val="001C2FC2"/>
    <w:rsid w:val="001F171D"/>
    <w:rsid w:val="001F259C"/>
    <w:rsid w:val="001F3F99"/>
    <w:rsid w:val="00214B01"/>
    <w:rsid w:val="002150AD"/>
    <w:rsid w:val="002177B4"/>
    <w:rsid w:val="00220694"/>
    <w:rsid w:val="00227EAA"/>
    <w:rsid w:val="00231A41"/>
    <w:rsid w:val="0026297B"/>
    <w:rsid w:val="0027156A"/>
    <w:rsid w:val="00282797"/>
    <w:rsid w:val="002A4A5E"/>
    <w:rsid w:val="002B6483"/>
    <w:rsid w:val="002B771E"/>
    <w:rsid w:val="002B7CBF"/>
    <w:rsid w:val="002D3EC6"/>
    <w:rsid w:val="002E1A84"/>
    <w:rsid w:val="002F6CB5"/>
    <w:rsid w:val="002F7596"/>
    <w:rsid w:val="00317F4E"/>
    <w:rsid w:val="003304E7"/>
    <w:rsid w:val="00335AD9"/>
    <w:rsid w:val="00337761"/>
    <w:rsid w:val="00346AE1"/>
    <w:rsid w:val="003570A4"/>
    <w:rsid w:val="00367420"/>
    <w:rsid w:val="00367D53"/>
    <w:rsid w:val="00372F23"/>
    <w:rsid w:val="0039023F"/>
    <w:rsid w:val="00397214"/>
    <w:rsid w:val="003B4502"/>
    <w:rsid w:val="003D36A5"/>
    <w:rsid w:val="003D73BF"/>
    <w:rsid w:val="003F7B55"/>
    <w:rsid w:val="00401146"/>
    <w:rsid w:val="00417E86"/>
    <w:rsid w:val="0042701B"/>
    <w:rsid w:val="004316C2"/>
    <w:rsid w:val="004374EB"/>
    <w:rsid w:val="00444AA3"/>
    <w:rsid w:val="0044719E"/>
    <w:rsid w:val="0045165F"/>
    <w:rsid w:val="00470E93"/>
    <w:rsid w:val="004957FC"/>
    <w:rsid w:val="00497183"/>
    <w:rsid w:val="00497EDB"/>
    <w:rsid w:val="004A0840"/>
    <w:rsid w:val="004A2B92"/>
    <w:rsid w:val="004B390E"/>
    <w:rsid w:val="004B4541"/>
    <w:rsid w:val="004D1298"/>
    <w:rsid w:val="004D456B"/>
    <w:rsid w:val="004D582C"/>
    <w:rsid w:val="004E4746"/>
    <w:rsid w:val="004F0264"/>
    <w:rsid w:val="004F5B93"/>
    <w:rsid w:val="00500EB5"/>
    <w:rsid w:val="00516794"/>
    <w:rsid w:val="005172A7"/>
    <w:rsid w:val="0052228C"/>
    <w:rsid w:val="005814B3"/>
    <w:rsid w:val="00581F0B"/>
    <w:rsid w:val="005B561C"/>
    <w:rsid w:val="005C508B"/>
    <w:rsid w:val="005D3194"/>
    <w:rsid w:val="005D3B78"/>
    <w:rsid w:val="00625830"/>
    <w:rsid w:val="00626588"/>
    <w:rsid w:val="00633282"/>
    <w:rsid w:val="00645096"/>
    <w:rsid w:val="006627E0"/>
    <w:rsid w:val="00664331"/>
    <w:rsid w:val="00671306"/>
    <w:rsid w:val="00681A05"/>
    <w:rsid w:val="00686012"/>
    <w:rsid w:val="0069397D"/>
    <w:rsid w:val="00694AB7"/>
    <w:rsid w:val="006C6AE1"/>
    <w:rsid w:val="006D0E76"/>
    <w:rsid w:val="006D62E0"/>
    <w:rsid w:val="006E1ABA"/>
    <w:rsid w:val="00701BEF"/>
    <w:rsid w:val="00735711"/>
    <w:rsid w:val="00745076"/>
    <w:rsid w:val="007576C2"/>
    <w:rsid w:val="00767AF3"/>
    <w:rsid w:val="00773B25"/>
    <w:rsid w:val="0077539A"/>
    <w:rsid w:val="007846F3"/>
    <w:rsid w:val="00794A02"/>
    <w:rsid w:val="007A62EA"/>
    <w:rsid w:val="007C329D"/>
    <w:rsid w:val="007C6F72"/>
    <w:rsid w:val="007D0730"/>
    <w:rsid w:val="007E7782"/>
    <w:rsid w:val="0080270D"/>
    <w:rsid w:val="00816E1A"/>
    <w:rsid w:val="008607CF"/>
    <w:rsid w:val="00862F65"/>
    <w:rsid w:val="0086366A"/>
    <w:rsid w:val="008666EF"/>
    <w:rsid w:val="008703D1"/>
    <w:rsid w:val="0087283C"/>
    <w:rsid w:val="008822EF"/>
    <w:rsid w:val="00895D9E"/>
    <w:rsid w:val="008F0770"/>
    <w:rsid w:val="00916531"/>
    <w:rsid w:val="00920733"/>
    <w:rsid w:val="009279BB"/>
    <w:rsid w:val="009315F7"/>
    <w:rsid w:val="0093576E"/>
    <w:rsid w:val="00945FDF"/>
    <w:rsid w:val="00947FA8"/>
    <w:rsid w:val="009661D3"/>
    <w:rsid w:val="00995397"/>
    <w:rsid w:val="009A1424"/>
    <w:rsid w:val="009A7352"/>
    <w:rsid w:val="009D1AE2"/>
    <w:rsid w:val="009D307C"/>
    <w:rsid w:val="009D4D04"/>
    <w:rsid w:val="009D659F"/>
    <w:rsid w:val="009F634B"/>
    <w:rsid w:val="009F6E48"/>
    <w:rsid w:val="00A00ECF"/>
    <w:rsid w:val="00A058E3"/>
    <w:rsid w:val="00A100E1"/>
    <w:rsid w:val="00A15184"/>
    <w:rsid w:val="00A24176"/>
    <w:rsid w:val="00A5493A"/>
    <w:rsid w:val="00A55B17"/>
    <w:rsid w:val="00A649D7"/>
    <w:rsid w:val="00A66702"/>
    <w:rsid w:val="00A82403"/>
    <w:rsid w:val="00A94EEB"/>
    <w:rsid w:val="00A9710F"/>
    <w:rsid w:val="00AB376E"/>
    <w:rsid w:val="00AC1553"/>
    <w:rsid w:val="00AD55AD"/>
    <w:rsid w:val="00AE5340"/>
    <w:rsid w:val="00B00092"/>
    <w:rsid w:val="00B00FD6"/>
    <w:rsid w:val="00B04F36"/>
    <w:rsid w:val="00B0630A"/>
    <w:rsid w:val="00B43483"/>
    <w:rsid w:val="00B50AFE"/>
    <w:rsid w:val="00B579F8"/>
    <w:rsid w:val="00B65160"/>
    <w:rsid w:val="00B95879"/>
    <w:rsid w:val="00BC71BB"/>
    <w:rsid w:val="00BE43EB"/>
    <w:rsid w:val="00BE6E40"/>
    <w:rsid w:val="00C10DDD"/>
    <w:rsid w:val="00C11519"/>
    <w:rsid w:val="00C20DF1"/>
    <w:rsid w:val="00C24160"/>
    <w:rsid w:val="00C5106B"/>
    <w:rsid w:val="00C62916"/>
    <w:rsid w:val="00C750D2"/>
    <w:rsid w:val="00C900D5"/>
    <w:rsid w:val="00C91C70"/>
    <w:rsid w:val="00C97F28"/>
    <w:rsid w:val="00CA36B6"/>
    <w:rsid w:val="00CB2036"/>
    <w:rsid w:val="00CB7A0B"/>
    <w:rsid w:val="00CC72AD"/>
    <w:rsid w:val="00CD208A"/>
    <w:rsid w:val="00CE038F"/>
    <w:rsid w:val="00CE1308"/>
    <w:rsid w:val="00CF74B5"/>
    <w:rsid w:val="00D3063B"/>
    <w:rsid w:val="00D3203F"/>
    <w:rsid w:val="00D57F09"/>
    <w:rsid w:val="00D7773B"/>
    <w:rsid w:val="00D82D8F"/>
    <w:rsid w:val="00D9552A"/>
    <w:rsid w:val="00DA449C"/>
    <w:rsid w:val="00DB3BD9"/>
    <w:rsid w:val="00DD41FB"/>
    <w:rsid w:val="00DD65AB"/>
    <w:rsid w:val="00E204B8"/>
    <w:rsid w:val="00E42010"/>
    <w:rsid w:val="00E55BEA"/>
    <w:rsid w:val="00E564E3"/>
    <w:rsid w:val="00E57390"/>
    <w:rsid w:val="00E6363B"/>
    <w:rsid w:val="00E82DBA"/>
    <w:rsid w:val="00E82F1F"/>
    <w:rsid w:val="00E858EF"/>
    <w:rsid w:val="00E912DB"/>
    <w:rsid w:val="00E94CE2"/>
    <w:rsid w:val="00EA4C2C"/>
    <w:rsid w:val="00ED43CA"/>
    <w:rsid w:val="00EE4AD9"/>
    <w:rsid w:val="00EF13FB"/>
    <w:rsid w:val="00F12167"/>
    <w:rsid w:val="00F130C6"/>
    <w:rsid w:val="00F139D8"/>
    <w:rsid w:val="00F21C75"/>
    <w:rsid w:val="00F36384"/>
    <w:rsid w:val="00F452A8"/>
    <w:rsid w:val="00F55710"/>
    <w:rsid w:val="00F55FF7"/>
    <w:rsid w:val="00F6231B"/>
    <w:rsid w:val="00F62B8D"/>
    <w:rsid w:val="00F8416C"/>
    <w:rsid w:val="00FA1D38"/>
    <w:rsid w:val="00FA74F6"/>
    <w:rsid w:val="00FB01F3"/>
    <w:rsid w:val="00FB3211"/>
    <w:rsid w:val="00FC1EB8"/>
    <w:rsid w:val="00FD4963"/>
    <w:rsid w:val="00FD5C89"/>
    <w:rsid w:val="00FE32D5"/>
    <w:rsid w:val="00FF2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E0"/>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0B6360"/>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0B6360"/>
    <w:pPr>
      <w:keepNext/>
      <w:keepLines/>
      <w:spacing w:before="200"/>
      <w:outlineLvl w:val="1"/>
    </w:pPr>
    <w:rPr>
      <w:rFonts w:ascii="Calibri" w:eastAsiaTheme="majorEastAsia" w:hAnsi="Calibri"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627E0"/>
    <w:pPr>
      <w:spacing w:before="36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6627E0"/>
    <w:rPr>
      <w:rFonts w:eastAsiaTheme="minorEastAsia"/>
      <w:b/>
      <w:color w:val="4E1A74"/>
      <w:spacing w:val="10"/>
      <w:kern w:val="28"/>
      <w:sz w:val="48"/>
      <w:szCs w:val="48"/>
      <w:lang w:val="en-US" w:eastAsia="en-AU"/>
    </w:rPr>
  </w:style>
  <w:style w:type="paragraph" w:styleId="ListParagraph">
    <w:name w:val="List Paragraph"/>
    <w:basedOn w:val="Normal"/>
    <w:uiPriority w:val="34"/>
    <w:qFormat/>
    <w:rsid w:val="00EA4C2C"/>
    <w:pPr>
      <w:numPr>
        <w:numId w:val="1"/>
      </w:numPr>
      <w:spacing w:before="120"/>
    </w:pPr>
  </w:style>
  <w:style w:type="character" w:customStyle="1" w:styleId="Heading1Char">
    <w:name w:val="Heading 1 Char"/>
    <w:basedOn w:val="DefaultParagraphFont"/>
    <w:link w:val="Heading1"/>
    <w:uiPriority w:val="9"/>
    <w:rsid w:val="000B6360"/>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0B6360"/>
    <w:rPr>
      <w:rFonts w:ascii="Calibri" w:eastAsiaTheme="majorEastAsia" w:hAnsi="Calibri" w:cstheme="majorBidi"/>
      <w:b/>
      <w:bCs/>
      <w:i/>
      <w:color w:val="262626" w:themeColor="text1" w:themeTint="D9"/>
      <w:szCs w:val="26"/>
      <w:lang w:eastAsia="en-AU"/>
    </w:rPr>
  </w:style>
  <w:style w:type="paragraph" w:customStyle="1" w:styleId="H11">
    <w:name w:val="H1(1)"/>
    <w:basedOn w:val="Normal"/>
    <w:qFormat/>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qFormat/>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2D3EC6"/>
    <w:rPr>
      <w:sz w:val="16"/>
      <w:szCs w:val="16"/>
    </w:rPr>
  </w:style>
  <w:style w:type="paragraph" w:styleId="CommentSubject">
    <w:name w:val="annotation subject"/>
    <w:basedOn w:val="CommentText"/>
    <w:next w:val="CommentText"/>
    <w:link w:val="CommentSubjectChar"/>
    <w:uiPriority w:val="99"/>
    <w:semiHidden/>
    <w:unhideWhenUsed/>
    <w:rsid w:val="002D3EC6"/>
    <w:pPr>
      <w:spacing w:before="240"/>
    </w:pPr>
    <w:rPr>
      <w:b/>
      <w:bCs/>
    </w:rPr>
  </w:style>
  <w:style w:type="character" w:customStyle="1" w:styleId="CommentSubjectChar">
    <w:name w:val="Comment Subject Char"/>
    <w:basedOn w:val="CommentTextChar"/>
    <w:link w:val="CommentSubject"/>
    <w:uiPriority w:val="99"/>
    <w:semiHidden/>
    <w:rsid w:val="002D3EC6"/>
    <w:rPr>
      <w:rFonts w:eastAsiaTheme="minorEastAsia"/>
      <w:b/>
      <w:bCs/>
      <w:color w:val="262626" w:themeColor="text1" w:themeTint="D9"/>
      <w:sz w:val="20"/>
      <w:szCs w:val="20"/>
      <w:lang w:eastAsia="en-AU"/>
    </w:rPr>
  </w:style>
  <w:style w:type="paragraph" w:styleId="Revision">
    <w:name w:val="Revision"/>
    <w:hidden/>
    <w:uiPriority w:val="99"/>
    <w:semiHidden/>
    <w:rsid w:val="002B771E"/>
    <w:pPr>
      <w:spacing w:after="0" w:line="240" w:lineRule="auto"/>
    </w:pPr>
    <w:rPr>
      <w:rFonts w:eastAsiaTheme="minorEastAsia"/>
      <w:color w:val="262626" w:themeColor="text1" w:themeTint="D9"/>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E0"/>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0B6360"/>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0B6360"/>
    <w:pPr>
      <w:keepNext/>
      <w:keepLines/>
      <w:spacing w:before="200"/>
      <w:outlineLvl w:val="1"/>
    </w:pPr>
    <w:rPr>
      <w:rFonts w:ascii="Calibri" w:eastAsiaTheme="majorEastAsia" w:hAnsi="Calibri"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627E0"/>
    <w:pPr>
      <w:spacing w:before="36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6627E0"/>
    <w:rPr>
      <w:rFonts w:eastAsiaTheme="minorEastAsia"/>
      <w:b/>
      <w:color w:val="4E1A74"/>
      <w:spacing w:val="10"/>
      <w:kern w:val="28"/>
      <w:sz w:val="48"/>
      <w:szCs w:val="48"/>
      <w:lang w:val="en-US" w:eastAsia="en-AU"/>
    </w:rPr>
  </w:style>
  <w:style w:type="paragraph" w:styleId="ListParagraph">
    <w:name w:val="List Paragraph"/>
    <w:basedOn w:val="Normal"/>
    <w:uiPriority w:val="34"/>
    <w:qFormat/>
    <w:rsid w:val="00EA4C2C"/>
    <w:pPr>
      <w:numPr>
        <w:numId w:val="1"/>
      </w:numPr>
      <w:spacing w:before="120"/>
    </w:pPr>
  </w:style>
  <w:style w:type="character" w:customStyle="1" w:styleId="Heading1Char">
    <w:name w:val="Heading 1 Char"/>
    <w:basedOn w:val="DefaultParagraphFont"/>
    <w:link w:val="Heading1"/>
    <w:uiPriority w:val="9"/>
    <w:rsid w:val="000B6360"/>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0B6360"/>
    <w:rPr>
      <w:rFonts w:ascii="Calibri" w:eastAsiaTheme="majorEastAsia" w:hAnsi="Calibri" w:cstheme="majorBidi"/>
      <w:b/>
      <w:bCs/>
      <w:i/>
      <w:color w:val="262626" w:themeColor="text1" w:themeTint="D9"/>
      <w:szCs w:val="26"/>
      <w:lang w:eastAsia="en-AU"/>
    </w:rPr>
  </w:style>
  <w:style w:type="paragraph" w:customStyle="1" w:styleId="H11">
    <w:name w:val="H1(1)"/>
    <w:basedOn w:val="Normal"/>
    <w:qFormat/>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qFormat/>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2D3EC6"/>
    <w:rPr>
      <w:sz w:val="16"/>
      <w:szCs w:val="16"/>
    </w:rPr>
  </w:style>
  <w:style w:type="paragraph" w:styleId="CommentSubject">
    <w:name w:val="annotation subject"/>
    <w:basedOn w:val="CommentText"/>
    <w:next w:val="CommentText"/>
    <w:link w:val="CommentSubjectChar"/>
    <w:uiPriority w:val="99"/>
    <w:semiHidden/>
    <w:unhideWhenUsed/>
    <w:rsid w:val="002D3EC6"/>
    <w:pPr>
      <w:spacing w:before="240"/>
    </w:pPr>
    <w:rPr>
      <w:b/>
      <w:bCs/>
    </w:rPr>
  </w:style>
  <w:style w:type="character" w:customStyle="1" w:styleId="CommentSubjectChar">
    <w:name w:val="Comment Subject Char"/>
    <w:basedOn w:val="CommentTextChar"/>
    <w:link w:val="CommentSubject"/>
    <w:uiPriority w:val="99"/>
    <w:semiHidden/>
    <w:rsid w:val="002D3EC6"/>
    <w:rPr>
      <w:rFonts w:eastAsiaTheme="minorEastAsia"/>
      <w:b/>
      <w:bCs/>
      <w:color w:val="262626" w:themeColor="text1" w:themeTint="D9"/>
      <w:sz w:val="20"/>
      <w:szCs w:val="20"/>
      <w:lang w:eastAsia="en-AU"/>
    </w:rPr>
  </w:style>
  <w:style w:type="paragraph" w:styleId="Revision">
    <w:name w:val="Revision"/>
    <w:hidden/>
    <w:uiPriority w:val="99"/>
    <w:semiHidden/>
    <w:rsid w:val="002B771E"/>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ora\AppData\Local\Hewlett-Packard\HP%20TRIM\TEMP\HPTRIM.6484\R11%2012275%20%20REPORT%20TEMPLATE%20%20Inspection%20Report%20v8.1%20Feb%202017%20REG-INS-FORM-280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694C879-A991-4F55-A8D9-97721B11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R11 12275  REPORT TEMPLATE  Inspection Report v8.1 Feb 2017 REG-INS-FORM-280M.DOTX</Template>
  <TotalTime>1</TotalTime>
  <Pages>3</Pages>
  <Words>1336</Words>
  <Characters>7471</Characters>
  <Application>Microsoft Office Word</Application>
  <DocSecurity>0</DocSecurity>
  <Lines>118</Lines>
  <Paragraphs>60</Paragraphs>
  <ScaleCrop>false</ScaleCrop>
  <HeadingPairs>
    <vt:vector size="2" baseType="variant">
      <vt:variant>
        <vt:lpstr>Title</vt:lpstr>
      </vt:variant>
      <vt:variant>
        <vt:i4>1</vt:i4>
      </vt:variant>
    </vt:vector>
  </HeadingPairs>
  <TitlesOfParts>
    <vt:vector size="1" baseType="lpstr">
      <vt:lpstr>Inspection Report: Decipha Pty Ltd</vt:lpstr>
    </vt:vector>
  </TitlesOfParts>
  <Company>ARPANSA</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Report: Department of Defence and Australian Defence Force - Defence base in South Australia</dc:title>
  <dc:subject>ARPANSA Inspection Reports</dc:subject>
  <dc:creator>ARPANSA</dc:creator>
  <cp:lastModifiedBy>sforcl</cp:lastModifiedBy>
  <cp:revision>2</cp:revision>
  <cp:lastPrinted>2017-04-27T23:25:00Z</cp:lastPrinted>
  <dcterms:created xsi:type="dcterms:W3CDTF">2017-05-03T06:26:00Z</dcterms:created>
  <dcterms:modified xsi:type="dcterms:W3CDTF">2017-05-03T06:26:00Z</dcterms:modified>
</cp:coreProperties>
</file>