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D2" w:rsidRPr="005C2203" w:rsidRDefault="005C2203" w:rsidP="005C2203">
      <w:pPr>
        <w:pStyle w:val="Title"/>
      </w:pPr>
      <w:r w:rsidRPr="005C2203">
        <w:t>Inspection report</w:t>
      </w:r>
    </w:p>
    <w:tbl>
      <w:tblPr>
        <w:tblStyle w:val="TableGrid1"/>
        <w:tblW w:w="9639" w:type="dxa"/>
        <w:tblLook w:val="04A0" w:firstRow="1" w:lastRow="0" w:firstColumn="1" w:lastColumn="0" w:noHBand="0" w:noVBand="1"/>
      </w:tblPr>
      <w:tblGrid>
        <w:gridCol w:w="5563"/>
        <w:gridCol w:w="4076"/>
      </w:tblGrid>
      <w:tr w:rsidR="00681A05" w:rsidRPr="00AF4FF3" w:rsidTr="005C2203">
        <w:trPr>
          <w:trHeight w:val="567"/>
        </w:trPr>
        <w:tc>
          <w:tcPr>
            <w:tcW w:w="5563" w:type="dxa"/>
            <w:vAlign w:val="center"/>
          </w:tcPr>
          <w:p w:rsidR="00681A05" w:rsidRPr="00AF4FF3" w:rsidRDefault="00681A05" w:rsidP="005C2203">
            <w:pPr>
              <w:spacing w:before="120"/>
            </w:pPr>
            <w:r w:rsidRPr="00AF4FF3">
              <w:rPr>
                <w:b/>
                <w:color w:val="4E1A74"/>
              </w:rPr>
              <w:t>Licence Holder</w:t>
            </w:r>
            <w:r w:rsidRPr="00AF4FF3">
              <w:rPr>
                <w:color w:val="4E1A74"/>
              </w:rPr>
              <w:t xml:space="preserve">: </w:t>
            </w:r>
            <w:sdt>
              <w:sdtPr>
                <w:alias w:val="Licence Holder"/>
                <w:tag w:val=""/>
                <w:id w:val="1015581482"/>
                <w:placeholder>
                  <w:docPart w:val="B421ED77C3F840DBAF401C1BEDA4492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C2203">
                  <w:t>Department of Immigration and Border Protection</w:t>
                </w:r>
              </w:sdtContent>
            </w:sdt>
          </w:p>
        </w:tc>
        <w:tc>
          <w:tcPr>
            <w:tcW w:w="4076" w:type="dxa"/>
            <w:vAlign w:val="center"/>
          </w:tcPr>
          <w:p w:rsidR="00681A05" w:rsidRPr="00AF4FF3" w:rsidRDefault="00681A05" w:rsidP="006A6EB0">
            <w:pPr>
              <w:tabs>
                <w:tab w:val="left" w:pos="2696"/>
                <w:tab w:val="right" w:pos="3680"/>
              </w:tabs>
            </w:pPr>
            <w:r w:rsidRPr="00AF4FF3">
              <w:rPr>
                <w:b/>
                <w:color w:val="4E1A74"/>
              </w:rPr>
              <w:t>Licence Number:</w:t>
            </w:r>
            <w:r w:rsidR="00B06FF1" w:rsidRPr="00AF4FF3">
              <w:rPr>
                <w:b/>
                <w:color w:val="4E1A74"/>
              </w:rPr>
              <w:t xml:space="preserve"> </w:t>
            </w:r>
            <w:r w:rsidR="006A6EB0">
              <w:t>F0155</w:t>
            </w:r>
          </w:p>
        </w:tc>
      </w:tr>
      <w:tr w:rsidR="00681A05" w:rsidRPr="00AF4FF3" w:rsidTr="005C2203">
        <w:trPr>
          <w:trHeight w:val="450"/>
        </w:trPr>
        <w:tc>
          <w:tcPr>
            <w:tcW w:w="5563" w:type="dxa"/>
            <w:vMerge w:val="restart"/>
          </w:tcPr>
          <w:p w:rsidR="00392FF8" w:rsidRPr="00AF4FF3" w:rsidRDefault="00681A05" w:rsidP="00A24176">
            <w:pPr>
              <w:spacing w:before="120"/>
              <w:rPr>
                <w:b/>
                <w:color w:val="4E1A74"/>
              </w:rPr>
            </w:pPr>
            <w:r w:rsidRPr="00AF4FF3">
              <w:rPr>
                <w:b/>
                <w:color w:val="4E1A74"/>
              </w:rPr>
              <w:t xml:space="preserve">Location inspected: </w:t>
            </w:r>
          </w:p>
          <w:p w:rsidR="00681A05" w:rsidRPr="00AF4FF3" w:rsidRDefault="00D13477" w:rsidP="006A6EB0">
            <w:pPr>
              <w:spacing w:before="120"/>
              <w:rPr>
                <w:b/>
                <w:color w:val="4E1A74"/>
              </w:rPr>
            </w:pPr>
            <w:r>
              <w:t xml:space="preserve">Container Examination Facility, </w:t>
            </w:r>
            <w:r w:rsidR="006A6EB0">
              <w:t>Fremantle, WA</w:t>
            </w:r>
          </w:p>
        </w:tc>
        <w:tc>
          <w:tcPr>
            <w:tcW w:w="4076" w:type="dxa"/>
            <w:vAlign w:val="center"/>
          </w:tcPr>
          <w:p w:rsidR="00681A05" w:rsidRPr="00AF4FF3" w:rsidRDefault="00681A05" w:rsidP="006A6EB0">
            <w:pPr>
              <w:tabs>
                <w:tab w:val="right" w:pos="3680"/>
              </w:tabs>
            </w:pPr>
            <w:r w:rsidRPr="00AF4FF3">
              <w:rPr>
                <w:b/>
                <w:color w:val="4E1A74"/>
              </w:rPr>
              <w:t>Date</w:t>
            </w:r>
            <w:r w:rsidR="00A24176" w:rsidRPr="00AF4FF3">
              <w:rPr>
                <w:b/>
                <w:color w:val="4E1A74"/>
              </w:rPr>
              <w:t>/s</w:t>
            </w:r>
            <w:r w:rsidRPr="00AF4FF3">
              <w:rPr>
                <w:b/>
                <w:color w:val="4E1A74"/>
              </w:rPr>
              <w:t xml:space="preserve"> of inspection:</w:t>
            </w:r>
            <w:r w:rsidR="00392FF8" w:rsidRPr="00AF4FF3">
              <w:t xml:space="preserve"> </w:t>
            </w:r>
            <w:r w:rsidR="006A6EB0">
              <w:t xml:space="preserve"> 23 May 2017</w:t>
            </w:r>
            <w:r w:rsidR="00AF4FF3" w:rsidRPr="00AF4FF3">
              <w:t xml:space="preserve"> </w:t>
            </w:r>
          </w:p>
        </w:tc>
      </w:tr>
      <w:tr w:rsidR="00681A05" w:rsidRPr="00AF4FF3" w:rsidTr="005C2203">
        <w:trPr>
          <w:trHeight w:val="450"/>
        </w:trPr>
        <w:tc>
          <w:tcPr>
            <w:tcW w:w="5563" w:type="dxa"/>
            <w:vMerge/>
            <w:vAlign w:val="center"/>
          </w:tcPr>
          <w:p w:rsidR="00681A05" w:rsidRPr="00AF4FF3" w:rsidRDefault="00681A05" w:rsidP="00C24160">
            <w:pPr>
              <w:spacing w:before="120"/>
              <w:rPr>
                <w:b/>
                <w:color w:val="4E1A74"/>
              </w:rPr>
            </w:pPr>
          </w:p>
        </w:tc>
        <w:tc>
          <w:tcPr>
            <w:tcW w:w="4076" w:type="dxa"/>
            <w:vAlign w:val="center"/>
          </w:tcPr>
          <w:p w:rsidR="00681A05" w:rsidRPr="00AF4FF3" w:rsidRDefault="00681A05" w:rsidP="006A6EB0">
            <w:pPr>
              <w:tabs>
                <w:tab w:val="right" w:pos="3680"/>
              </w:tabs>
            </w:pPr>
            <w:r w:rsidRPr="00AF4FF3">
              <w:rPr>
                <w:b/>
                <w:color w:val="4E1A74"/>
              </w:rPr>
              <w:t>Report No:</w:t>
            </w:r>
            <w:r w:rsidR="006A6EB0">
              <w:t xml:space="preserve">  R17/</w:t>
            </w:r>
            <w:r w:rsidR="007E58E7">
              <w:t>06655</w:t>
            </w:r>
          </w:p>
        </w:tc>
      </w:tr>
      <w:tr w:rsidR="00681A05" w:rsidRPr="00AF4FF3" w:rsidTr="005C2203">
        <w:tc>
          <w:tcPr>
            <w:tcW w:w="9639" w:type="dxa"/>
            <w:gridSpan w:val="2"/>
          </w:tcPr>
          <w:p w:rsidR="00ED43CA" w:rsidRPr="00AF4FF3" w:rsidRDefault="00ED43CA" w:rsidP="00325CB7">
            <w:pPr>
              <w:jc w:val="both"/>
              <w:rPr>
                <w:b/>
              </w:rPr>
            </w:pPr>
            <w:r w:rsidRPr="00AF4FF3">
              <w:t xml:space="preserve">An inspection was conducted as part of ARPANSA’s baseline inspection program to assess compliance with the </w:t>
            </w:r>
            <w:r w:rsidRPr="00AF4FF3">
              <w:rPr>
                <w:i/>
              </w:rPr>
              <w:t>Australian Radiation Protection and Nuclear Safety Act 1998</w:t>
            </w:r>
            <w:r w:rsidRPr="00AF4FF3">
              <w:t xml:space="preserve"> (the Act), the Australian Radiation Protection and Nuclear Safety Regulations 1999 (the Regulations), and conditions of</w:t>
            </w:r>
            <w:r w:rsidR="00392FF8" w:rsidRPr="00AF4FF3">
              <w:t xml:space="preserve"> </w:t>
            </w:r>
            <w:r w:rsidRPr="009D55DF">
              <w:rPr>
                <w:color w:val="auto"/>
              </w:rPr>
              <w:t>Facility Licence</w:t>
            </w:r>
            <w:r w:rsidR="00193685" w:rsidRPr="009D55DF">
              <w:rPr>
                <w:color w:val="auto"/>
              </w:rPr>
              <w:t xml:space="preserve"> </w:t>
            </w:r>
            <w:r w:rsidR="006A6EB0" w:rsidRPr="0096748A">
              <w:rPr>
                <w:color w:val="auto"/>
              </w:rPr>
              <w:t>F0155</w:t>
            </w:r>
            <w:r w:rsidRPr="0096748A">
              <w:rPr>
                <w:color w:val="auto"/>
              </w:rPr>
              <w:t xml:space="preserve">. </w:t>
            </w:r>
          </w:p>
          <w:p w:rsidR="00ED43CA" w:rsidRPr="009D55DF" w:rsidRDefault="00ED43CA" w:rsidP="00325CB7">
            <w:pPr>
              <w:jc w:val="both"/>
              <w:rPr>
                <w:color w:val="auto"/>
              </w:rPr>
            </w:pPr>
            <w:r w:rsidRPr="00AF4FF3">
              <w:t xml:space="preserve">The scope of the inspection included </w:t>
            </w:r>
            <w:r w:rsidRPr="009D55DF">
              <w:rPr>
                <w:color w:val="auto"/>
              </w:rPr>
              <w:t xml:space="preserve">an assessment </w:t>
            </w:r>
            <w:r w:rsidR="00197ECB" w:rsidRPr="009D55DF">
              <w:rPr>
                <w:color w:val="auto"/>
              </w:rPr>
              <w:t xml:space="preserve">of </w:t>
            </w:r>
            <w:sdt>
              <w:sdtPr>
                <w:rPr>
                  <w:color w:val="auto"/>
                </w:rPr>
                <w:alias w:val="Licence Holder"/>
                <w:tag w:val=""/>
                <w:id w:val="1374971004"/>
                <w:placeholder>
                  <w:docPart w:val="12D40642D0444B339C85B23000ABB11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C2203">
                  <w:rPr>
                    <w:color w:val="auto"/>
                  </w:rPr>
                  <w:t>Department of Immigration and Border Protection</w:t>
                </w:r>
              </w:sdtContent>
            </w:sdt>
            <w:r w:rsidRPr="009D55DF">
              <w:rPr>
                <w:color w:val="auto"/>
              </w:rPr>
              <w:t xml:space="preserve"> performance against </w:t>
            </w:r>
            <w:r w:rsidR="007A60D9">
              <w:rPr>
                <w:color w:val="auto"/>
              </w:rPr>
              <w:t xml:space="preserve">applicable </w:t>
            </w:r>
            <w:r w:rsidR="009D55DF">
              <w:rPr>
                <w:color w:val="auto"/>
              </w:rPr>
              <w:t>f</w:t>
            </w:r>
            <w:r w:rsidR="00500E9F" w:rsidRPr="009D55DF">
              <w:rPr>
                <w:color w:val="auto"/>
              </w:rPr>
              <w:t xml:space="preserve">acility </w:t>
            </w:r>
            <w:r w:rsidRPr="009D55DF">
              <w:rPr>
                <w:color w:val="auto"/>
              </w:rPr>
              <w:t xml:space="preserve">Performance </w:t>
            </w:r>
            <w:r w:rsidR="0096748A">
              <w:rPr>
                <w:color w:val="auto"/>
              </w:rPr>
              <w:t>Objectives and Criteria</w:t>
            </w:r>
            <w:r w:rsidR="00500E9F" w:rsidRPr="009D55DF">
              <w:rPr>
                <w:color w:val="auto"/>
              </w:rPr>
              <w:t>.</w:t>
            </w:r>
            <w:r w:rsidR="00F06840" w:rsidRPr="009D55DF">
              <w:rPr>
                <w:color w:val="auto"/>
              </w:rPr>
              <w:t xml:space="preserve"> The inspection </w:t>
            </w:r>
            <w:r w:rsidRPr="009D55DF">
              <w:rPr>
                <w:color w:val="auto"/>
              </w:rPr>
              <w:t xml:space="preserve">consisted of a review of records, interviews, and physical inspection of the facility. </w:t>
            </w:r>
          </w:p>
          <w:p w:rsidR="00681A05" w:rsidRPr="00AF4FF3" w:rsidRDefault="00681A05" w:rsidP="00AF4FF3">
            <w:pPr>
              <w:pStyle w:val="Heading1"/>
              <w:outlineLvl w:val="0"/>
            </w:pPr>
            <w:r w:rsidRPr="00AF4FF3">
              <w:t>Background</w:t>
            </w:r>
          </w:p>
          <w:p w:rsidR="00207259" w:rsidRDefault="00D13477" w:rsidP="00325CB7">
            <w:pPr>
              <w:jc w:val="both"/>
              <w:rPr>
                <w:color w:val="000000" w:themeColor="text1"/>
              </w:rPr>
            </w:pPr>
            <w:r w:rsidRPr="005A61C2">
              <w:rPr>
                <w:color w:val="000000" w:themeColor="text1"/>
              </w:rPr>
              <w:t xml:space="preserve">The Container Examination Facility (CEF) </w:t>
            </w:r>
            <w:r>
              <w:rPr>
                <w:color w:val="000000" w:themeColor="text1"/>
              </w:rPr>
              <w:t xml:space="preserve">is a prescribed radiation facility that </w:t>
            </w:r>
            <w:r w:rsidRPr="005A61C2">
              <w:rPr>
                <w:color w:val="000000" w:themeColor="text1"/>
              </w:rPr>
              <w:t xml:space="preserve">encompasses a mobile linear accelerator </w:t>
            </w:r>
            <w:r w:rsidR="00D13883">
              <w:rPr>
                <w:color w:val="000000" w:themeColor="text1"/>
              </w:rPr>
              <w:t xml:space="preserve">system </w:t>
            </w:r>
            <w:r>
              <w:rPr>
                <w:color w:val="000000" w:themeColor="text1"/>
              </w:rPr>
              <w:t xml:space="preserve">installed </w:t>
            </w:r>
            <w:r w:rsidRPr="005A61C2">
              <w:rPr>
                <w:color w:val="000000" w:themeColor="text1"/>
              </w:rPr>
              <w:t xml:space="preserve">within a fully enclosed </w:t>
            </w:r>
            <w:r>
              <w:rPr>
                <w:color w:val="000000" w:themeColor="text1"/>
              </w:rPr>
              <w:t xml:space="preserve">structure </w:t>
            </w:r>
            <w:r w:rsidRPr="005A61C2">
              <w:rPr>
                <w:color w:val="000000" w:themeColor="text1"/>
              </w:rPr>
              <w:t xml:space="preserve">dedicated to the purpose of screening </w:t>
            </w:r>
            <w:r w:rsidR="00A821B8">
              <w:rPr>
                <w:color w:val="000000" w:themeColor="text1"/>
              </w:rPr>
              <w:t xml:space="preserve">containerised </w:t>
            </w:r>
            <w:r w:rsidRPr="005A61C2">
              <w:rPr>
                <w:color w:val="000000" w:themeColor="text1"/>
              </w:rPr>
              <w:t>sea cargo.</w:t>
            </w:r>
            <w:r w:rsidR="00D13883">
              <w:rPr>
                <w:color w:val="000000" w:themeColor="text1"/>
              </w:rPr>
              <w:t xml:space="preserve"> The CEF recently underwent an upgrade</w:t>
            </w:r>
            <w:r w:rsidR="000225FD">
              <w:rPr>
                <w:color w:val="000000" w:themeColor="text1"/>
              </w:rPr>
              <w:t xml:space="preserve"> (authorised under an approval issued in accordance with r</w:t>
            </w:r>
            <w:r w:rsidR="000225FD" w:rsidRPr="000225FD">
              <w:rPr>
                <w:color w:val="000000" w:themeColor="text1"/>
              </w:rPr>
              <w:t>egulation 51 of the Regulations</w:t>
            </w:r>
            <w:r w:rsidR="000225FD">
              <w:rPr>
                <w:color w:val="000000" w:themeColor="text1"/>
              </w:rPr>
              <w:t>)</w:t>
            </w:r>
            <w:r w:rsidR="00157C38">
              <w:rPr>
                <w:color w:val="000000" w:themeColor="text1"/>
              </w:rPr>
              <w:t xml:space="preserve"> </w:t>
            </w:r>
            <w:r w:rsidR="00D13883">
              <w:rPr>
                <w:color w:val="000000" w:themeColor="text1"/>
              </w:rPr>
              <w:t xml:space="preserve">which </w:t>
            </w:r>
            <w:r w:rsidR="00157C38">
              <w:rPr>
                <w:color w:val="000000" w:themeColor="text1"/>
              </w:rPr>
              <w:t xml:space="preserve">covered </w:t>
            </w:r>
            <w:r w:rsidR="00D13883">
              <w:rPr>
                <w:color w:val="000000" w:themeColor="text1"/>
              </w:rPr>
              <w:t>installation of the mobile system</w:t>
            </w:r>
            <w:r w:rsidR="000225FD">
              <w:rPr>
                <w:color w:val="000000" w:themeColor="text1"/>
              </w:rPr>
              <w:t>.</w:t>
            </w:r>
          </w:p>
          <w:p w:rsidR="00157C38" w:rsidRPr="00F41174" w:rsidRDefault="00F41174" w:rsidP="00325CB7">
            <w:pPr>
              <w:jc w:val="both"/>
              <w:rPr>
                <w:i/>
              </w:rPr>
            </w:pPr>
            <w:r>
              <w:rPr>
                <w:color w:val="000000" w:themeColor="text1"/>
              </w:rPr>
              <w:t xml:space="preserve">In March 2017 the </w:t>
            </w:r>
            <w:r w:rsidR="00157C38">
              <w:rPr>
                <w:color w:val="000000" w:themeColor="text1"/>
              </w:rPr>
              <w:t xml:space="preserve">DIBP was issued with an amended </w:t>
            </w:r>
            <w:r w:rsidR="00717AC6">
              <w:rPr>
                <w:color w:val="000000" w:themeColor="text1"/>
              </w:rPr>
              <w:t xml:space="preserve">facility licence. </w:t>
            </w:r>
            <w:r>
              <w:rPr>
                <w:color w:val="000000" w:themeColor="text1"/>
              </w:rPr>
              <w:t xml:space="preserve">One change resulting from the </w:t>
            </w:r>
            <w:r w:rsidR="00F85F60">
              <w:rPr>
                <w:color w:val="000000" w:themeColor="text1"/>
              </w:rPr>
              <w:t>licence amendment is</w:t>
            </w:r>
            <w:r>
              <w:rPr>
                <w:color w:val="000000" w:themeColor="text1"/>
              </w:rPr>
              <w:t xml:space="preserve"> that </w:t>
            </w:r>
            <w:r w:rsidR="00717AC6">
              <w:rPr>
                <w:color w:val="000000" w:themeColor="text1"/>
              </w:rPr>
              <w:t xml:space="preserve">the </w:t>
            </w:r>
            <w:r w:rsidR="00F85F60">
              <w:rPr>
                <w:color w:val="000000" w:themeColor="text1"/>
              </w:rPr>
              <w:t>s</w:t>
            </w:r>
            <w:r w:rsidR="00717AC6">
              <w:rPr>
                <w:color w:val="000000" w:themeColor="text1"/>
              </w:rPr>
              <w:t xml:space="preserve">tandard </w:t>
            </w:r>
            <w:r w:rsidR="00F85F60">
              <w:rPr>
                <w:color w:val="000000" w:themeColor="text1"/>
              </w:rPr>
              <w:t>to be applied t</w:t>
            </w:r>
            <w:r w:rsidR="00717AC6">
              <w:rPr>
                <w:color w:val="000000" w:themeColor="text1"/>
              </w:rPr>
              <w:t>o the C</w:t>
            </w:r>
            <w:r>
              <w:rPr>
                <w:color w:val="000000" w:themeColor="text1"/>
              </w:rPr>
              <w:t xml:space="preserve">EF as a condition of licence </w:t>
            </w:r>
            <w:r w:rsidR="00717AC6">
              <w:rPr>
                <w:color w:val="000000" w:themeColor="text1"/>
              </w:rPr>
              <w:t xml:space="preserve">changed from Radiation Health Series </w:t>
            </w:r>
            <w:r w:rsidR="00D21FC9">
              <w:rPr>
                <w:color w:val="000000" w:themeColor="text1"/>
              </w:rPr>
              <w:t>No.</w:t>
            </w:r>
            <w:r w:rsidR="00717AC6">
              <w:rPr>
                <w:color w:val="000000" w:themeColor="text1"/>
              </w:rPr>
              <w:t xml:space="preserve">24 </w:t>
            </w:r>
            <w:r w:rsidR="00717AC6">
              <w:rPr>
                <w:i/>
                <w:color w:val="000000" w:themeColor="text1"/>
              </w:rPr>
              <w:t xml:space="preserve">Code of practice for the design and safe installation of non-medical irradiation facilities (1988) </w:t>
            </w:r>
            <w:r w:rsidR="00717AC6">
              <w:rPr>
                <w:color w:val="000000" w:themeColor="text1"/>
              </w:rPr>
              <w:t>to ANSI/HPS N43.3</w:t>
            </w:r>
            <w:r>
              <w:rPr>
                <w:color w:val="000000" w:themeColor="text1"/>
              </w:rPr>
              <w:t>-</w:t>
            </w:r>
            <w:r w:rsidR="00717AC6">
              <w:rPr>
                <w:color w:val="000000" w:themeColor="text1"/>
              </w:rPr>
              <w:t xml:space="preserve">2008 </w:t>
            </w:r>
            <w:r w:rsidR="00717AC6">
              <w:rPr>
                <w:i/>
                <w:color w:val="000000" w:themeColor="text1"/>
              </w:rPr>
              <w:t>Installations using non-medical x-ray and sealed gamma-ray sources, energies up to 10MeV</w:t>
            </w:r>
            <w:r>
              <w:rPr>
                <w:i/>
                <w:color w:val="000000" w:themeColor="text1"/>
              </w:rPr>
              <w:t>.</w:t>
            </w:r>
          </w:p>
          <w:p w:rsidR="00681A05" w:rsidRPr="00AF4FF3" w:rsidRDefault="00681A05" w:rsidP="00AF4FF3">
            <w:pPr>
              <w:pStyle w:val="Heading1"/>
              <w:outlineLvl w:val="0"/>
              <w:rPr>
                <w:rFonts w:asciiTheme="majorHAnsi" w:hAnsiTheme="majorHAnsi"/>
                <w:color w:val="365F91" w:themeColor="accent1" w:themeShade="BF"/>
              </w:rPr>
            </w:pPr>
            <w:r w:rsidRPr="00AF4FF3">
              <w:t>Observations</w:t>
            </w:r>
          </w:p>
          <w:p w:rsidR="009D55DF" w:rsidRPr="009D55DF" w:rsidRDefault="009D55DF" w:rsidP="00325CB7">
            <w:pPr>
              <w:jc w:val="both"/>
              <w:rPr>
                <w:lang w:val="en-US"/>
              </w:rPr>
            </w:pPr>
            <w:r w:rsidRPr="009D55DF">
              <w:rPr>
                <w:lang w:val="en-US"/>
              </w:rPr>
              <w:t xml:space="preserve">The </w:t>
            </w:r>
            <w:r w:rsidR="0096748A">
              <w:rPr>
                <w:lang w:val="en-US"/>
              </w:rPr>
              <w:t xml:space="preserve">DIBP’s </w:t>
            </w:r>
            <w:r w:rsidRPr="009D55DF">
              <w:rPr>
                <w:lang w:val="en-US"/>
              </w:rPr>
              <w:t>quarterly reports of compliance submitted to ARPANSA over the past two years were reported in a timely manner and contained relevant information, including compliance with the Act and the Regulations.</w:t>
            </w:r>
          </w:p>
          <w:p w:rsidR="009D55DF" w:rsidRPr="009D55DF" w:rsidRDefault="009D55DF" w:rsidP="00325CB7">
            <w:pPr>
              <w:jc w:val="both"/>
              <w:rPr>
                <w:lang w:val="en-US"/>
              </w:rPr>
            </w:pPr>
            <w:r w:rsidRPr="009D55DF">
              <w:rPr>
                <w:lang w:val="en-US"/>
              </w:rPr>
              <w:t>No radiation accidents or incidents have been reported to ARPANSA in the two years preceding the inspection.</w:t>
            </w:r>
          </w:p>
          <w:p w:rsidR="009D55DF" w:rsidRPr="009D55DF" w:rsidRDefault="00AB5423" w:rsidP="00325C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DIBP has </w:t>
            </w:r>
            <w:r w:rsidR="00F85F60">
              <w:rPr>
                <w:lang w:val="en-US"/>
              </w:rPr>
              <w:t xml:space="preserve">in place </w:t>
            </w:r>
            <w:r>
              <w:rPr>
                <w:lang w:val="en-US"/>
              </w:rPr>
              <w:t xml:space="preserve">a </w:t>
            </w:r>
            <w:r w:rsidR="00A821B8">
              <w:rPr>
                <w:lang w:val="en-US"/>
              </w:rPr>
              <w:t xml:space="preserve">Competency Assessment </w:t>
            </w:r>
            <w:r w:rsidR="009D55DF" w:rsidRPr="009D55DF">
              <w:rPr>
                <w:lang w:val="en-US"/>
              </w:rPr>
              <w:t xml:space="preserve">Training Officer </w:t>
            </w:r>
            <w:r w:rsidR="00A821B8">
              <w:rPr>
                <w:lang w:val="en-US"/>
              </w:rPr>
              <w:t xml:space="preserve">(CATO) </w:t>
            </w:r>
            <w:r w:rsidR="009D55DF" w:rsidRPr="009D55DF">
              <w:rPr>
                <w:lang w:val="en-US"/>
              </w:rPr>
              <w:t>scheme for operator training</w:t>
            </w:r>
            <w:r>
              <w:rPr>
                <w:lang w:val="en-US"/>
              </w:rPr>
              <w:t xml:space="preserve"> which </w:t>
            </w:r>
            <w:r w:rsidR="009D55DF" w:rsidRPr="009D55DF">
              <w:rPr>
                <w:lang w:val="en-US"/>
              </w:rPr>
              <w:t>include</w:t>
            </w:r>
            <w:r>
              <w:rPr>
                <w:lang w:val="en-US"/>
              </w:rPr>
              <w:t>s</w:t>
            </w:r>
            <w:r w:rsidR="009D55DF" w:rsidRPr="009D55DF">
              <w:rPr>
                <w:lang w:val="en-US"/>
              </w:rPr>
              <w:t xml:space="preserve"> the safe use of radiation emitting apparatus and devices</w:t>
            </w:r>
            <w:r w:rsidR="00F85F60">
              <w:rPr>
                <w:lang w:val="en-US"/>
              </w:rPr>
              <w:t xml:space="preserve"> and e</w:t>
            </w:r>
            <w:r w:rsidR="009D55DF" w:rsidRPr="009D55DF">
              <w:rPr>
                <w:lang w:val="en-US"/>
              </w:rPr>
              <w:t xml:space="preserve">-learning training modules </w:t>
            </w:r>
            <w:r w:rsidR="00A821B8">
              <w:rPr>
                <w:lang w:val="en-US"/>
              </w:rPr>
              <w:t xml:space="preserve">which </w:t>
            </w:r>
            <w:r w:rsidR="000225FD">
              <w:rPr>
                <w:lang w:val="en-US"/>
              </w:rPr>
              <w:t xml:space="preserve">are </w:t>
            </w:r>
            <w:r w:rsidR="009D55DF" w:rsidRPr="009D55DF">
              <w:rPr>
                <w:lang w:val="en-US"/>
              </w:rPr>
              <w:t xml:space="preserve">available to staff on the </w:t>
            </w:r>
            <w:r>
              <w:rPr>
                <w:lang w:val="en-US"/>
              </w:rPr>
              <w:t>DIBP</w:t>
            </w:r>
            <w:r w:rsidR="009D55DF" w:rsidRPr="009D55DF">
              <w:rPr>
                <w:lang w:val="en-US"/>
              </w:rPr>
              <w:t xml:space="preserve"> intranet site. </w:t>
            </w:r>
          </w:p>
          <w:p w:rsidR="009D55DF" w:rsidRDefault="009D55DF" w:rsidP="00325CB7">
            <w:pPr>
              <w:jc w:val="both"/>
              <w:rPr>
                <w:lang w:val="en-US"/>
              </w:rPr>
            </w:pPr>
            <w:r w:rsidRPr="009D55DF">
              <w:rPr>
                <w:lang w:val="en-US"/>
              </w:rPr>
              <w:t xml:space="preserve">The </w:t>
            </w:r>
            <w:r w:rsidR="00AB5423">
              <w:rPr>
                <w:lang w:val="en-US"/>
              </w:rPr>
              <w:t xml:space="preserve">DIBP </w:t>
            </w:r>
            <w:r w:rsidRPr="009D55DF">
              <w:rPr>
                <w:lang w:val="en-US"/>
              </w:rPr>
              <w:t>engage</w:t>
            </w:r>
            <w:r w:rsidR="00F85F60">
              <w:rPr>
                <w:lang w:val="en-US"/>
              </w:rPr>
              <w:t>s</w:t>
            </w:r>
            <w:r w:rsidRPr="009D55DF">
              <w:rPr>
                <w:lang w:val="en-US"/>
              </w:rPr>
              <w:t xml:space="preserve"> </w:t>
            </w:r>
            <w:r w:rsidR="000225FD">
              <w:rPr>
                <w:lang w:val="en-US"/>
              </w:rPr>
              <w:t xml:space="preserve">the services of </w:t>
            </w:r>
            <w:r w:rsidRPr="009D55DF">
              <w:rPr>
                <w:lang w:val="en-US"/>
              </w:rPr>
              <w:t xml:space="preserve">an external radiation consultant to </w:t>
            </w:r>
            <w:r w:rsidR="000225FD">
              <w:rPr>
                <w:lang w:val="en-US"/>
              </w:rPr>
              <w:t xml:space="preserve">fulfill the role of </w:t>
            </w:r>
            <w:r w:rsidRPr="009D55DF">
              <w:rPr>
                <w:lang w:val="en-US"/>
              </w:rPr>
              <w:t xml:space="preserve">its Radiation Safety Adviser (RSA).  </w:t>
            </w:r>
            <w:r w:rsidR="00F85F60">
              <w:rPr>
                <w:lang w:val="en-US"/>
              </w:rPr>
              <w:t xml:space="preserve">One of the services provided by the </w:t>
            </w:r>
            <w:r w:rsidRPr="009D55DF">
              <w:rPr>
                <w:lang w:val="en-US"/>
              </w:rPr>
              <w:t xml:space="preserve">RSA </w:t>
            </w:r>
            <w:r w:rsidR="000225FD">
              <w:rPr>
                <w:lang w:val="en-US"/>
              </w:rPr>
              <w:t xml:space="preserve">is to </w:t>
            </w:r>
            <w:r w:rsidR="00AB5423">
              <w:rPr>
                <w:lang w:val="en-US"/>
              </w:rPr>
              <w:t>certif</w:t>
            </w:r>
            <w:r w:rsidR="000225FD">
              <w:rPr>
                <w:lang w:val="en-US"/>
              </w:rPr>
              <w:t>y</w:t>
            </w:r>
            <w:r w:rsidR="00AB5423">
              <w:rPr>
                <w:lang w:val="en-US"/>
              </w:rPr>
              <w:t xml:space="preserve"> </w:t>
            </w:r>
            <w:r w:rsidRPr="009D55DF">
              <w:rPr>
                <w:lang w:val="en-US"/>
              </w:rPr>
              <w:t xml:space="preserve">the qualifications and competency of linear accelerator service </w:t>
            </w:r>
            <w:r w:rsidR="00F27856">
              <w:rPr>
                <w:lang w:val="en-US"/>
              </w:rPr>
              <w:t xml:space="preserve">engineers </w:t>
            </w:r>
            <w:r w:rsidR="00EE0FD5">
              <w:rPr>
                <w:lang w:val="en-US"/>
              </w:rPr>
              <w:t>for the facility</w:t>
            </w:r>
            <w:r w:rsidRPr="009D55DF">
              <w:rPr>
                <w:lang w:val="en-US"/>
              </w:rPr>
              <w:t>.</w:t>
            </w:r>
          </w:p>
          <w:p w:rsidR="00D21FC9" w:rsidRPr="00D21FC9" w:rsidRDefault="00D21FC9" w:rsidP="00D21FC9">
            <w:pPr>
              <w:jc w:val="both"/>
              <w:rPr>
                <w:lang w:val="en-US"/>
              </w:rPr>
            </w:pPr>
            <w:r w:rsidRPr="00D21FC9">
              <w:rPr>
                <w:lang w:val="en-US"/>
              </w:rPr>
              <w:t xml:space="preserve">The RSA’s annual inspection and survey report showed that all dose rate measurements associated with the operation of the CEF are below the </w:t>
            </w:r>
            <w:r w:rsidR="00A821B8">
              <w:rPr>
                <w:lang w:val="en-US"/>
              </w:rPr>
              <w:t xml:space="preserve">relevant </w:t>
            </w:r>
            <w:r w:rsidRPr="00D21FC9">
              <w:rPr>
                <w:lang w:val="en-US"/>
              </w:rPr>
              <w:t xml:space="preserve">limits set in </w:t>
            </w:r>
            <w:r w:rsidR="00A821B8" w:rsidRPr="00A821B8">
              <w:rPr>
                <w:lang w:val="en-US"/>
              </w:rPr>
              <w:t>ANSI/HPS N43.3-2008</w:t>
            </w:r>
            <w:r w:rsidR="00A821B8">
              <w:rPr>
                <w:lang w:val="en-US"/>
              </w:rPr>
              <w:t>.</w:t>
            </w:r>
          </w:p>
          <w:p w:rsidR="009D55DF" w:rsidRPr="009D55DF" w:rsidRDefault="007A60D9" w:rsidP="00325C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following </w:t>
            </w:r>
            <w:r w:rsidR="00AF30BF">
              <w:rPr>
                <w:lang w:val="en-US"/>
              </w:rPr>
              <w:t>c</w:t>
            </w:r>
            <w:r w:rsidR="009D55DF" w:rsidRPr="009D55DF">
              <w:rPr>
                <w:lang w:val="en-US"/>
              </w:rPr>
              <w:t xml:space="preserve">onfiguration control </w:t>
            </w:r>
            <w:r>
              <w:rPr>
                <w:lang w:val="en-US"/>
              </w:rPr>
              <w:t>aspects of</w:t>
            </w:r>
            <w:r w:rsidR="009D55DF" w:rsidRPr="009D55DF">
              <w:rPr>
                <w:lang w:val="en-US"/>
              </w:rPr>
              <w:t xml:space="preserve"> the facility </w:t>
            </w:r>
            <w:r>
              <w:rPr>
                <w:lang w:val="en-US"/>
              </w:rPr>
              <w:t>were inspected</w:t>
            </w:r>
            <w:r w:rsidR="00AF30BF">
              <w:rPr>
                <w:lang w:val="en-US"/>
              </w:rPr>
              <w:t>:</w:t>
            </w:r>
          </w:p>
          <w:p w:rsidR="003751E3" w:rsidRPr="005C2203" w:rsidRDefault="00AF30BF" w:rsidP="005C2203">
            <w:pPr>
              <w:numPr>
                <w:ilvl w:val="0"/>
                <w:numId w:val="8"/>
              </w:numPr>
              <w:ind w:left="454" w:hanging="425"/>
              <w:jc w:val="both"/>
              <w:rPr>
                <w:spacing w:val="-2"/>
                <w:lang w:val="en-US"/>
              </w:rPr>
            </w:pPr>
            <w:r w:rsidRPr="005C2203">
              <w:rPr>
                <w:spacing w:val="-2"/>
                <w:lang w:val="en-US"/>
              </w:rPr>
              <w:t>Quarterly maintenance reporting including results of radiation surveys around the facility and tests of emergency stop buttons, emergency pull cords, and interlocks associated with the operation of the CEF.</w:t>
            </w:r>
          </w:p>
          <w:p w:rsidR="009D55DF" w:rsidRPr="003751E3" w:rsidRDefault="003751E3" w:rsidP="005C2203">
            <w:pPr>
              <w:numPr>
                <w:ilvl w:val="0"/>
                <w:numId w:val="8"/>
              </w:numPr>
              <w:ind w:left="454" w:hanging="42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Draft operating procedures and a reviewed radiation safety management plan, both of which are scheduled for </w:t>
            </w:r>
            <w:proofErr w:type="spellStart"/>
            <w:r w:rsidR="000438E9">
              <w:rPr>
                <w:lang w:val="en-US"/>
              </w:rPr>
              <w:t>finalis</w:t>
            </w:r>
            <w:r w:rsidR="00A821B8">
              <w:rPr>
                <w:lang w:val="en-US"/>
              </w:rPr>
              <w:t>ation</w:t>
            </w:r>
            <w:proofErr w:type="spellEnd"/>
            <w:r w:rsidR="00A821B8">
              <w:rPr>
                <w:lang w:val="en-US"/>
              </w:rPr>
              <w:t xml:space="preserve"> </w:t>
            </w:r>
            <w:r>
              <w:rPr>
                <w:lang w:val="en-US"/>
              </w:rPr>
              <w:t>by 30 June 2017.</w:t>
            </w:r>
            <w:r w:rsidR="005C07EC">
              <w:rPr>
                <w:lang w:val="en-US"/>
              </w:rPr>
              <w:t xml:space="preserve"> </w:t>
            </w:r>
            <w:r w:rsidR="005C07EC" w:rsidRPr="005C07EC">
              <w:rPr>
                <w:lang w:val="en-US"/>
              </w:rPr>
              <w:t xml:space="preserve">All relevant operating instructions were </w:t>
            </w:r>
            <w:r w:rsidR="005C07EC">
              <w:rPr>
                <w:lang w:val="en-US"/>
              </w:rPr>
              <w:t xml:space="preserve">found to be </w:t>
            </w:r>
            <w:r w:rsidR="005C07EC" w:rsidRPr="005C07EC">
              <w:rPr>
                <w:lang w:val="en-US"/>
              </w:rPr>
              <w:t xml:space="preserve">located at the </w:t>
            </w:r>
            <w:r w:rsidR="005C07EC">
              <w:rPr>
                <w:lang w:val="en-US"/>
              </w:rPr>
              <w:t xml:space="preserve">CEF </w:t>
            </w:r>
            <w:r w:rsidR="005C07EC" w:rsidRPr="005C07EC">
              <w:rPr>
                <w:lang w:val="en-US"/>
              </w:rPr>
              <w:t>control panel.</w:t>
            </w:r>
          </w:p>
          <w:p w:rsidR="009D55DF" w:rsidRPr="009D55DF" w:rsidRDefault="009D55DF" w:rsidP="00325CB7">
            <w:pPr>
              <w:jc w:val="both"/>
              <w:rPr>
                <w:lang w:val="en-US"/>
              </w:rPr>
            </w:pPr>
            <w:r w:rsidRPr="009D55DF">
              <w:rPr>
                <w:lang w:val="en-US"/>
              </w:rPr>
              <w:t xml:space="preserve">The inspection team observed </w:t>
            </w:r>
            <w:r w:rsidR="00D121FA">
              <w:rPr>
                <w:lang w:val="en-US"/>
              </w:rPr>
              <w:t>a</w:t>
            </w:r>
            <w:r w:rsidRPr="009D55DF">
              <w:rPr>
                <w:lang w:val="en-US"/>
              </w:rPr>
              <w:t xml:space="preserve"> scan </w:t>
            </w:r>
            <w:r w:rsidR="00134629">
              <w:rPr>
                <w:lang w:val="en-US"/>
              </w:rPr>
              <w:t xml:space="preserve">of </w:t>
            </w:r>
            <w:r w:rsidR="00D121FA">
              <w:rPr>
                <w:lang w:val="en-US"/>
              </w:rPr>
              <w:t xml:space="preserve">a shipping container. </w:t>
            </w:r>
            <w:r w:rsidRPr="009D55DF">
              <w:rPr>
                <w:lang w:val="en-US"/>
              </w:rPr>
              <w:t xml:space="preserve">All </w:t>
            </w:r>
            <w:r w:rsidR="00D121FA">
              <w:rPr>
                <w:lang w:val="en-US"/>
              </w:rPr>
              <w:t xml:space="preserve">audible </w:t>
            </w:r>
            <w:r w:rsidRPr="009D55DF">
              <w:rPr>
                <w:lang w:val="en-US"/>
              </w:rPr>
              <w:t>warning</w:t>
            </w:r>
            <w:r w:rsidR="00D121FA">
              <w:rPr>
                <w:lang w:val="en-US"/>
              </w:rPr>
              <w:t xml:space="preserve">s, </w:t>
            </w:r>
            <w:r w:rsidRPr="009D55DF">
              <w:rPr>
                <w:lang w:val="en-US"/>
              </w:rPr>
              <w:t>lights</w:t>
            </w:r>
            <w:r w:rsidR="00D121FA">
              <w:rPr>
                <w:lang w:val="en-US"/>
              </w:rPr>
              <w:t>,</w:t>
            </w:r>
            <w:r w:rsidRPr="009D55DF">
              <w:rPr>
                <w:lang w:val="en-US"/>
              </w:rPr>
              <w:t xml:space="preserve"> and </w:t>
            </w:r>
            <w:r w:rsidR="00D121FA">
              <w:rPr>
                <w:lang w:val="en-US"/>
              </w:rPr>
              <w:t xml:space="preserve">illuminated </w:t>
            </w:r>
            <w:r w:rsidRPr="009D55DF">
              <w:rPr>
                <w:lang w:val="en-US"/>
              </w:rPr>
              <w:t xml:space="preserve">signs </w:t>
            </w:r>
            <w:r w:rsidR="005C07EC">
              <w:rPr>
                <w:lang w:val="en-US"/>
              </w:rPr>
              <w:t>were observed to be operational.</w:t>
            </w:r>
            <w:r w:rsidRPr="009D55DF">
              <w:rPr>
                <w:lang w:val="en-US"/>
              </w:rPr>
              <w:t xml:space="preserve"> </w:t>
            </w:r>
          </w:p>
          <w:p w:rsidR="005C07EC" w:rsidRDefault="00F41174" w:rsidP="00325CB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inspection team conducted </w:t>
            </w:r>
            <w:r w:rsidR="00D21FC9">
              <w:rPr>
                <w:lang w:val="en-US"/>
              </w:rPr>
              <w:t xml:space="preserve">a preliminary </w:t>
            </w:r>
            <w:r>
              <w:rPr>
                <w:lang w:val="en-US"/>
              </w:rPr>
              <w:t>assessment of the compliance status of the CEF against relevant requirements in ANSI/HPS N43.3-2008</w:t>
            </w:r>
            <w:r w:rsidR="00D21FC9">
              <w:rPr>
                <w:lang w:val="en-US"/>
              </w:rPr>
              <w:t>, it was observed that</w:t>
            </w:r>
            <w:r>
              <w:rPr>
                <w:lang w:val="en-US"/>
              </w:rPr>
              <w:t>:</w:t>
            </w:r>
          </w:p>
          <w:p w:rsidR="00F41174" w:rsidRDefault="00E7298C" w:rsidP="005C2203">
            <w:pPr>
              <w:pStyle w:val="ListParagraph"/>
              <w:numPr>
                <w:ilvl w:val="0"/>
                <w:numId w:val="11"/>
              </w:numPr>
              <w:ind w:left="454" w:hanging="425"/>
              <w:jc w:val="both"/>
              <w:rPr>
                <w:lang w:val="en-US"/>
              </w:rPr>
            </w:pPr>
            <w:r>
              <w:rPr>
                <w:lang w:val="en-US"/>
              </w:rPr>
              <w:t>The requirements relating to ‘shielded installations’ as defined in ANSI/HPS N43.4-2008 are applicable to the CEF</w:t>
            </w:r>
          </w:p>
          <w:p w:rsidR="00E7298C" w:rsidRDefault="00E7298C" w:rsidP="005C2203">
            <w:pPr>
              <w:pStyle w:val="ListParagraph"/>
              <w:numPr>
                <w:ilvl w:val="0"/>
                <w:numId w:val="11"/>
              </w:numPr>
              <w:ind w:left="454" w:hanging="425"/>
              <w:jc w:val="both"/>
              <w:rPr>
                <w:lang w:val="en-US"/>
              </w:rPr>
            </w:pPr>
            <w:r>
              <w:rPr>
                <w:lang w:val="en-US"/>
              </w:rPr>
              <w:t>The CEF is fitted with interlo</w:t>
            </w:r>
            <w:r w:rsidR="005C2203">
              <w:rPr>
                <w:lang w:val="en-US"/>
              </w:rPr>
              <w:t>cks, and audible/visible alarms</w:t>
            </w:r>
          </w:p>
          <w:p w:rsidR="00E7298C" w:rsidRDefault="00E7298C" w:rsidP="005C2203">
            <w:pPr>
              <w:pStyle w:val="ListParagraph"/>
              <w:numPr>
                <w:ilvl w:val="0"/>
                <w:numId w:val="11"/>
              </w:numPr>
              <w:ind w:left="454" w:hanging="42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There are suitable means of exit </w:t>
            </w:r>
            <w:r w:rsidR="00134629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any person inadvertently remain</w:t>
            </w:r>
            <w:r w:rsidR="00D21FC9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in the s</w:t>
            </w:r>
            <w:r w:rsidR="005C2203">
              <w:rPr>
                <w:lang w:val="en-US"/>
              </w:rPr>
              <w:t>canning hall during an exposure</w:t>
            </w:r>
          </w:p>
          <w:p w:rsidR="00E7298C" w:rsidRDefault="00E7298C" w:rsidP="005C2203">
            <w:pPr>
              <w:pStyle w:val="ListParagraph"/>
              <w:numPr>
                <w:ilvl w:val="0"/>
                <w:numId w:val="11"/>
              </w:numPr>
              <w:ind w:left="454" w:hanging="42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Clearly labelled emergency stop buttons and emergency stop pull-cords are available to terminate exposure </w:t>
            </w:r>
            <w:r w:rsidR="002C12DC">
              <w:rPr>
                <w:lang w:val="en-US"/>
              </w:rPr>
              <w:t xml:space="preserve">should </w:t>
            </w:r>
            <w:r w:rsidR="002C12DC" w:rsidRPr="002C12DC">
              <w:rPr>
                <w:lang w:val="en-US"/>
              </w:rPr>
              <w:t>any person inadvertently remain in the scanning hall during an exposure</w:t>
            </w:r>
          </w:p>
          <w:p w:rsidR="002C12DC" w:rsidRDefault="002C12DC" w:rsidP="005C2203">
            <w:pPr>
              <w:pStyle w:val="ListParagraph"/>
              <w:numPr>
                <w:ilvl w:val="0"/>
                <w:numId w:val="11"/>
              </w:numPr>
              <w:ind w:left="454" w:hanging="42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Signs with the radiation ‘trefoil’ symbol and written warnings are </w:t>
            </w:r>
            <w:r w:rsidR="005C2203">
              <w:rPr>
                <w:lang w:val="en-US"/>
              </w:rPr>
              <w:t>posted at appropriate locations</w:t>
            </w:r>
          </w:p>
          <w:p w:rsidR="002C12DC" w:rsidRPr="005C2203" w:rsidRDefault="002C12DC" w:rsidP="005C2203">
            <w:pPr>
              <w:pStyle w:val="ListParagraph"/>
              <w:numPr>
                <w:ilvl w:val="0"/>
                <w:numId w:val="11"/>
              </w:numPr>
              <w:ind w:left="454" w:hanging="425"/>
              <w:jc w:val="both"/>
              <w:rPr>
                <w:spacing w:val="-2"/>
                <w:lang w:val="en-US"/>
              </w:rPr>
            </w:pPr>
            <w:r w:rsidRPr="005C2203">
              <w:rPr>
                <w:spacing w:val="-2"/>
                <w:lang w:val="en-US"/>
              </w:rPr>
              <w:t>The dose rates at occupied areas and outside the CEF are within the li</w:t>
            </w:r>
            <w:r w:rsidR="005C2203" w:rsidRPr="005C2203">
              <w:rPr>
                <w:spacing w:val="-2"/>
                <w:lang w:val="en-US"/>
              </w:rPr>
              <w:t>mits set by ANSI/HPS N43.3-2008</w:t>
            </w:r>
          </w:p>
          <w:p w:rsidR="002C12DC" w:rsidRDefault="002C12DC" w:rsidP="005C2203">
            <w:pPr>
              <w:pStyle w:val="ListParagraph"/>
              <w:numPr>
                <w:ilvl w:val="0"/>
                <w:numId w:val="11"/>
              </w:numPr>
              <w:ind w:left="454" w:hanging="425"/>
              <w:jc w:val="both"/>
              <w:rPr>
                <w:lang w:val="en-US"/>
              </w:rPr>
            </w:pPr>
            <w:r>
              <w:rPr>
                <w:lang w:val="en-US"/>
              </w:rPr>
              <w:t>The DIBP has demonstrated a capacity to comply with sections of ANSI/HPS N43.3-2008 relating to:</w:t>
            </w:r>
          </w:p>
          <w:p w:rsidR="002C12DC" w:rsidRDefault="00B85FD8" w:rsidP="005C2203">
            <w:pPr>
              <w:pStyle w:val="ListParagraph"/>
              <w:numPr>
                <w:ilvl w:val="0"/>
                <w:numId w:val="12"/>
              </w:numPr>
              <w:ind w:left="102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Radiation surveys and re-evaluations by a qualified expert </w:t>
            </w:r>
            <w:r w:rsidR="00134629">
              <w:rPr>
                <w:lang w:val="en-US"/>
              </w:rPr>
              <w:t xml:space="preserve">whenever changes are planned </w:t>
            </w:r>
            <w:r>
              <w:rPr>
                <w:lang w:val="en-US"/>
              </w:rPr>
              <w:t>that would adversely affe</w:t>
            </w:r>
            <w:r w:rsidR="001D6C83">
              <w:rPr>
                <w:lang w:val="en-US"/>
              </w:rPr>
              <w:t>ct radiation protection</w:t>
            </w:r>
          </w:p>
          <w:p w:rsidR="00B85FD8" w:rsidRDefault="00B85FD8" w:rsidP="005C2203">
            <w:pPr>
              <w:pStyle w:val="ListParagraph"/>
              <w:numPr>
                <w:ilvl w:val="0"/>
                <w:numId w:val="12"/>
              </w:numPr>
              <w:ind w:left="102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>The review of</w:t>
            </w:r>
            <w:r w:rsidR="001D6C83">
              <w:rPr>
                <w:lang w:val="en-US"/>
              </w:rPr>
              <w:t xml:space="preserve"> safety instructions/procedures</w:t>
            </w:r>
          </w:p>
          <w:p w:rsidR="00B85FD8" w:rsidRDefault="00B85FD8" w:rsidP="005C2203">
            <w:pPr>
              <w:pStyle w:val="ListParagraph"/>
              <w:numPr>
                <w:ilvl w:val="0"/>
                <w:numId w:val="12"/>
              </w:numPr>
              <w:ind w:left="102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arrangements </w:t>
            </w:r>
            <w:r w:rsidR="004F5993">
              <w:rPr>
                <w:lang w:val="en-US"/>
              </w:rPr>
              <w:t>for periodic inspection of shielding, interloc</w:t>
            </w:r>
            <w:r w:rsidR="001D6C83">
              <w:rPr>
                <w:lang w:val="en-US"/>
              </w:rPr>
              <w:t>ks and other safety devices</w:t>
            </w:r>
          </w:p>
          <w:p w:rsidR="00B85FD8" w:rsidRDefault="004F5993" w:rsidP="005C2203">
            <w:pPr>
              <w:pStyle w:val="ListParagraph"/>
              <w:numPr>
                <w:ilvl w:val="0"/>
                <w:numId w:val="12"/>
              </w:numPr>
              <w:ind w:left="1021" w:hanging="283"/>
              <w:jc w:val="both"/>
              <w:rPr>
                <w:lang w:val="en-US"/>
              </w:rPr>
            </w:pPr>
            <w:r>
              <w:rPr>
                <w:lang w:val="en-US"/>
              </w:rPr>
              <w:t>The development and maintenance of a radiation protection program.</w:t>
            </w:r>
          </w:p>
          <w:p w:rsidR="00D21FC9" w:rsidRPr="00D21FC9" w:rsidRDefault="00D21FC9" w:rsidP="00D21F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is envisaged that future scheduled inspections of DIBP CEFs will further examine compliance against ANSI/HPS N43.3-2008. </w:t>
            </w:r>
          </w:p>
          <w:p w:rsidR="00681A05" w:rsidRPr="00AF4FF3" w:rsidRDefault="00681A05" w:rsidP="00AF4FF3">
            <w:pPr>
              <w:pStyle w:val="Heading1"/>
              <w:outlineLvl w:val="0"/>
            </w:pPr>
            <w:r w:rsidRPr="00AF4FF3">
              <w:t>Findings</w:t>
            </w:r>
          </w:p>
          <w:p w:rsidR="00D13477" w:rsidRPr="00AF4FF3" w:rsidRDefault="00F6231B" w:rsidP="005C2203">
            <w:pPr>
              <w:spacing w:line="240" w:lineRule="auto"/>
              <w:jc w:val="both"/>
              <w:rPr>
                <w:rFonts w:cs="Arial"/>
              </w:rPr>
            </w:pPr>
            <w:r w:rsidRPr="00AF4FF3">
              <w:t xml:space="preserve">The licence holder was found to be in compliance with the requirements of the Act, the Regulations, and licence conditions. </w:t>
            </w:r>
          </w:p>
        </w:tc>
      </w:tr>
    </w:tbl>
    <w:p w:rsidR="00F6231B" w:rsidRPr="00AF4FF3" w:rsidRDefault="00F6231B" w:rsidP="001D6C83">
      <w:bookmarkStart w:id="0" w:name="_GoBack"/>
      <w:bookmarkEnd w:id="0"/>
    </w:p>
    <w:sectPr w:rsidR="00F6231B" w:rsidRPr="00AF4FF3" w:rsidSect="00EF13F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78" w:rsidRDefault="00521978" w:rsidP="00C24160">
      <w:r>
        <w:separator/>
      </w:r>
    </w:p>
  </w:endnote>
  <w:endnote w:type="continuationSeparator" w:id="0">
    <w:p w:rsidR="00521978" w:rsidRDefault="00521978" w:rsidP="00C2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05" w:rsidRPr="003B4502" w:rsidRDefault="00C24160" w:rsidP="000B6360">
    <w:pPr>
      <w:pStyle w:val="Header"/>
      <w:spacing w:before="0"/>
      <w:jc w:val="center"/>
      <w:rPr>
        <w:sz w:val="18"/>
      </w:rPr>
    </w:pPr>
    <w:r w:rsidRPr="003B4502">
      <w:rPr>
        <w:sz w:val="18"/>
      </w:rPr>
      <w:fldChar w:fldCharType="begin"/>
    </w:r>
    <w:r w:rsidRPr="003B4502">
      <w:rPr>
        <w:sz w:val="18"/>
      </w:rPr>
      <w:instrText xml:space="preserve"> PAGE  \* Arabic  \* MERGEFORMAT </w:instrText>
    </w:r>
    <w:r w:rsidRPr="003B4502">
      <w:rPr>
        <w:sz w:val="18"/>
      </w:rPr>
      <w:fldChar w:fldCharType="separate"/>
    </w:r>
    <w:r w:rsidR="001D6C83">
      <w:rPr>
        <w:noProof/>
        <w:sz w:val="18"/>
      </w:rPr>
      <w:t>2</w:t>
    </w:r>
    <w:r w:rsidRPr="003B4502">
      <w:rPr>
        <w:sz w:val="18"/>
      </w:rPr>
      <w:fldChar w:fldCharType="end"/>
    </w:r>
    <w:r w:rsidRPr="003B4502">
      <w:rPr>
        <w:sz w:val="18"/>
      </w:rPr>
      <w:t xml:space="preserve"> of </w:t>
    </w:r>
    <w:r w:rsidRPr="003B4502">
      <w:rPr>
        <w:sz w:val="18"/>
      </w:rPr>
      <w:fldChar w:fldCharType="begin"/>
    </w:r>
    <w:r w:rsidRPr="003B4502">
      <w:rPr>
        <w:sz w:val="18"/>
      </w:rPr>
      <w:instrText xml:space="preserve"> NUMPAGES  \* Arabic  \* MERGEFORMAT </w:instrText>
    </w:r>
    <w:r w:rsidRPr="003B4502">
      <w:rPr>
        <w:sz w:val="18"/>
      </w:rPr>
      <w:fldChar w:fldCharType="separate"/>
    </w:r>
    <w:r w:rsidR="001D6C83">
      <w:rPr>
        <w:noProof/>
        <w:sz w:val="18"/>
      </w:rPr>
      <w:t>2</w:t>
    </w:r>
    <w:r w:rsidRPr="003B4502">
      <w:rPr>
        <w:sz w:val="18"/>
      </w:rPr>
      <w:fldChar w:fldCharType="end"/>
    </w:r>
  </w:p>
  <w:p w:rsidR="00681A05" w:rsidRPr="000B6360" w:rsidRDefault="00681A05" w:rsidP="000B6360">
    <w:pPr>
      <w:pStyle w:val="Header"/>
      <w:spacing w:before="0"/>
      <w:jc w:val="center"/>
      <w:rPr>
        <w:color w:val="FF0000"/>
        <w:sz w:val="18"/>
      </w:rPr>
    </w:pPr>
    <w:r w:rsidRPr="000B6360">
      <w:rPr>
        <w:color w:val="FF0000"/>
        <w:sz w:val="18"/>
      </w:rPr>
      <w:t>UNCLASSIFIED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A3" w:rsidRPr="00E55BEA" w:rsidRDefault="00444AA3" w:rsidP="00EF13FB">
    <w:pPr>
      <w:pStyle w:val="Footer"/>
      <w:tabs>
        <w:tab w:val="clear" w:pos="4513"/>
        <w:tab w:val="clear" w:pos="9026"/>
        <w:tab w:val="left" w:pos="3686"/>
        <w:tab w:val="right" w:pos="9498"/>
      </w:tabs>
      <w:rPr>
        <w:sz w:val="16"/>
        <w:szCs w:val="18"/>
      </w:rPr>
    </w:pPr>
    <w:r w:rsidRPr="00E55BEA">
      <w:rPr>
        <w:noProof/>
        <w:sz w:val="12"/>
      </w:rPr>
      <w:drawing>
        <wp:anchor distT="0" distB="0" distL="114300" distR="114300" simplePos="0" relativeHeight="251657216" behindDoc="0" locked="0" layoutInCell="1" allowOverlap="1" wp14:anchorId="01BBC828" wp14:editId="1BFA531E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20000" cy="54000"/>
          <wp:effectExtent l="0" t="0" r="0" b="3175"/>
          <wp:wrapTopAndBottom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BEA">
      <w:rPr>
        <w:sz w:val="16"/>
      </w:rPr>
      <w:t>619 Lower Plenty Road, Yallambie VIC 3085</w:t>
    </w:r>
    <w:r w:rsidRPr="00E55BEA">
      <w:rPr>
        <w:sz w:val="16"/>
      </w:rPr>
      <w:tab/>
      <w:t>38–40 Urunga Parade, Miranda NSW 2228</w:t>
    </w:r>
    <w:r w:rsidRPr="00E55BEA">
      <w:rPr>
        <w:sz w:val="16"/>
      </w:rPr>
      <w:tab/>
      <w:t>info@arpansa.gov.au</w:t>
    </w:r>
    <w:r w:rsidRPr="00E55BEA">
      <w:rPr>
        <w:sz w:val="16"/>
      </w:rPr>
      <w:br/>
    </w:r>
    <w:r w:rsidRPr="00E55BEA">
      <w:rPr>
        <w:sz w:val="16"/>
        <w:szCs w:val="18"/>
      </w:rPr>
      <w:t>+61 3 9433 2211</w:t>
    </w:r>
    <w:r w:rsidRPr="00E55BEA">
      <w:rPr>
        <w:sz w:val="16"/>
        <w:szCs w:val="18"/>
      </w:rPr>
      <w:tab/>
      <w:t>PO Box 655, Miranda</w:t>
    </w:r>
    <w:r w:rsidR="005C2203">
      <w:rPr>
        <w:sz w:val="16"/>
        <w:szCs w:val="18"/>
      </w:rPr>
      <w:t xml:space="preserve"> NSW</w:t>
    </w:r>
    <w:r w:rsidRPr="00E55BEA">
      <w:rPr>
        <w:sz w:val="16"/>
        <w:szCs w:val="18"/>
      </w:rPr>
      <w:t xml:space="preserve"> </w:t>
    </w:r>
    <w:r w:rsidR="00E42010">
      <w:rPr>
        <w:sz w:val="16"/>
        <w:szCs w:val="18"/>
      </w:rPr>
      <w:t>1490</w:t>
    </w:r>
    <w:r w:rsidRPr="00E55BEA">
      <w:rPr>
        <w:sz w:val="16"/>
        <w:szCs w:val="18"/>
      </w:rPr>
      <w:tab/>
      <w:t>arpansa.gov.au</w:t>
    </w:r>
    <w:r w:rsidRPr="00E55BEA">
      <w:rPr>
        <w:sz w:val="16"/>
        <w:szCs w:val="18"/>
      </w:rPr>
      <w:br/>
    </w:r>
    <w:r w:rsidRPr="00E55BEA">
      <w:rPr>
        <w:sz w:val="16"/>
        <w:szCs w:val="18"/>
      </w:rPr>
      <w:tab/>
      <w:t>+61 2 9541 8333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78" w:rsidRDefault="00521978" w:rsidP="00C24160">
      <w:r>
        <w:separator/>
      </w:r>
    </w:p>
  </w:footnote>
  <w:footnote w:type="continuationSeparator" w:id="0">
    <w:p w:rsidR="00521978" w:rsidRDefault="00521978" w:rsidP="00C2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05" w:rsidRPr="000B6360" w:rsidRDefault="00681A05" w:rsidP="000B6360">
    <w:pPr>
      <w:pStyle w:val="Header"/>
      <w:spacing w:before="0"/>
      <w:jc w:val="center"/>
      <w:rPr>
        <w:color w:val="FF0000"/>
        <w:sz w:val="18"/>
      </w:rPr>
    </w:pPr>
    <w:r w:rsidRPr="000B6360">
      <w:rPr>
        <w:color w:val="FF0000"/>
        <w:sz w:val="18"/>
      </w:rPr>
      <w:t>UNCLASSIFIED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8A" w:rsidRDefault="00FA74F6" w:rsidP="00C24160">
    <w:pPr>
      <w:pStyle w:val="Header"/>
      <w:rPr>
        <w:noProof/>
      </w:rPr>
    </w:pPr>
    <w:r>
      <w:rPr>
        <w:noProof/>
      </w:rPr>
      <w:drawing>
        <wp:inline distT="0" distB="0" distL="0" distR="0" wp14:anchorId="21A648A8" wp14:editId="033E2270">
          <wp:extent cx="6120130" cy="731520"/>
          <wp:effectExtent l="0" t="0" r="0" b="0"/>
          <wp:docPr id="2" name="Picture 2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A4"/>
    <w:multiLevelType w:val="hybridMultilevel"/>
    <w:tmpl w:val="4656D830"/>
    <w:lvl w:ilvl="0" w:tplc="26D878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DBF"/>
    <w:multiLevelType w:val="hybridMultilevel"/>
    <w:tmpl w:val="C52CDF64"/>
    <w:lvl w:ilvl="0" w:tplc="0C09000F">
      <w:start w:val="1"/>
      <w:numFmt w:val="decimal"/>
      <w:lvlText w:val="%1."/>
      <w:lvlJc w:val="left"/>
      <w:pPr>
        <w:ind w:left="1488" w:hanging="360"/>
      </w:p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18F92D37"/>
    <w:multiLevelType w:val="hybridMultilevel"/>
    <w:tmpl w:val="7F56817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13495C"/>
    <w:multiLevelType w:val="hybridMultilevel"/>
    <w:tmpl w:val="258E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40858"/>
    <w:multiLevelType w:val="hybridMultilevel"/>
    <w:tmpl w:val="B4A0E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5173"/>
    <w:multiLevelType w:val="hybridMultilevel"/>
    <w:tmpl w:val="BA1A04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3366"/>
    <w:multiLevelType w:val="hybridMultilevel"/>
    <w:tmpl w:val="0EF8811A"/>
    <w:lvl w:ilvl="0" w:tplc="1FB26854">
      <w:start w:val="1"/>
      <w:numFmt w:val="decimal"/>
      <w:pStyle w:val="ListParagraph"/>
      <w:lvlText w:val="%1."/>
      <w:lvlJc w:val="lef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EB569E"/>
    <w:multiLevelType w:val="hybridMultilevel"/>
    <w:tmpl w:val="48C2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A08E7"/>
    <w:multiLevelType w:val="hybridMultilevel"/>
    <w:tmpl w:val="C52CDF64"/>
    <w:lvl w:ilvl="0" w:tplc="0C09000F">
      <w:start w:val="1"/>
      <w:numFmt w:val="decimal"/>
      <w:lvlText w:val="%1."/>
      <w:lvlJc w:val="left"/>
      <w:pPr>
        <w:ind w:left="1488" w:hanging="360"/>
      </w:p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78"/>
    <w:rsid w:val="000225FD"/>
    <w:rsid w:val="000438E9"/>
    <w:rsid w:val="000B6360"/>
    <w:rsid w:val="000D5B5E"/>
    <w:rsid w:val="000E44B6"/>
    <w:rsid w:val="000F2FD1"/>
    <w:rsid w:val="000F73FB"/>
    <w:rsid w:val="00134629"/>
    <w:rsid w:val="001511CB"/>
    <w:rsid w:val="00157C38"/>
    <w:rsid w:val="00167548"/>
    <w:rsid w:val="00193685"/>
    <w:rsid w:val="00197595"/>
    <w:rsid w:val="00197ECB"/>
    <w:rsid w:val="001A40BA"/>
    <w:rsid w:val="001D6C83"/>
    <w:rsid w:val="00207259"/>
    <w:rsid w:val="00216916"/>
    <w:rsid w:val="002177B4"/>
    <w:rsid w:val="00226630"/>
    <w:rsid w:val="002C12DC"/>
    <w:rsid w:val="002D6DA2"/>
    <w:rsid w:val="002E1A84"/>
    <w:rsid w:val="002E4CC0"/>
    <w:rsid w:val="002F6CB5"/>
    <w:rsid w:val="00325CB7"/>
    <w:rsid w:val="00335AD9"/>
    <w:rsid w:val="00337761"/>
    <w:rsid w:val="00367BC4"/>
    <w:rsid w:val="003751E3"/>
    <w:rsid w:val="003922E1"/>
    <w:rsid w:val="00392FF8"/>
    <w:rsid w:val="003B4502"/>
    <w:rsid w:val="003F02E6"/>
    <w:rsid w:val="00417E86"/>
    <w:rsid w:val="004316C2"/>
    <w:rsid w:val="004374EB"/>
    <w:rsid w:val="00444AA3"/>
    <w:rsid w:val="0044719E"/>
    <w:rsid w:val="004770D2"/>
    <w:rsid w:val="00497EDB"/>
    <w:rsid w:val="004A0840"/>
    <w:rsid w:val="004D1298"/>
    <w:rsid w:val="004E4746"/>
    <w:rsid w:val="004F5993"/>
    <w:rsid w:val="00500E9F"/>
    <w:rsid w:val="00516794"/>
    <w:rsid w:val="005172A7"/>
    <w:rsid w:val="00521978"/>
    <w:rsid w:val="0052228C"/>
    <w:rsid w:val="00581F0B"/>
    <w:rsid w:val="005C07EC"/>
    <w:rsid w:val="005C2203"/>
    <w:rsid w:val="00601A15"/>
    <w:rsid w:val="00612B24"/>
    <w:rsid w:val="00625830"/>
    <w:rsid w:val="00681A05"/>
    <w:rsid w:val="006A6EB0"/>
    <w:rsid w:val="00701BEF"/>
    <w:rsid w:val="00717AC6"/>
    <w:rsid w:val="00745076"/>
    <w:rsid w:val="00766FC8"/>
    <w:rsid w:val="0077539A"/>
    <w:rsid w:val="007A60D9"/>
    <w:rsid w:val="007D0730"/>
    <w:rsid w:val="007E10ED"/>
    <w:rsid w:val="007E58E7"/>
    <w:rsid w:val="007F1F42"/>
    <w:rsid w:val="0086366A"/>
    <w:rsid w:val="008703D1"/>
    <w:rsid w:val="008902AB"/>
    <w:rsid w:val="00895D9E"/>
    <w:rsid w:val="009276D8"/>
    <w:rsid w:val="0093576E"/>
    <w:rsid w:val="00946B99"/>
    <w:rsid w:val="00947FA8"/>
    <w:rsid w:val="0096748A"/>
    <w:rsid w:val="00995397"/>
    <w:rsid w:val="009A3A9E"/>
    <w:rsid w:val="009D1AE2"/>
    <w:rsid w:val="009D55DF"/>
    <w:rsid w:val="009F634B"/>
    <w:rsid w:val="00A100E1"/>
    <w:rsid w:val="00A24176"/>
    <w:rsid w:val="00A5493A"/>
    <w:rsid w:val="00A66702"/>
    <w:rsid w:val="00A821B8"/>
    <w:rsid w:val="00A94EEB"/>
    <w:rsid w:val="00AB5423"/>
    <w:rsid w:val="00AD55AD"/>
    <w:rsid w:val="00AF30BF"/>
    <w:rsid w:val="00AF4FF3"/>
    <w:rsid w:val="00B00092"/>
    <w:rsid w:val="00B06FF1"/>
    <w:rsid w:val="00B73D10"/>
    <w:rsid w:val="00B85FD8"/>
    <w:rsid w:val="00BC71BB"/>
    <w:rsid w:val="00C24160"/>
    <w:rsid w:val="00C40253"/>
    <w:rsid w:val="00C62916"/>
    <w:rsid w:val="00C750D2"/>
    <w:rsid w:val="00CD208A"/>
    <w:rsid w:val="00CE038F"/>
    <w:rsid w:val="00CF1BE9"/>
    <w:rsid w:val="00D121FA"/>
    <w:rsid w:val="00D13477"/>
    <w:rsid w:val="00D13883"/>
    <w:rsid w:val="00D178A5"/>
    <w:rsid w:val="00D21FC9"/>
    <w:rsid w:val="00D3203F"/>
    <w:rsid w:val="00D57F09"/>
    <w:rsid w:val="00D93A4D"/>
    <w:rsid w:val="00D9552A"/>
    <w:rsid w:val="00DB1D73"/>
    <w:rsid w:val="00DD41FB"/>
    <w:rsid w:val="00DF7033"/>
    <w:rsid w:val="00E42010"/>
    <w:rsid w:val="00E54886"/>
    <w:rsid w:val="00E55BEA"/>
    <w:rsid w:val="00E7298C"/>
    <w:rsid w:val="00E82DBA"/>
    <w:rsid w:val="00E82F1F"/>
    <w:rsid w:val="00EA4C2C"/>
    <w:rsid w:val="00ED43CA"/>
    <w:rsid w:val="00EE0FD5"/>
    <w:rsid w:val="00EF13FB"/>
    <w:rsid w:val="00F06840"/>
    <w:rsid w:val="00F27856"/>
    <w:rsid w:val="00F36384"/>
    <w:rsid w:val="00F41174"/>
    <w:rsid w:val="00F6231B"/>
    <w:rsid w:val="00F85F60"/>
    <w:rsid w:val="00FA74F6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5FD914"/>
  <w15:docId w15:val="{4ACB3F43-7580-48BB-8851-73B5B258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83"/>
    <w:pPr>
      <w:spacing w:before="240" w:after="0" w:line="264" w:lineRule="auto"/>
    </w:pPr>
    <w:rPr>
      <w:rFonts w:eastAsiaTheme="minorEastAsia"/>
      <w:color w:val="262626" w:themeColor="text1" w:themeTint="D9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FF3"/>
    <w:pPr>
      <w:keepNext/>
      <w:keepLines/>
      <w:outlineLvl w:val="0"/>
    </w:pPr>
    <w:rPr>
      <w:rFonts w:eastAsiaTheme="majorEastAsia" w:cstheme="majorBidi"/>
      <w:b/>
      <w:bCs/>
      <w:color w:val="4E1A7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0D2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81A05"/>
    <w:pPr>
      <w:spacing w:before="200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81A05"/>
    <w:pPr>
      <w:spacing w:before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A05"/>
    <w:rPr>
      <w:rFonts w:eastAsiaTheme="minorEastAsia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68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24160"/>
    <w:pPr>
      <w:spacing w:before="120" w:after="120"/>
      <w:jc w:val="center"/>
    </w:pPr>
    <w:rPr>
      <w:b/>
      <w:color w:val="4E1A74"/>
      <w:spacing w:val="10"/>
      <w:kern w:val="28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24160"/>
    <w:rPr>
      <w:rFonts w:eastAsiaTheme="minorEastAsia"/>
      <w:b/>
      <w:color w:val="4E1A74"/>
      <w:spacing w:val="10"/>
      <w:kern w:val="28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4770D2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AF4FF3"/>
    <w:rPr>
      <w:rFonts w:eastAsiaTheme="majorEastAsia" w:cstheme="majorBidi"/>
      <w:b/>
      <w:bCs/>
      <w:color w:val="4E1A74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770D2"/>
    <w:rPr>
      <w:rFonts w:ascii="Calibri" w:eastAsiaTheme="majorEastAsia" w:hAnsi="Calibri" w:cstheme="majorBidi"/>
      <w:b/>
      <w:bCs/>
      <w:i/>
      <w:color w:val="262626" w:themeColor="text1" w:themeTint="D9"/>
      <w:sz w:val="20"/>
      <w:szCs w:val="20"/>
      <w:lang w:eastAsia="en-AU"/>
    </w:rPr>
  </w:style>
  <w:style w:type="paragraph" w:customStyle="1" w:styleId="H11">
    <w:name w:val="H1(1)"/>
    <w:basedOn w:val="Normal"/>
    <w:rsid w:val="00ED43CA"/>
    <w:pPr>
      <w:spacing w:before="200" w:after="200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customStyle="1" w:styleId="Heading3list">
    <w:name w:val="Heading3list"/>
    <w:basedOn w:val="Normal"/>
    <w:rsid w:val="00F6231B"/>
    <w:pPr>
      <w:spacing w:before="200" w:after="200"/>
    </w:pPr>
    <w:rPr>
      <w:rFonts w:asciiTheme="majorHAnsi" w:hAnsiTheme="majorHAnsi"/>
      <w:b/>
      <w:color w:val="548DD4" w:themeColor="text2" w:themeTint="99"/>
      <w:sz w:val="24"/>
      <w:szCs w:val="24"/>
    </w:rPr>
  </w:style>
  <w:style w:type="character" w:styleId="Emphasis">
    <w:name w:val="Emphasis"/>
    <w:uiPriority w:val="20"/>
    <w:qFormat/>
    <w:rsid w:val="00F6231B"/>
    <w:rPr>
      <w:caps/>
      <w:color w:val="243F60" w:themeColor="accent1" w:themeShade="7F"/>
      <w:spacing w:val="5"/>
    </w:rPr>
  </w:style>
  <w:style w:type="table" w:customStyle="1" w:styleId="LightShading-Accent11">
    <w:name w:val="Light Shading - Accent 11"/>
    <w:basedOn w:val="TableNormal"/>
    <w:uiPriority w:val="60"/>
    <w:rsid w:val="00F6231B"/>
    <w:pPr>
      <w:spacing w:before="200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ubtleEmphasis">
    <w:name w:val="Subtle Emphasis"/>
    <w:uiPriority w:val="19"/>
    <w:qFormat/>
    <w:rsid w:val="00F6231B"/>
    <w:rPr>
      <w:i/>
      <w:iCs/>
      <w:color w:val="243F60" w:themeColor="accent1" w:themeShade="7F"/>
    </w:rPr>
  </w:style>
  <w:style w:type="table" w:styleId="LightShading-Accent4">
    <w:name w:val="Light Shading Accent 4"/>
    <w:basedOn w:val="TableNormal"/>
    <w:uiPriority w:val="60"/>
    <w:rsid w:val="00FA74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770D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922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E1"/>
    <w:pPr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E1"/>
    <w:rPr>
      <w:rFonts w:eastAsiaTheme="minorEastAsia"/>
      <w:b/>
      <w:bCs/>
      <w:color w:val="262626" w:themeColor="text1" w:themeTint="D9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aia\AppData\Local\Hewlett-Packard\HP%20TRIM\TEMP\HPTRIM.4976\R11%2012275%20%20REPORT%20TEMPLATE%20%20Inspection%20Report%20v8.2%20April%202017%20REG-INS-FORM-280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21ED77C3F840DBAF401C1BEDA4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C052-1536-45D3-A8D2-41D166921562}"/>
      </w:docPartPr>
      <w:docPartBody>
        <w:p w:rsidR="00607B2E" w:rsidRDefault="00607B2E">
          <w:pPr>
            <w:pStyle w:val="B421ED77C3F840DBAF401C1BEDA4492E"/>
          </w:pPr>
          <w:r w:rsidRPr="00755264">
            <w:rPr>
              <w:rStyle w:val="PlaceholderText"/>
            </w:rPr>
            <w:t>[Title]</w:t>
          </w:r>
        </w:p>
      </w:docPartBody>
    </w:docPart>
    <w:docPart>
      <w:docPartPr>
        <w:name w:val="12D40642D0444B339C85B23000ABB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2EB9-F2FC-445B-B346-A24F515FE90A}"/>
      </w:docPartPr>
      <w:docPartBody>
        <w:p w:rsidR="00607B2E" w:rsidRDefault="00607B2E">
          <w:pPr>
            <w:pStyle w:val="12D40642D0444B339C85B23000ABB115"/>
          </w:pPr>
          <w:r w:rsidRPr="0075526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2E"/>
    <w:rsid w:val="006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21ED77C3F840DBAF401C1BEDA4492E">
    <w:name w:val="B421ED77C3F840DBAF401C1BEDA4492E"/>
  </w:style>
  <w:style w:type="paragraph" w:customStyle="1" w:styleId="A851F8C16F3A44E7A1C047F739526C81">
    <w:name w:val="A851F8C16F3A44E7A1C047F739526C81"/>
  </w:style>
  <w:style w:type="paragraph" w:customStyle="1" w:styleId="D30F4A7C517044E384AFA7BC2231A603">
    <w:name w:val="D30F4A7C517044E384AFA7BC2231A603"/>
  </w:style>
  <w:style w:type="paragraph" w:customStyle="1" w:styleId="659E1091556E448494D8FDB8F57F0139">
    <w:name w:val="659E1091556E448494D8FDB8F57F0139"/>
  </w:style>
  <w:style w:type="paragraph" w:customStyle="1" w:styleId="482892964F984DB1B24C4FDB7BB89B1B">
    <w:name w:val="482892964F984DB1B24C4FDB7BB89B1B"/>
  </w:style>
  <w:style w:type="paragraph" w:customStyle="1" w:styleId="38799FA291444099A4F4FDB954A0B1ED">
    <w:name w:val="38799FA291444099A4F4FDB954A0B1ED"/>
  </w:style>
  <w:style w:type="paragraph" w:customStyle="1" w:styleId="12D40642D0444B339C85B23000ABB115">
    <w:name w:val="12D40642D0444B339C85B23000ABB115"/>
  </w:style>
  <w:style w:type="paragraph" w:customStyle="1" w:styleId="0BCBB884628545688CF44233934C6A17">
    <w:name w:val="0BCBB884628545688CF44233934C6A17"/>
  </w:style>
  <w:style w:type="paragraph" w:customStyle="1" w:styleId="06E811EDD28840FB92AAF187E73547E2">
    <w:name w:val="06E811EDD28840FB92AAF187E73547E2"/>
  </w:style>
  <w:style w:type="paragraph" w:customStyle="1" w:styleId="3D95118928234C62878F5B9D91F71375">
    <w:name w:val="3D95118928234C62878F5B9D91F71375"/>
  </w:style>
  <w:style w:type="paragraph" w:customStyle="1" w:styleId="8490DF02A88A45BC9375733CE6EFDA44">
    <w:name w:val="8490DF02A88A45BC9375733CE6EFDA44"/>
  </w:style>
  <w:style w:type="paragraph" w:customStyle="1" w:styleId="3C93D79DEF214215B869C310F72417E5">
    <w:name w:val="3C93D79DEF214215B869C310F72417E5"/>
  </w:style>
  <w:style w:type="paragraph" w:customStyle="1" w:styleId="9190839914DD4F25B6D1EF574B010EFF">
    <w:name w:val="9190839914DD4F25B6D1EF574B010EFF"/>
  </w:style>
  <w:style w:type="paragraph" w:customStyle="1" w:styleId="2A6E49895DE74E6BB9A740D9AF6E8128">
    <w:name w:val="2A6E49895DE74E6BB9A740D9AF6E8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16B4172-B09C-4431-9BF7-FD5E7506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R11 12275  REPORT TEMPLATE  Inspection Report v8.2 April 2017 REG-INS-FORM-280M.DOTX</Template>
  <TotalTime>15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DIBP’s</vt:lpstr>
    </vt:vector>
  </TitlesOfParts>
  <Company>ARPANSA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Immigration and Border Protection</dc:title>
  <dc:subject>ARPANSA Inspection Reports</dc:subject>
  <dc:creator>kalaia</dc:creator>
  <cp:keywords>&lt;S/FXXXX&gt;</cp:keywords>
  <cp:lastModifiedBy>sforcl</cp:lastModifiedBy>
  <cp:revision>3</cp:revision>
  <cp:lastPrinted>2017-06-23T04:40:00Z</cp:lastPrinted>
  <dcterms:created xsi:type="dcterms:W3CDTF">2017-06-27T04:04:00Z</dcterms:created>
  <dcterms:modified xsi:type="dcterms:W3CDTF">2017-06-27T04:18:00Z</dcterms:modified>
</cp:coreProperties>
</file>