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D2" w:rsidRPr="00873291" w:rsidRDefault="00873291" w:rsidP="00C750D2">
      <w:pPr>
        <w:jc w:val="center"/>
        <w:rPr>
          <w:b/>
          <w:color w:val="4E1A74"/>
          <w:spacing w:val="10"/>
          <w:kern w:val="28"/>
          <w:sz w:val="48"/>
          <w:szCs w:val="48"/>
        </w:rPr>
      </w:pPr>
      <w:r w:rsidRPr="00873291">
        <w:rPr>
          <w:b/>
          <w:color w:val="4E1A74"/>
          <w:spacing w:val="10"/>
          <w:kern w:val="28"/>
          <w:sz w:val="48"/>
          <w:szCs w:val="48"/>
        </w:rPr>
        <w:t>Inspection report</w:t>
      </w:r>
    </w:p>
    <w:tbl>
      <w:tblPr>
        <w:tblStyle w:val="TableGrid1"/>
        <w:tblW w:w="9639" w:type="dxa"/>
        <w:tblLook w:val="04A0" w:firstRow="1" w:lastRow="0" w:firstColumn="1" w:lastColumn="0" w:noHBand="0" w:noVBand="1"/>
      </w:tblPr>
      <w:tblGrid>
        <w:gridCol w:w="6232"/>
        <w:gridCol w:w="3407"/>
      </w:tblGrid>
      <w:tr w:rsidR="00681A05" w:rsidRPr="00AF4FF3" w:rsidTr="007E4547">
        <w:trPr>
          <w:trHeight w:val="567"/>
        </w:trPr>
        <w:tc>
          <w:tcPr>
            <w:tcW w:w="6232" w:type="dxa"/>
            <w:vAlign w:val="center"/>
          </w:tcPr>
          <w:p w:rsidR="00681A05" w:rsidRPr="00102CB0" w:rsidRDefault="00681A05" w:rsidP="00E623FA">
            <w:pPr>
              <w:spacing w:before="120"/>
              <w:rPr>
                <w:color w:val="auto"/>
              </w:rPr>
            </w:pPr>
            <w:r w:rsidRPr="00AF4FF3">
              <w:rPr>
                <w:b/>
                <w:color w:val="4E1A74"/>
              </w:rPr>
              <w:t>Licence Holder</w:t>
            </w:r>
            <w:r w:rsidRPr="00AF4FF3">
              <w:rPr>
                <w:color w:val="4E1A74"/>
              </w:rPr>
              <w:t>:</w:t>
            </w:r>
            <w:r w:rsidR="00102CB0">
              <w:rPr>
                <w:color w:val="4E1A74"/>
              </w:rPr>
              <w:t xml:space="preserve"> </w:t>
            </w:r>
            <w:r w:rsidR="00102CB0">
              <w:rPr>
                <w:color w:val="auto"/>
              </w:rPr>
              <w:t>ASC Pty Ltd and ASC AWD Shipbuilder Pty Ltd (ASC)</w:t>
            </w:r>
          </w:p>
        </w:tc>
        <w:tc>
          <w:tcPr>
            <w:tcW w:w="3407" w:type="dxa"/>
            <w:vAlign w:val="center"/>
          </w:tcPr>
          <w:p w:rsidR="00681A05" w:rsidRPr="00AF4FF3" w:rsidRDefault="00681A05" w:rsidP="00E623FA">
            <w:pPr>
              <w:tabs>
                <w:tab w:val="right" w:pos="3680"/>
              </w:tabs>
            </w:pPr>
            <w:r w:rsidRPr="00AF4FF3">
              <w:rPr>
                <w:b/>
                <w:color w:val="4E1A74"/>
              </w:rPr>
              <w:t>Licence Number:</w:t>
            </w:r>
            <w:r w:rsidR="00B06FF1" w:rsidRPr="00AF4FF3">
              <w:rPr>
                <w:b/>
                <w:color w:val="4E1A74"/>
              </w:rPr>
              <w:t xml:space="preserve"> </w:t>
            </w:r>
            <w:r w:rsidR="00E623FA">
              <w:rPr>
                <w:b/>
                <w:color w:val="4E1A74"/>
              </w:rPr>
              <w:t xml:space="preserve"> </w:t>
            </w:r>
            <w:sdt>
              <w:sdtPr>
                <w:alias w:val="Licence Number"/>
                <w:tag w:val=""/>
                <w:id w:val="-1058091660"/>
                <w:placeholder>
                  <w:docPart w:val="DC223F8BA1DA429CB18A677FF0A73D85"/>
                </w:placeholder>
                <w:dataBinding w:prefixMappings="xmlns:ns0='http://purl.org/dc/elements/1.1/' xmlns:ns1='http://schemas.openxmlformats.org/package/2006/metadata/core-properties' " w:xpath="/ns1:coreProperties[1]/ns1:keywords[1]" w:storeItemID="{6C3C8BC8-F283-45AE-878A-BAB7291924A1}"/>
                <w:text/>
              </w:sdtPr>
              <w:sdtEndPr/>
              <w:sdtContent>
                <w:r w:rsidR="00E623FA">
                  <w:t>S0190</w:t>
                </w:r>
              </w:sdtContent>
            </w:sdt>
          </w:p>
        </w:tc>
      </w:tr>
      <w:tr w:rsidR="00681A05" w:rsidRPr="00AF4FF3" w:rsidTr="007E4547">
        <w:trPr>
          <w:trHeight w:val="450"/>
        </w:trPr>
        <w:tc>
          <w:tcPr>
            <w:tcW w:w="6232" w:type="dxa"/>
            <w:vMerge w:val="restart"/>
          </w:tcPr>
          <w:p w:rsidR="00392FF8" w:rsidRPr="00AF4FF3" w:rsidRDefault="00102CB0" w:rsidP="00A24176">
            <w:pPr>
              <w:spacing w:before="120"/>
              <w:rPr>
                <w:b/>
                <w:color w:val="4E1A74"/>
              </w:rPr>
            </w:pPr>
            <w:r>
              <w:rPr>
                <w:b/>
                <w:color w:val="4E1A74"/>
              </w:rPr>
              <w:t xml:space="preserve">Location inspected: </w:t>
            </w:r>
            <w:r>
              <w:t>Osborne, SA</w:t>
            </w:r>
          </w:p>
          <w:p w:rsidR="00681A05" w:rsidRPr="00AF4FF3" w:rsidRDefault="00681A05" w:rsidP="00E623FA">
            <w:pPr>
              <w:spacing w:before="120"/>
              <w:rPr>
                <w:b/>
                <w:color w:val="4E1A74"/>
              </w:rPr>
            </w:pPr>
          </w:p>
        </w:tc>
        <w:tc>
          <w:tcPr>
            <w:tcW w:w="3407" w:type="dxa"/>
            <w:vAlign w:val="center"/>
          </w:tcPr>
          <w:p w:rsidR="00681A05" w:rsidRPr="00AF4FF3" w:rsidRDefault="00681A05" w:rsidP="00E623FA">
            <w:pPr>
              <w:tabs>
                <w:tab w:val="right" w:pos="3680"/>
              </w:tabs>
            </w:pPr>
            <w:r w:rsidRPr="00AF4FF3">
              <w:rPr>
                <w:b/>
                <w:color w:val="4E1A74"/>
              </w:rPr>
              <w:t>Date</w:t>
            </w:r>
            <w:r w:rsidR="00A24176" w:rsidRPr="00AF4FF3">
              <w:rPr>
                <w:b/>
                <w:color w:val="4E1A74"/>
              </w:rPr>
              <w:t>/s</w:t>
            </w:r>
            <w:r w:rsidRPr="00AF4FF3">
              <w:rPr>
                <w:b/>
                <w:color w:val="4E1A74"/>
              </w:rPr>
              <w:t xml:space="preserve"> of inspection:</w:t>
            </w:r>
            <w:r w:rsidR="00392FF8" w:rsidRPr="00AF4FF3">
              <w:t xml:space="preserve"> </w:t>
            </w:r>
            <w:r w:rsidR="00E623FA">
              <w:t>25 May 2017</w:t>
            </w:r>
            <w:r w:rsidR="00AF4FF3" w:rsidRPr="00AF4FF3">
              <w:t xml:space="preserve"> </w:t>
            </w:r>
          </w:p>
        </w:tc>
      </w:tr>
      <w:tr w:rsidR="00681A05" w:rsidRPr="00AF4FF3" w:rsidTr="007E4547">
        <w:trPr>
          <w:trHeight w:val="450"/>
        </w:trPr>
        <w:tc>
          <w:tcPr>
            <w:tcW w:w="6232" w:type="dxa"/>
            <w:vMerge/>
            <w:vAlign w:val="center"/>
          </w:tcPr>
          <w:p w:rsidR="00681A05" w:rsidRPr="00AF4FF3" w:rsidRDefault="00681A05" w:rsidP="00C24160">
            <w:pPr>
              <w:spacing w:before="120"/>
              <w:rPr>
                <w:b/>
                <w:color w:val="4E1A74"/>
              </w:rPr>
            </w:pPr>
          </w:p>
        </w:tc>
        <w:tc>
          <w:tcPr>
            <w:tcW w:w="3407" w:type="dxa"/>
            <w:vAlign w:val="center"/>
          </w:tcPr>
          <w:p w:rsidR="00681A05" w:rsidRPr="00AF4FF3" w:rsidRDefault="00681A05" w:rsidP="00D65145">
            <w:pPr>
              <w:tabs>
                <w:tab w:val="right" w:pos="3680"/>
              </w:tabs>
            </w:pPr>
            <w:r w:rsidRPr="00AF4FF3">
              <w:rPr>
                <w:b/>
                <w:color w:val="4E1A74"/>
              </w:rPr>
              <w:t>Report No:</w:t>
            </w:r>
            <w:r w:rsidR="00392FF8" w:rsidRPr="00AF4FF3">
              <w:t xml:space="preserve"> </w:t>
            </w:r>
            <w:r w:rsidR="00482290" w:rsidRPr="00482290">
              <w:t>R17/</w:t>
            </w:r>
            <w:r w:rsidR="00482290">
              <w:t>07105</w:t>
            </w:r>
          </w:p>
        </w:tc>
      </w:tr>
      <w:tr w:rsidR="00681A05" w:rsidRPr="00AF4FF3" w:rsidTr="007E4547">
        <w:tc>
          <w:tcPr>
            <w:tcW w:w="9639" w:type="dxa"/>
            <w:gridSpan w:val="2"/>
            <w:tcMar>
              <w:bottom w:w="85" w:type="dxa"/>
            </w:tcMar>
          </w:tcPr>
          <w:p w:rsidR="00ED43CA" w:rsidRPr="00AF4FF3" w:rsidRDefault="00ED43CA" w:rsidP="00AF4FF3">
            <w:pPr>
              <w:rPr>
                <w:b/>
              </w:rPr>
            </w:pPr>
            <w:r w:rsidRPr="00AF4FF3">
              <w:t xml:space="preserve">An inspection was conducted as part of ARPANSA’s baseline inspection program to assess compliance with the </w:t>
            </w:r>
            <w:r w:rsidRPr="00AF4FF3">
              <w:rPr>
                <w:i/>
              </w:rPr>
              <w:t>Australian Radiation Protection and Nuclear Safety Act 1998</w:t>
            </w:r>
            <w:r w:rsidRPr="00AF4FF3">
              <w:t xml:space="preserve"> (the Act), the Australian Radiation Protection and Nuclear Safety Regulations 1999 (the Regulations), and conditions of</w:t>
            </w:r>
            <w:r w:rsidR="00392FF8" w:rsidRPr="00AF4FF3">
              <w:t xml:space="preserve"> </w:t>
            </w:r>
            <w:r w:rsidRPr="00D65145">
              <w:rPr>
                <w:color w:val="auto"/>
              </w:rPr>
              <w:t>Source</w:t>
            </w:r>
            <w:r w:rsidR="00D65145" w:rsidRPr="00D65145">
              <w:rPr>
                <w:color w:val="auto"/>
              </w:rPr>
              <w:t xml:space="preserve"> </w:t>
            </w:r>
            <w:r w:rsidRPr="00AF4FF3">
              <w:rPr>
                <w:color w:val="auto"/>
              </w:rPr>
              <w:t>Licence</w:t>
            </w:r>
            <w:r w:rsidR="00193685" w:rsidRPr="00AF4FF3">
              <w:rPr>
                <w:color w:val="FF0000"/>
              </w:rPr>
              <w:t xml:space="preserve"> </w:t>
            </w:r>
            <w:sdt>
              <w:sdtPr>
                <w:alias w:val="Licence Number"/>
                <w:tag w:val=""/>
                <w:id w:val="646793422"/>
                <w:placeholder>
                  <w:docPart w:val="1DA7ACDF02334154971CF31665BF3AFE"/>
                </w:placeholder>
                <w:dataBinding w:prefixMappings="xmlns:ns0='http://purl.org/dc/elements/1.1/' xmlns:ns1='http://schemas.openxmlformats.org/package/2006/metadata/core-properties' " w:xpath="/ns1:coreProperties[1]/ns1:keywords[1]" w:storeItemID="{6C3C8BC8-F283-45AE-878A-BAB7291924A1}"/>
                <w:text/>
              </w:sdtPr>
              <w:sdtEndPr/>
              <w:sdtContent>
                <w:r w:rsidR="00E623FA">
                  <w:t>S0190</w:t>
                </w:r>
              </w:sdtContent>
            </w:sdt>
            <w:r w:rsidRPr="00AF4FF3">
              <w:rPr>
                <w:color w:val="auto"/>
              </w:rPr>
              <w:t>.</w:t>
            </w:r>
          </w:p>
          <w:p w:rsidR="00ED43CA" w:rsidRPr="00D65145" w:rsidRDefault="00ED43CA" w:rsidP="00AF4FF3">
            <w:pPr>
              <w:rPr>
                <w:color w:val="auto"/>
              </w:rPr>
            </w:pPr>
            <w:r w:rsidRPr="00D65145">
              <w:rPr>
                <w:color w:val="auto"/>
              </w:rPr>
              <w:t xml:space="preserve">The scope of the inspection included an assessment </w:t>
            </w:r>
            <w:r w:rsidR="00197ECB" w:rsidRPr="00D65145">
              <w:rPr>
                <w:color w:val="auto"/>
              </w:rPr>
              <w:t xml:space="preserve">of </w:t>
            </w:r>
            <w:r w:rsidR="00D65145">
              <w:rPr>
                <w:color w:val="auto"/>
              </w:rPr>
              <w:t xml:space="preserve">ASC’s </w:t>
            </w:r>
            <w:r w:rsidRPr="00D65145">
              <w:rPr>
                <w:color w:val="auto"/>
              </w:rPr>
              <w:t xml:space="preserve">performance against the Source Performance Objectives and Criteria (PO&amp;Cs) </w:t>
            </w:r>
            <w:r w:rsidR="00D65145" w:rsidRPr="00D65145">
              <w:rPr>
                <w:color w:val="auto"/>
              </w:rPr>
              <w:t>and arrangements for sealed source security.</w:t>
            </w:r>
            <w:r w:rsidR="00F06840" w:rsidRPr="00D65145">
              <w:rPr>
                <w:color w:val="auto"/>
              </w:rPr>
              <w:t xml:space="preserve"> The inspection </w:t>
            </w:r>
            <w:r w:rsidRPr="00D65145">
              <w:rPr>
                <w:color w:val="auto"/>
              </w:rPr>
              <w:t xml:space="preserve">consisted of a review of records, interviews, and physical inspection of sources. </w:t>
            </w:r>
          </w:p>
          <w:p w:rsidR="00681A05" w:rsidRPr="00AF4FF3" w:rsidRDefault="00681A05" w:rsidP="007E4547">
            <w:pPr>
              <w:pStyle w:val="Heading1"/>
              <w:outlineLvl w:val="0"/>
            </w:pPr>
            <w:r w:rsidRPr="007E4547">
              <w:t>Background</w:t>
            </w:r>
          </w:p>
          <w:p w:rsidR="00961BAB" w:rsidRPr="00961BAB" w:rsidRDefault="00961BAB" w:rsidP="00961BAB">
            <w:r w:rsidRPr="00961BAB">
              <w:t>ASC provides non-destructive testing (NDT) and inspection services to the Department of Defence in the building and maintenance of naval vessels.</w:t>
            </w:r>
          </w:p>
          <w:p w:rsidR="00961BAB" w:rsidRPr="00961BAB" w:rsidRDefault="00961BAB" w:rsidP="00961BAB">
            <w:r w:rsidRPr="00961BAB">
              <w:t>ASC is licensed to deal with industrial radiography sources and X-ray equipment, magnetic field NDT devices, and partially enclosed x-ray analysis units.</w:t>
            </w:r>
          </w:p>
          <w:p w:rsidR="00207259" w:rsidRPr="00AF4FF3" w:rsidRDefault="00961BAB" w:rsidP="00961BAB">
            <w:r w:rsidRPr="00961BAB">
              <w:t>ASC holds certification to ISO 9001, ISO 14001, ISO 4801, and NATA accreditation for its NDT work.</w:t>
            </w:r>
          </w:p>
          <w:p w:rsidR="00681A05" w:rsidRPr="007E4547" w:rsidRDefault="00681A05" w:rsidP="00AF4FF3">
            <w:pPr>
              <w:pStyle w:val="Heading1"/>
              <w:outlineLvl w:val="0"/>
            </w:pPr>
            <w:r w:rsidRPr="00AF4FF3">
              <w:t>Observations</w:t>
            </w:r>
          </w:p>
          <w:p w:rsidR="000E44B6" w:rsidRPr="00AF4FF3" w:rsidRDefault="00961BAB" w:rsidP="004770D2">
            <w:pPr>
              <w:pStyle w:val="Heading2"/>
              <w:outlineLvl w:val="1"/>
            </w:pPr>
            <w:r>
              <w:t>Performance Report &amp; Verification</w:t>
            </w:r>
          </w:p>
          <w:p w:rsidR="000479AC" w:rsidRDefault="00961BAB" w:rsidP="00961BAB">
            <w:r w:rsidRPr="00961BAB">
              <w:t>ASC’s quarterly reports were submitted to ARPAN</w:t>
            </w:r>
            <w:bookmarkStart w:id="0" w:name="_GoBack"/>
            <w:bookmarkEnd w:id="0"/>
            <w:r w:rsidRPr="00961BAB">
              <w:t xml:space="preserve">SA in a timely manner over the past two years, and contained relevant information, including details of compliance with the Act and the Regulations. </w:t>
            </w:r>
          </w:p>
          <w:p w:rsidR="00AF4FF3" w:rsidRDefault="00961BAB" w:rsidP="00961BAB">
            <w:r w:rsidRPr="00961BAB">
              <w:t xml:space="preserve">Under section 3.5.9 of ASC’s </w:t>
            </w:r>
            <w:r w:rsidRPr="00C50548">
              <w:rPr>
                <w:i/>
              </w:rPr>
              <w:t>Radiation Safety Manual</w:t>
            </w:r>
            <w:r w:rsidRPr="00961BAB">
              <w:t xml:space="preserve"> (RSM), a source inventory log is kept at the security gate to account for sealed sources entering and leaving the ASC site.  Security personnel check the log and ASC’s Radiation Protection Officer (RPO) reviews it every 3 months to inform ASC’s compliance with its quarterly reporting obligations to ARPANSA</w:t>
            </w:r>
          </w:p>
          <w:p w:rsidR="009335CA" w:rsidRPr="00AF4FF3" w:rsidRDefault="009335CA" w:rsidP="009335CA">
            <w:pPr>
              <w:pStyle w:val="Heading2"/>
              <w:outlineLvl w:val="1"/>
            </w:pPr>
            <w:r>
              <w:t>Training</w:t>
            </w:r>
          </w:p>
          <w:p w:rsidR="009335CA" w:rsidRPr="00C12470" w:rsidRDefault="00B3170C" w:rsidP="007E4547">
            <w:pPr>
              <w:spacing w:line="276" w:lineRule="auto"/>
            </w:pPr>
            <w:r>
              <w:rPr>
                <w:lang w:val="en-US"/>
              </w:rPr>
              <w:t>There ha</w:t>
            </w:r>
            <w:r w:rsidR="00C50548">
              <w:rPr>
                <w:lang w:val="en-US"/>
              </w:rPr>
              <w:t>d</w:t>
            </w:r>
            <w:r>
              <w:rPr>
                <w:lang w:val="en-US"/>
              </w:rPr>
              <w:t xml:space="preserve"> been no change in NDT personnel since the previous inspection conducted in August 2016. </w:t>
            </w:r>
            <w:r w:rsidR="009335CA" w:rsidRPr="005E42B8">
              <w:rPr>
                <w:lang w:val="en-US"/>
              </w:rPr>
              <w:t xml:space="preserve">All </w:t>
            </w:r>
            <w:r w:rsidR="009335CA">
              <w:rPr>
                <w:lang w:val="en-US"/>
              </w:rPr>
              <w:t xml:space="preserve">radiation </w:t>
            </w:r>
            <w:r w:rsidR="009335CA" w:rsidRPr="007E4547">
              <w:t>workers</w:t>
            </w:r>
            <w:r w:rsidR="009335CA">
              <w:rPr>
                <w:lang w:val="en-US"/>
              </w:rPr>
              <w:t xml:space="preserve"> </w:t>
            </w:r>
            <w:r w:rsidR="009335CA" w:rsidRPr="005E42B8">
              <w:rPr>
                <w:lang w:val="en-US"/>
              </w:rPr>
              <w:t xml:space="preserve">that use controlled </w:t>
            </w:r>
            <w:r w:rsidR="009335CA">
              <w:rPr>
                <w:lang w:val="en-US"/>
              </w:rPr>
              <w:t>material</w:t>
            </w:r>
            <w:r w:rsidR="009335CA" w:rsidRPr="005E42B8">
              <w:rPr>
                <w:lang w:val="en-US"/>
              </w:rPr>
              <w:t xml:space="preserve"> or controlled apparatus ha</w:t>
            </w:r>
            <w:r w:rsidR="00C50548">
              <w:rPr>
                <w:lang w:val="en-US"/>
              </w:rPr>
              <w:t>d</w:t>
            </w:r>
            <w:r w:rsidR="009335CA" w:rsidRPr="005E42B8">
              <w:rPr>
                <w:lang w:val="en-US"/>
              </w:rPr>
              <w:t xml:space="preserve"> undertaken appropriate radiation safety training</w:t>
            </w:r>
            <w:r>
              <w:t>.</w:t>
            </w:r>
            <w:r w:rsidR="009335CA">
              <w:t xml:space="preserve"> </w:t>
            </w:r>
            <w:r w:rsidR="009335CA" w:rsidRPr="00C12470">
              <w:t xml:space="preserve"> </w:t>
            </w:r>
          </w:p>
          <w:p w:rsidR="009335CA" w:rsidRPr="00AF4FF3" w:rsidRDefault="009335CA" w:rsidP="009335CA">
            <w:pPr>
              <w:pStyle w:val="Heading2"/>
              <w:outlineLvl w:val="1"/>
            </w:pPr>
            <w:r>
              <w:lastRenderedPageBreak/>
              <w:t>Security</w:t>
            </w:r>
          </w:p>
          <w:p w:rsidR="00B3170C" w:rsidRPr="00727935" w:rsidRDefault="009335CA" w:rsidP="007E4547">
            <w:pPr>
              <w:spacing w:line="276" w:lineRule="auto"/>
            </w:pPr>
            <w:r>
              <w:t xml:space="preserve">Section </w:t>
            </w:r>
            <w:r w:rsidRPr="00C12470">
              <w:t xml:space="preserve">3.5.6 </w:t>
            </w:r>
            <w:r>
              <w:t xml:space="preserve">of the RSM specifies </w:t>
            </w:r>
            <w:r w:rsidRPr="00C12470">
              <w:t>that the RPO shall provide an annual security awareness bri</w:t>
            </w:r>
            <w:r w:rsidR="00B3170C">
              <w:t xml:space="preserve">efing to all radiation workers, including on the matters covered by ASC’s sealed source security plan. </w:t>
            </w:r>
            <w:r w:rsidR="003D118D">
              <w:t xml:space="preserve">While it was observed that the physical protection and security arrangements implemented at ASC were consistent with the requirements of </w:t>
            </w:r>
            <w:r w:rsidR="003D118D" w:rsidRPr="003D118D">
              <w:t xml:space="preserve">Radiation Protection Series No.11 </w:t>
            </w:r>
            <w:r w:rsidR="003D118D" w:rsidRPr="003D118D">
              <w:rPr>
                <w:i/>
              </w:rPr>
              <w:t>Code of Practice – Security of Radioactive Sources (2007)</w:t>
            </w:r>
            <w:r w:rsidR="003D118D">
              <w:t xml:space="preserve"> (RPS11), the documented security plan required further amendments to better align with RPS11. </w:t>
            </w:r>
            <w:r w:rsidR="00B3170C">
              <w:t>The plan</w:t>
            </w:r>
            <w:r w:rsidR="00727935">
              <w:t xml:space="preserve"> is </w:t>
            </w:r>
            <w:r w:rsidR="003D118D">
              <w:t xml:space="preserve">currently </w:t>
            </w:r>
            <w:r w:rsidR="000479AC">
              <w:t>under</w:t>
            </w:r>
            <w:r w:rsidR="00727935">
              <w:t xml:space="preserve"> </w:t>
            </w:r>
            <w:r w:rsidR="003D118D">
              <w:t xml:space="preserve">review </w:t>
            </w:r>
            <w:r w:rsidR="00727935">
              <w:t xml:space="preserve">with the aim of gaining ARPANSA’s approval in accordance with </w:t>
            </w:r>
            <w:r w:rsidR="003D118D">
              <w:t>RPS11.</w:t>
            </w:r>
          </w:p>
          <w:p w:rsidR="009335CA" w:rsidRPr="00AF4FF3" w:rsidRDefault="009335CA" w:rsidP="009335CA">
            <w:pPr>
              <w:pStyle w:val="Heading2"/>
              <w:outlineLvl w:val="1"/>
            </w:pPr>
            <w:r>
              <w:t>Radiation Protection</w:t>
            </w:r>
          </w:p>
          <w:p w:rsidR="009335CA" w:rsidRPr="00C12470" w:rsidRDefault="009335CA" w:rsidP="007E4547">
            <w:pPr>
              <w:spacing w:line="276" w:lineRule="auto"/>
            </w:pPr>
            <w:r>
              <w:rPr>
                <w:lang w:val="en-US"/>
              </w:rPr>
              <w:t xml:space="preserve">ASC </w:t>
            </w:r>
            <w:r w:rsidRPr="005E42B8">
              <w:rPr>
                <w:lang w:val="en-US"/>
              </w:rPr>
              <w:t xml:space="preserve">issues its </w:t>
            </w:r>
            <w:r>
              <w:rPr>
                <w:lang w:val="en-US"/>
              </w:rPr>
              <w:t xml:space="preserve">radiation workers with </w:t>
            </w:r>
            <w:r w:rsidRPr="005E42B8">
              <w:rPr>
                <w:lang w:val="en-US"/>
              </w:rPr>
              <w:t xml:space="preserve">personal </w:t>
            </w:r>
            <w:r>
              <w:rPr>
                <w:lang w:val="en-US"/>
              </w:rPr>
              <w:t xml:space="preserve">radiation </w:t>
            </w:r>
            <w:r w:rsidRPr="005E42B8">
              <w:rPr>
                <w:lang w:val="en-US"/>
              </w:rPr>
              <w:t>dosimeters.  Dose</w:t>
            </w:r>
            <w:r>
              <w:rPr>
                <w:lang w:val="en-US"/>
              </w:rPr>
              <w:t xml:space="preserve"> report records provided during the </w:t>
            </w:r>
            <w:r w:rsidRPr="007E4547">
              <w:t>inspection</w:t>
            </w:r>
            <w:r>
              <w:rPr>
                <w:lang w:val="en-US"/>
              </w:rPr>
              <w:t xml:space="preserve"> </w:t>
            </w:r>
            <w:r w:rsidRPr="005E42B8">
              <w:rPr>
                <w:lang w:val="en-US"/>
              </w:rPr>
              <w:t>show</w:t>
            </w:r>
            <w:r>
              <w:rPr>
                <w:lang w:val="en-US"/>
              </w:rPr>
              <w:t>ed</w:t>
            </w:r>
            <w:r w:rsidRPr="005E42B8">
              <w:rPr>
                <w:lang w:val="en-US"/>
              </w:rPr>
              <w:t xml:space="preserve"> that doses attributed to wearers </w:t>
            </w:r>
            <w:r>
              <w:rPr>
                <w:lang w:val="en-US"/>
              </w:rPr>
              <w:t xml:space="preserve">were </w:t>
            </w:r>
            <w:r w:rsidR="00980F3A">
              <w:rPr>
                <w:lang w:val="en-US"/>
              </w:rPr>
              <w:t xml:space="preserve">below the minimum reportable dose level of the dosimetry service in use. </w:t>
            </w:r>
          </w:p>
          <w:p w:rsidR="009335CA" w:rsidRPr="00400998" w:rsidRDefault="009335CA" w:rsidP="007E4547">
            <w:pPr>
              <w:spacing w:line="276" w:lineRule="auto"/>
              <w:rPr>
                <w:lang w:val="en-US"/>
              </w:rPr>
            </w:pPr>
            <w:r w:rsidRPr="005C3701">
              <w:rPr>
                <w:lang w:val="en-US"/>
              </w:rPr>
              <w:t xml:space="preserve">The </w:t>
            </w:r>
            <w:r w:rsidR="005C3701">
              <w:rPr>
                <w:lang w:val="en-US"/>
              </w:rPr>
              <w:t xml:space="preserve">annual </w:t>
            </w:r>
            <w:r w:rsidRPr="005C3701">
              <w:rPr>
                <w:lang w:val="en-US"/>
              </w:rPr>
              <w:t xml:space="preserve">calibration of ASC’s survey monitoring instruments </w:t>
            </w:r>
            <w:r w:rsidR="005C3701">
              <w:rPr>
                <w:lang w:val="en-US"/>
              </w:rPr>
              <w:t xml:space="preserve">is managed centrally by ASC along with all other </w:t>
            </w:r>
            <w:r w:rsidR="005C3701" w:rsidRPr="007E4547">
              <w:t>calibrated</w:t>
            </w:r>
            <w:r w:rsidR="005C3701">
              <w:rPr>
                <w:lang w:val="en-US"/>
              </w:rPr>
              <w:t xml:space="preserve"> equipment</w:t>
            </w:r>
            <w:r w:rsidR="00C50548">
              <w:rPr>
                <w:lang w:val="en-US"/>
              </w:rPr>
              <w:t>,</w:t>
            </w:r>
            <w:r w:rsidR="005C3701">
              <w:rPr>
                <w:lang w:val="en-US"/>
              </w:rPr>
              <w:t xml:space="preserve"> and is subject to the </w:t>
            </w:r>
            <w:r w:rsidR="00C50548">
              <w:rPr>
                <w:lang w:val="en-US"/>
              </w:rPr>
              <w:t xml:space="preserve">certifying </w:t>
            </w:r>
            <w:r w:rsidR="005C3701">
              <w:rPr>
                <w:lang w:val="en-US"/>
              </w:rPr>
              <w:t>requirements of ISO 9001</w:t>
            </w:r>
            <w:r w:rsidR="00C50548">
              <w:rPr>
                <w:lang w:val="en-US"/>
              </w:rPr>
              <w:t>.</w:t>
            </w:r>
          </w:p>
          <w:p w:rsidR="009335CA" w:rsidRPr="00C12470" w:rsidRDefault="009335CA" w:rsidP="007E4547">
            <w:pPr>
              <w:spacing w:line="276" w:lineRule="auto"/>
            </w:pPr>
            <w:r>
              <w:t xml:space="preserve">In accordance with section </w:t>
            </w:r>
            <w:r w:rsidRPr="00C12470">
              <w:t xml:space="preserve">3.3.4 of the RSM, the main access door to the NDT Laboratory and the door to the equipment storeroom are </w:t>
            </w:r>
            <w:r>
              <w:t>key card operated. The inspection team was informed that access for authorised persons is arranged and activated through the S</w:t>
            </w:r>
            <w:r w:rsidRPr="00C12470">
              <w:t xml:space="preserve">ecurity </w:t>
            </w:r>
            <w:r>
              <w:t>Group;</w:t>
            </w:r>
            <w:r w:rsidRPr="00C12470">
              <w:t xml:space="preserve"> the RPO provides a list of authorised pe</w:t>
            </w:r>
            <w:r>
              <w:t>rsons</w:t>
            </w:r>
            <w:r w:rsidRPr="00C12470">
              <w:t xml:space="preserve"> to be issued with access cards, and the list is check</w:t>
            </w:r>
            <w:r>
              <w:t>ed</w:t>
            </w:r>
            <w:r w:rsidRPr="00C12470">
              <w:t xml:space="preserve"> annually.</w:t>
            </w:r>
          </w:p>
          <w:p w:rsidR="009335CA" w:rsidRDefault="009335CA" w:rsidP="007E4547">
            <w:pPr>
              <w:spacing w:line="276" w:lineRule="auto"/>
            </w:pPr>
            <w:r>
              <w:t xml:space="preserve">Section </w:t>
            </w:r>
            <w:r w:rsidRPr="00C12470">
              <w:t xml:space="preserve">3.4.4 of the RSM </w:t>
            </w:r>
            <w:r>
              <w:t xml:space="preserve">specifies that any </w:t>
            </w:r>
            <w:r w:rsidRPr="00C12470">
              <w:t>minor cleaning and servicing of industrial radiography equipment</w:t>
            </w:r>
            <w:r>
              <w:t xml:space="preserve"> may be performed by radiation workers who have been trained on the operation of the equipment</w:t>
            </w:r>
            <w:r w:rsidR="00980F3A">
              <w:t xml:space="preserve"> and refers </w:t>
            </w:r>
            <w:r w:rsidR="000479AC">
              <w:t xml:space="preserve">to </w:t>
            </w:r>
            <w:r w:rsidR="00980F3A">
              <w:t>t</w:t>
            </w:r>
            <w:r w:rsidR="000F1F0F">
              <w:t xml:space="preserve">he equipment manufacturer’s </w:t>
            </w:r>
            <w:r w:rsidR="000F1F0F" w:rsidRPr="00C50548">
              <w:rPr>
                <w:i/>
              </w:rPr>
              <w:t>Source Projector Operations and Maintenance Manual</w:t>
            </w:r>
            <w:r>
              <w:t>.</w:t>
            </w:r>
          </w:p>
          <w:p w:rsidR="000479AC" w:rsidRDefault="009335CA" w:rsidP="007E4547">
            <w:pPr>
              <w:spacing w:line="276" w:lineRule="auto"/>
            </w:pPr>
            <w:r w:rsidRPr="00A7699B">
              <w:t>In accordance with s</w:t>
            </w:r>
            <w:r>
              <w:t xml:space="preserve">ection </w:t>
            </w:r>
            <w:r w:rsidRPr="00A7699B">
              <w:t xml:space="preserve">3.5.11 </w:t>
            </w:r>
            <w:r>
              <w:t xml:space="preserve">of the RSM, </w:t>
            </w:r>
            <w:r w:rsidRPr="00A7699B">
              <w:t xml:space="preserve">ASC contracts </w:t>
            </w:r>
            <w:r>
              <w:t xml:space="preserve">an authorised dangerous goods transporter </w:t>
            </w:r>
            <w:r w:rsidRPr="00A7699B">
              <w:t xml:space="preserve">for </w:t>
            </w:r>
            <w:r>
              <w:t xml:space="preserve">all </w:t>
            </w:r>
            <w:r w:rsidRPr="00A7699B">
              <w:t>off-site transport of its industrial radiography sources.</w:t>
            </w:r>
          </w:p>
          <w:p w:rsidR="000479AC" w:rsidRPr="000479AC" w:rsidRDefault="000479AC" w:rsidP="007E4547">
            <w:pPr>
              <w:spacing w:line="276" w:lineRule="auto"/>
            </w:pPr>
            <w:r>
              <w:t xml:space="preserve">ASC’s </w:t>
            </w:r>
            <w:r w:rsidRPr="000479AC">
              <w:t>NDT technician</w:t>
            </w:r>
            <w:r>
              <w:t>s</w:t>
            </w:r>
            <w:r w:rsidRPr="000479AC">
              <w:t xml:space="preserve"> u</w:t>
            </w:r>
            <w:r w:rsidR="00324ACA">
              <w:t>tilise</w:t>
            </w:r>
            <w:r>
              <w:t xml:space="preserve"> </w:t>
            </w:r>
            <w:r w:rsidRPr="000479AC">
              <w:t xml:space="preserve">a trolley-cart to </w:t>
            </w:r>
            <w:r>
              <w:t>move</w:t>
            </w:r>
            <w:r w:rsidRPr="000479AC">
              <w:t xml:space="preserve"> industrial radiography equipment</w:t>
            </w:r>
            <w:r w:rsidR="00C50548">
              <w:t xml:space="preserve"> between the NDT L</w:t>
            </w:r>
            <w:r w:rsidRPr="000479AC">
              <w:t xml:space="preserve">aboratory and where site radiography is to occur. The cart was found to contain </w:t>
            </w:r>
            <w:r w:rsidR="003C341A">
              <w:t xml:space="preserve">necessary equipment in accordance with Radiation Health Series No.31 </w:t>
            </w:r>
            <w:r w:rsidR="003C341A">
              <w:rPr>
                <w:i/>
              </w:rPr>
              <w:t xml:space="preserve">Code of </w:t>
            </w:r>
            <w:r w:rsidR="00F856D3">
              <w:rPr>
                <w:i/>
              </w:rPr>
              <w:t xml:space="preserve">Practice for the Safe Use of Industrial Radiography Equipment (1989) </w:t>
            </w:r>
            <w:r w:rsidR="00F856D3">
              <w:t xml:space="preserve">(RHS31) including </w:t>
            </w:r>
            <w:r w:rsidR="003C341A">
              <w:t xml:space="preserve"> </w:t>
            </w:r>
            <w:r w:rsidRPr="000479AC">
              <w:t xml:space="preserve">radiation warning signs, </w:t>
            </w:r>
            <w:r w:rsidR="00F856D3">
              <w:t xml:space="preserve">barrier </w:t>
            </w:r>
            <w:r w:rsidRPr="000479AC">
              <w:t>rope</w:t>
            </w:r>
            <w:r w:rsidR="00F856D3">
              <w:t xml:space="preserve">s and </w:t>
            </w:r>
            <w:r w:rsidRPr="000479AC">
              <w:t xml:space="preserve">warning flags </w:t>
            </w:r>
            <w:r w:rsidR="00F856D3">
              <w:t xml:space="preserve">for </w:t>
            </w:r>
            <w:r w:rsidRPr="000479AC">
              <w:t>mark</w:t>
            </w:r>
            <w:r w:rsidR="004D491D">
              <w:t>ing</w:t>
            </w:r>
            <w:r w:rsidRPr="000479AC">
              <w:t xml:space="preserve"> exclusion zones, a guide tube</w:t>
            </w:r>
            <w:r w:rsidR="00F856D3">
              <w:t xml:space="preserve">, a </w:t>
            </w:r>
            <w:r w:rsidRPr="000479AC">
              <w:t>wind-out cable a</w:t>
            </w:r>
            <w:r w:rsidR="00F856D3">
              <w:t>nd</w:t>
            </w:r>
            <w:r w:rsidRPr="000479AC">
              <w:t xml:space="preserve"> </w:t>
            </w:r>
            <w:r w:rsidR="00F856D3">
              <w:t xml:space="preserve">a </w:t>
            </w:r>
            <w:r w:rsidRPr="000479AC">
              <w:t>collimator.</w:t>
            </w:r>
          </w:p>
          <w:p w:rsidR="009335CA" w:rsidRDefault="009335CA" w:rsidP="007E4547">
            <w:pPr>
              <w:spacing w:line="276" w:lineRule="auto"/>
            </w:pPr>
            <w:r>
              <w:t xml:space="preserve">Section </w:t>
            </w:r>
            <w:r w:rsidRPr="00A7699B">
              <w:t xml:space="preserve">3.7.3 </w:t>
            </w:r>
            <w:r>
              <w:t xml:space="preserve">of the RSM specifies that </w:t>
            </w:r>
            <w:r w:rsidRPr="00A7699B">
              <w:t xml:space="preserve">the RPO </w:t>
            </w:r>
            <w:r w:rsidR="000F1F0F">
              <w:t xml:space="preserve">approves </w:t>
            </w:r>
            <w:r w:rsidRPr="00A7699B">
              <w:t>a</w:t>
            </w:r>
            <w:r w:rsidR="000F1F0F">
              <w:t>ll</w:t>
            </w:r>
            <w:r w:rsidRPr="00A7699B">
              <w:t xml:space="preserve"> site radiography</w:t>
            </w:r>
            <w:r>
              <w:t>.  Th</w:t>
            </w:r>
            <w:r w:rsidR="000F1F0F">
              <w:t xml:space="preserve">e approval process involves a </w:t>
            </w:r>
            <w:r w:rsidRPr="00A7699B">
              <w:t xml:space="preserve">written </w:t>
            </w:r>
            <w:r w:rsidRPr="00324ACA">
              <w:rPr>
                <w:i/>
              </w:rPr>
              <w:t>NDT Request for Radiography Form</w:t>
            </w:r>
            <w:r w:rsidR="000F1F0F">
              <w:t xml:space="preserve">, which includes </w:t>
            </w:r>
            <w:r>
              <w:t xml:space="preserve">the </w:t>
            </w:r>
            <w:r w:rsidRPr="00A7699B">
              <w:t>date and time of radiography</w:t>
            </w:r>
            <w:r w:rsidR="000F1F0F">
              <w:t>.</w:t>
            </w:r>
            <w:r w:rsidRPr="00A7699B">
              <w:t xml:space="preserve"> </w:t>
            </w:r>
          </w:p>
          <w:p w:rsidR="009335CA" w:rsidRPr="00A7699B" w:rsidRDefault="009335CA" w:rsidP="007E4547">
            <w:pPr>
              <w:spacing w:line="276" w:lineRule="auto"/>
            </w:pPr>
            <w:r>
              <w:t xml:space="preserve">The inspection team found </w:t>
            </w:r>
            <w:r w:rsidRPr="00A7699B">
              <w:t xml:space="preserve">the documents </w:t>
            </w:r>
            <w:r>
              <w:t xml:space="preserve">listed under section 1.3.1 of the RSM </w:t>
            </w:r>
            <w:r w:rsidR="000E424E">
              <w:t xml:space="preserve">to be readily </w:t>
            </w:r>
            <w:r>
              <w:t xml:space="preserve">available </w:t>
            </w:r>
            <w:r w:rsidR="000E424E">
              <w:t>in print w</w:t>
            </w:r>
            <w:r>
              <w:t>ithin the NDT Laboratory.</w:t>
            </w:r>
          </w:p>
          <w:p w:rsidR="009335CA" w:rsidRPr="00A7699B" w:rsidRDefault="00F856D3" w:rsidP="007E4547">
            <w:pPr>
              <w:spacing w:line="276" w:lineRule="auto"/>
            </w:pPr>
            <w:r>
              <w:t>In accordance with RHS31, a T</w:t>
            </w:r>
            <w:r w:rsidR="009335CA" w:rsidRPr="00A7699B">
              <w:t xml:space="preserve">ype B(U) </w:t>
            </w:r>
            <w:r w:rsidR="009335CA">
              <w:t xml:space="preserve">industrial radiography </w:t>
            </w:r>
            <w:r w:rsidR="009335CA" w:rsidRPr="00A7699B">
              <w:t>source container</w:t>
            </w:r>
            <w:r>
              <w:t xml:space="preserve"> loaded with a suitable sealed source</w:t>
            </w:r>
            <w:r w:rsidR="009335CA" w:rsidRPr="00A7699B">
              <w:t xml:space="preserve"> </w:t>
            </w:r>
            <w:r>
              <w:t xml:space="preserve">was found to be </w:t>
            </w:r>
            <w:r w:rsidR="009335CA">
              <w:t xml:space="preserve">safely and securely </w:t>
            </w:r>
            <w:r w:rsidR="009335CA" w:rsidRPr="00A7699B">
              <w:t xml:space="preserve">stored within a steel cabinet. The cabinet </w:t>
            </w:r>
            <w:r w:rsidR="00CE16B5">
              <w:t xml:space="preserve">was </w:t>
            </w:r>
            <w:r w:rsidR="000F1F0F">
              <w:t xml:space="preserve">locked </w:t>
            </w:r>
            <w:r w:rsidR="009335CA" w:rsidRPr="00A7699B">
              <w:t xml:space="preserve">and appropriately labelled with a trefoil </w:t>
            </w:r>
            <w:r w:rsidR="009335CA">
              <w:t xml:space="preserve">symbol </w:t>
            </w:r>
            <w:r w:rsidR="009335CA" w:rsidRPr="00A7699B">
              <w:t>and warning</w:t>
            </w:r>
            <w:r w:rsidR="009335CA">
              <w:t xml:space="preserve"> sign</w:t>
            </w:r>
            <w:r w:rsidR="009335CA" w:rsidRPr="00A7699B">
              <w:t xml:space="preserve">. The steel cabinet </w:t>
            </w:r>
            <w:r w:rsidR="00CE16B5">
              <w:t xml:space="preserve">was </w:t>
            </w:r>
            <w:r w:rsidR="00EC595B">
              <w:t xml:space="preserve">installed in a secure room </w:t>
            </w:r>
            <w:r w:rsidR="009335CA" w:rsidRPr="00A7699B">
              <w:t>w</w:t>
            </w:r>
            <w:r w:rsidR="009335CA">
              <w:t xml:space="preserve">hich requires </w:t>
            </w:r>
            <w:r w:rsidR="009335CA" w:rsidRPr="00A7699B">
              <w:t xml:space="preserve">swipe card access. </w:t>
            </w:r>
          </w:p>
          <w:p w:rsidR="009335CA" w:rsidRPr="00540CB7" w:rsidRDefault="000E424E" w:rsidP="007E4547">
            <w:pPr>
              <w:spacing w:line="276" w:lineRule="auto"/>
              <w:rPr>
                <w:i/>
              </w:rPr>
            </w:pPr>
            <w:r>
              <w:lastRenderedPageBreak/>
              <w:t xml:space="preserve">The </w:t>
            </w:r>
            <w:r w:rsidR="009335CA" w:rsidRPr="00A7699B">
              <w:t xml:space="preserve">Type B(U) source container was </w:t>
            </w:r>
            <w:r w:rsidR="00E62947">
              <w:t xml:space="preserve">found to be correctly </w:t>
            </w:r>
            <w:r w:rsidR="009335CA" w:rsidRPr="00A7699B">
              <w:t xml:space="preserve">labelled with </w:t>
            </w:r>
            <w:r w:rsidR="00EC595B">
              <w:t xml:space="preserve">a Category II transport label as per the requirements of </w:t>
            </w:r>
            <w:r w:rsidR="00540CB7">
              <w:t xml:space="preserve">Radiation Protection Series C-2 </w:t>
            </w:r>
            <w:r>
              <w:rPr>
                <w:i/>
              </w:rPr>
              <w:t>Code for the Transport of Radioactive M</w:t>
            </w:r>
            <w:r w:rsidR="00540CB7">
              <w:rPr>
                <w:i/>
              </w:rPr>
              <w:t>aterial (2014).</w:t>
            </w:r>
          </w:p>
          <w:p w:rsidR="009335CA" w:rsidRPr="00A7699B" w:rsidRDefault="009335CA" w:rsidP="007E4547">
            <w:pPr>
              <w:spacing w:line="276" w:lineRule="auto"/>
            </w:pPr>
            <w:r w:rsidRPr="00A7699B">
              <w:t xml:space="preserve">A </w:t>
            </w:r>
            <w:r w:rsidRPr="000E424E">
              <w:rPr>
                <w:i/>
              </w:rPr>
              <w:t>Source Movement Log</w:t>
            </w:r>
            <w:r w:rsidRPr="00A7699B">
              <w:t xml:space="preserve"> </w:t>
            </w:r>
            <w:r w:rsidR="00540CB7">
              <w:t xml:space="preserve">(a requirement of RHS31) </w:t>
            </w:r>
            <w:r>
              <w:t xml:space="preserve">and </w:t>
            </w:r>
            <w:r w:rsidR="00E62947">
              <w:t xml:space="preserve">a current </w:t>
            </w:r>
            <w:r>
              <w:t xml:space="preserve">sealed source certificate </w:t>
            </w:r>
            <w:r w:rsidR="00E62947">
              <w:t xml:space="preserve">were found to be </w:t>
            </w:r>
            <w:r w:rsidRPr="00A7699B">
              <w:t xml:space="preserve">kept </w:t>
            </w:r>
            <w:r w:rsidR="00E62947">
              <w:t xml:space="preserve">nearby </w:t>
            </w:r>
            <w:r w:rsidRPr="00A7699B">
              <w:t xml:space="preserve">the steel </w:t>
            </w:r>
            <w:r>
              <w:t xml:space="preserve">storage </w:t>
            </w:r>
            <w:r w:rsidRPr="00A7699B">
              <w:t xml:space="preserve">container. The source and serial number details of </w:t>
            </w:r>
            <w:r>
              <w:t>the source were cross-</w:t>
            </w:r>
            <w:r w:rsidRPr="00A7699B">
              <w:t xml:space="preserve">checked </w:t>
            </w:r>
            <w:r>
              <w:t xml:space="preserve">and confirmed </w:t>
            </w:r>
            <w:r w:rsidRPr="00A7699B">
              <w:t xml:space="preserve">with the metal </w:t>
            </w:r>
            <w:r>
              <w:t xml:space="preserve">source identification </w:t>
            </w:r>
            <w:r w:rsidRPr="00A7699B">
              <w:t xml:space="preserve">tag </w:t>
            </w:r>
            <w:r w:rsidR="00E62947">
              <w:t xml:space="preserve">attached to </w:t>
            </w:r>
            <w:r w:rsidRPr="00A7699B">
              <w:t>the source container</w:t>
            </w:r>
            <w:r>
              <w:t>.</w:t>
            </w:r>
          </w:p>
          <w:p w:rsidR="009335CA" w:rsidRPr="00A7699B" w:rsidRDefault="00D74705" w:rsidP="007E4547">
            <w:pPr>
              <w:spacing w:line="276" w:lineRule="auto"/>
            </w:pPr>
            <w:r>
              <w:t xml:space="preserve">A </w:t>
            </w:r>
            <w:r w:rsidR="009335CA" w:rsidRPr="00A7699B">
              <w:t xml:space="preserve">magnetic </w:t>
            </w:r>
            <w:r w:rsidR="009335CA">
              <w:t xml:space="preserve">field NDT device </w:t>
            </w:r>
            <w:r w:rsidR="009335CA" w:rsidRPr="00DF7BF8">
              <w:t xml:space="preserve">in use in the NDT Laboratory </w:t>
            </w:r>
            <w:r w:rsidR="009335CA" w:rsidRPr="00A7699B">
              <w:t xml:space="preserve">was found to be fitted with </w:t>
            </w:r>
            <w:r w:rsidR="009335CA">
              <w:t>appropriate warning signs and a</w:t>
            </w:r>
            <w:r w:rsidR="000E424E">
              <w:t xml:space="preserve"> s</w:t>
            </w:r>
            <w:r w:rsidR="009335CA">
              <w:t xml:space="preserve">tandard </w:t>
            </w:r>
            <w:r w:rsidR="000E424E">
              <w:t>o</w:t>
            </w:r>
            <w:r w:rsidR="009335CA">
              <w:t xml:space="preserve">perating </w:t>
            </w:r>
            <w:r w:rsidR="000E424E">
              <w:t>p</w:t>
            </w:r>
            <w:r w:rsidR="009335CA">
              <w:t>rocedure</w:t>
            </w:r>
            <w:r w:rsidR="009335CA" w:rsidRPr="00A7699B">
              <w:t xml:space="preserve"> was </w:t>
            </w:r>
            <w:r w:rsidR="009335CA">
              <w:t xml:space="preserve">readily available for </w:t>
            </w:r>
            <w:r w:rsidR="009335CA" w:rsidRPr="00A7699B">
              <w:t>the unit.</w:t>
            </w:r>
          </w:p>
          <w:p w:rsidR="009335CA" w:rsidRDefault="00830DF5" w:rsidP="009335CA">
            <w:pPr>
              <w:pStyle w:val="Heading2"/>
              <w:outlineLvl w:val="1"/>
            </w:pPr>
            <w:r>
              <w:t>Emergency Preparedness &amp; Response</w:t>
            </w:r>
          </w:p>
          <w:p w:rsidR="009335CA" w:rsidRDefault="009335CA" w:rsidP="007E4547">
            <w:pPr>
              <w:spacing w:line="276" w:lineRule="auto"/>
            </w:pPr>
            <w:r>
              <w:t xml:space="preserve">Section </w:t>
            </w:r>
            <w:r w:rsidRPr="00C12470">
              <w:t xml:space="preserve">3.5.5 of the RSM </w:t>
            </w:r>
            <w:r>
              <w:t xml:space="preserve">outlines </w:t>
            </w:r>
            <w:r w:rsidRPr="00C12470">
              <w:t xml:space="preserve">the actions to be taken if </w:t>
            </w:r>
            <w:r>
              <w:t>a</w:t>
            </w:r>
            <w:r w:rsidR="00540CB7">
              <w:t xml:space="preserve">n X-ray unit or sealed source were to be </w:t>
            </w:r>
            <w:r>
              <w:t xml:space="preserve">lost or stolen. </w:t>
            </w:r>
            <w:r w:rsidR="00E93162">
              <w:t xml:space="preserve">ASC had in place </w:t>
            </w:r>
            <w:r w:rsidRPr="000E424E">
              <w:rPr>
                <w:i/>
              </w:rPr>
              <w:t>Radioactive Isotope Emergency Response Procedure</w:t>
            </w:r>
            <w:r w:rsidR="00E93162">
              <w:rPr>
                <w:i/>
              </w:rPr>
              <w:t>s</w:t>
            </w:r>
            <w:r w:rsidRPr="00D5602A">
              <w:t xml:space="preserve"> </w:t>
            </w:r>
            <w:r w:rsidR="00540CB7">
              <w:t>and e</w:t>
            </w:r>
            <w:r w:rsidRPr="0018200F">
              <w:t>mergency source recovery equipment</w:t>
            </w:r>
            <w:r w:rsidR="00540CB7">
              <w:t xml:space="preserve"> </w:t>
            </w:r>
            <w:r w:rsidRPr="0018200F">
              <w:t xml:space="preserve">located at the entrance to the </w:t>
            </w:r>
            <w:r w:rsidR="00324ACA">
              <w:t>NDT L</w:t>
            </w:r>
            <w:r w:rsidR="00540CB7">
              <w:t xml:space="preserve">aboratory </w:t>
            </w:r>
            <w:r w:rsidRPr="0018200F">
              <w:t>exposure room</w:t>
            </w:r>
            <w:r w:rsidR="00540CB7">
              <w:t xml:space="preserve"> - </w:t>
            </w:r>
            <w:r w:rsidRPr="0018200F">
              <w:t>therefore readily available to deal with any source recovery incident or associated emergency situation.</w:t>
            </w:r>
          </w:p>
          <w:p w:rsidR="00830DF5" w:rsidRDefault="00FA0EAB" w:rsidP="00FA0EAB">
            <w:pPr>
              <w:pStyle w:val="Heading2"/>
              <w:outlineLvl w:val="1"/>
            </w:pPr>
            <w:r>
              <w:t>Other matters</w:t>
            </w:r>
          </w:p>
          <w:p w:rsidR="00FA0EAB" w:rsidRPr="0082622C" w:rsidRDefault="00896761" w:rsidP="007E4547">
            <w:pPr>
              <w:spacing w:line="276" w:lineRule="auto"/>
            </w:pPr>
            <w:r>
              <w:t xml:space="preserve">The previous </w:t>
            </w:r>
            <w:r w:rsidR="001F2B9F">
              <w:t>inspection of ASC (conducted August 2016</w:t>
            </w:r>
            <w:r w:rsidR="00C3077B">
              <w:t xml:space="preserve"> – report R16/10444</w:t>
            </w:r>
            <w:r w:rsidR="001F2B9F">
              <w:t xml:space="preserve">) revealed </w:t>
            </w:r>
            <w:r w:rsidR="00045622">
              <w:t xml:space="preserve">six </w:t>
            </w:r>
            <w:r w:rsidR="001F2B9F">
              <w:t>areas for improvement (AFI)</w:t>
            </w:r>
            <w:r w:rsidR="00045622">
              <w:t xml:space="preserve">. ASC </w:t>
            </w:r>
            <w:r w:rsidR="005C3701">
              <w:t>ha</w:t>
            </w:r>
            <w:r w:rsidR="00324ACA">
              <w:t>d</w:t>
            </w:r>
            <w:r w:rsidR="005C3701">
              <w:t xml:space="preserve"> </w:t>
            </w:r>
            <w:r w:rsidR="00045622">
              <w:t xml:space="preserve">reported that all </w:t>
            </w:r>
            <w:r w:rsidR="000E424E">
              <w:t xml:space="preserve">the </w:t>
            </w:r>
            <w:r w:rsidR="00045622">
              <w:t xml:space="preserve">AFI </w:t>
            </w:r>
            <w:r w:rsidR="005C3701">
              <w:t xml:space="preserve">were </w:t>
            </w:r>
            <w:r w:rsidR="00045622">
              <w:t>actioned within three months of the inspection</w:t>
            </w:r>
            <w:r w:rsidR="00C3077B">
              <w:t>. Th</w:t>
            </w:r>
            <w:r w:rsidR="005C3701">
              <w:t xml:space="preserve">e </w:t>
            </w:r>
            <w:r w:rsidR="000E424E">
              <w:t>inspection team confirmed the status of the AFI</w:t>
            </w:r>
            <w:r w:rsidR="005C3701">
              <w:t xml:space="preserve">. </w:t>
            </w:r>
          </w:p>
          <w:p w:rsidR="00681A05" w:rsidRPr="00AF4FF3" w:rsidRDefault="00681A05" w:rsidP="00AF4FF3">
            <w:pPr>
              <w:pStyle w:val="Heading1"/>
              <w:outlineLvl w:val="0"/>
            </w:pPr>
            <w:r w:rsidRPr="00AF4FF3">
              <w:t>Findings</w:t>
            </w:r>
          </w:p>
          <w:p w:rsidR="00FA0EAB" w:rsidRDefault="00F6231B" w:rsidP="007E4547">
            <w:pPr>
              <w:spacing w:line="276" w:lineRule="auto"/>
            </w:pPr>
            <w:r w:rsidRPr="00AF4FF3">
              <w:t>The licence holder was found to be in compliance with the requirements of the Act, the Regul</w:t>
            </w:r>
            <w:r w:rsidR="00FA0EAB">
              <w:t>ations, and licence conditions.</w:t>
            </w:r>
          </w:p>
          <w:p w:rsidR="00A364D5" w:rsidRPr="00AF4FF3" w:rsidRDefault="00A364D5" w:rsidP="007E4547">
            <w:pPr>
              <w:rPr>
                <w:b/>
                <w:color w:val="auto"/>
              </w:rPr>
            </w:pPr>
            <w:r w:rsidRPr="00AF4FF3">
              <w:rPr>
                <w:color w:val="auto"/>
              </w:rPr>
              <w:t xml:space="preserve">The </w:t>
            </w:r>
            <w:r w:rsidRPr="007E4547">
              <w:t>inspection</w:t>
            </w:r>
            <w:r w:rsidRPr="00AF4FF3">
              <w:rPr>
                <w:color w:val="auto"/>
              </w:rPr>
              <w:t xml:space="preserve"> revealed the following </w:t>
            </w:r>
            <w:r w:rsidRPr="007E4547">
              <w:rPr>
                <w:b/>
                <w:color w:val="auto"/>
              </w:rPr>
              <w:t>area for improvement</w:t>
            </w:r>
            <w:r w:rsidRPr="00AF4FF3">
              <w:rPr>
                <w:color w:val="auto"/>
              </w:rPr>
              <w:t>:</w:t>
            </w:r>
          </w:p>
          <w:p w:rsidR="00A364D5" w:rsidRPr="00A364D5" w:rsidRDefault="00A364D5" w:rsidP="007E4547">
            <w:pPr>
              <w:pStyle w:val="ListParagraph"/>
              <w:numPr>
                <w:ilvl w:val="0"/>
                <w:numId w:val="8"/>
              </w:numPr>
            </w:pPr>
            <w:r w:rsidRPr="00A364D5">
              <w:t>The documented security plan was not fully consistent with R</w:t>
            </w:r>
            <w:r>
              <w:t>PS11</w:t>
            </w:r>
            <w:r w:rsidRPr="00A364D5">
              <w:t>.</w:t>
            </w:r>
          </w:p>
          <w:p w:rsidR="00FA0EAB" w:rsidRPr="00FA0EAB" w:rsidRDefault="00A364D5" w:rsidP="007E4547">
            <w:pPr>
              <w:spacing w:line="276" w:lineRule="auto"/>
              <w:rPr>
                <w:color w:val="FF0000"/>
              </w:rPr>
            </w:pPr>
            <w:r w:rsidRPr="00AF4FF3">
              <w:t xml:space="preserve">It is expected that improvement actions </w:t>
            </w:r>
            <w:r w:rsidR="00873291">
              <w:t xml:space="preserve">will </w:t>
            </w:r>
            <w:r w:rsidRPr="00AF4FF3">
              <w:t>be taken in a timely manner.</w:t>
            </w:r>
          </w:p>
        </w:tc>
      </w:tr>
    </w:tbl>
    <w:p w:rsidR="00F6231B" w:rsidRPr="00AF4FF3" w:rsidRDefault="00F6231B" w:rsidP="00FF7D0A">
      <w:pPr>
        <w:ind w:left="-426"/>
        <w:jc w:val="center"/>
        <w:rPr>
          <w:rFonts w:asciiTheme="majorHAnsi" w:hAnsiTheme="majorHAnsi"/>
          <w:sz w:val="24"/>
          <w:szCs w:val="24"/>
        </w:rPr>
      </w:pPr>
    </w:p>
    <w:sectPr w:rsidR="00F6231B" w:rsidRPr="00AF4FF3" w:rsidSect="00EF13FB">
      <w:headerReference w:type="default" r:id="rId8"/>
      <w:footerReference w:type="default" r:id="rId9"/>
      <w:headerReference w:type="first" r:id="rId10"/>
      <w:footerReference w:type="first" r:id="rId11"/>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FA" w:rsidRDefault="00E623FA" w:rsidP="00C24160">
      <w:r>
        <w:separator/>
      </w:r>
    </w:p>
  </w:endnote>
  <w:endnote w:type="continuationSeparator" w:id="0">
    <w:p w:rsidR="00E623FA" w:rsidRDefault="00E623FA"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5" w:rsidRPr="003B4502" w:rsidRDefault="00C24160" w:rsidP="000B6360">
    <w:pPr>
      <w:pStyle w:val="Header"/>
      <w:spacing w:before="0"/>
      <w:jc w:val="center"/>
      <w:rPr>
        <w:sz w:val="18"/>
      </w:rPr>
    </w:pPr>
    <w:r w:rsidRPr="003B4502">
      <w:rPr>
        <w:sz w:val="18"/>
      </w:rPr>
      <w:fldChar w:fldCharType="begin"/>
    </w:r>
    <w:r w:rsidRPr="003B4502">
      <w:rPr>
        <w:sz w:val="18"/>
      </w:rPr>
      <w:instrText xml:space="preserve"> PAGE  \* Arabic  \* MERGEFORMAT </w:instrText>
    </w:r>
    <w:r w:rsidRPr="003B4502">
      <w:rPr>
        <w:sz w:val="18"/>
      </w:rPr>
      <w:fldChar w:fldCharType="separate"/>
    </w:r>
    <w:r w:rsidR="00F523AB">
      <w:rPr>
        <w:noProof/>
        <w:sz w:val="18"/>
      </w:rPr>
      <w:t>3</w:t>
    </w:r>
    <w:r w:rsidRPr="003B4502">
      <w:rPr>
        <w:sz w:val="18"/>
      </w:rPr>
      <w:fldChar w:fldCharType="end"/>
    </w:r>
    <w:r w:rsidRPr="003B4502">
      <w:rPr>
        <w:sz w:val="18"/>
      </w:rPr>
      <w:t xml:space="preserve"> of </w:t>
    </w:r>
    <w:r w:rsidRPr="003B4502">
      <w:rPr>
        <w:sz w:val="18"/>
      </w:rPr>
      <w:fldChar w:fldCharType="begin"/>
    </w:r>
    <w:r w:rsidRPr="003B4502">
      <w:rPr>
        <w:sz w:val="18"/>
      </w:rPr>
      <w:instrText xml:space="preserve"> NUMPAGES  \* Arabic  \* MERGEFORMAT </w:instrText>
    </w:r>
    <w:r w:rsidRPr="003B4502">
      <w:rPr>
        <w:sz w:val="18"/>
      </w:rPr>
      <w:fldChar w:fldCharType="separate"/>
    </w:r>
    <w:r w:rsidR="00F523AB">
      <w:rPr>
        <w:noProof/>
        <w:sz w:val="18"/>
      </w:rPr>
      <w:t>3</w:t>
    </w:r>
    <w:r w:rsidRPr="003B4502">
      <w:rPr>
        <w:sz w:val="18"/>
      </w:rPr>
      <w:fldChar w:fldCharType="end"/>
    </w:r>
  </w:p>
  <w:p w:rsidR="00681A05" w:rsidRPr="000B6360" w:rsidRDefault="00681A05" w:rsidP="000B6360">
    <w:pPr>
      <w:pStyle w:val="Header"/>
      <w:spacing w:before="0"/>
      <w:jc w:val="center"/>
      <w:rPr>
        <w:color w:val="FF0000"/>
        <w:sz w:val="18"/>
      </w:rPr>
    </w:pPr>
    <w:r w:rsidRPr="000B6360">
      <w:rPr>
        <w:color w:val="FF0000"/>
        <w:sz w:val="18"/>
      </w:rPr>
      <w:t>UNCLASSIFIED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47" w:rsidRDefault="007E4547" w:rsidP="007E4547">
    <w:pPr>
      <w:pStyle w:val="Footer"/>
      <w:tabs>
        <w:tab w:val="clear" w:pos="4513"/>
        <w:tab w:val="clear" w:pos="9026"/>
        <w:tab w:val="left" w:pos="3686"/>
        <w:tab w:val="right" w:pos="9498"/>
      </w:tabs>
      <w:rPr>
        <w:sz w:val="16"/>
      </w:rPr>
    </w:pPr>
    <w:r w:rsidRPr="00E55BEA">
      <w:rPr>
        <w:noProof/>
        <w:sz w:val="12"/>
      </w:rPr>
      <w:drawing>
        <wp:anchor distT="0" distB="0" distL="114300" distR="114300" simplePos="0" relativeHeight="251659264" behindDoc="0" locked="0" layoutInCell="1" allowOverlap="1" wp14:anchorId="60F39E7F" wp14:editId="7D144F3E">
          <wp:simplePos x="0" y="0"/>
          <wp:positionH relativeFrom="margin">
            <wp:align>left</wp:align>
          </wp:positionH>
          <wp:positionV relativeFrom="paragraph">
            <wp:posOffset>333129</wp:posOffset>
          </wp:positionV>
          <wp:extent cx="6119495" cy="53975"/>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rPr>
      <w:t>REG-INS-FORM-280M</w:t>
    </w:r>
    <w:r>
      <w:rPr>
        <w:sz w:val="16"/>
      </w:rPr>
      <w:tab/>
      <w:t>v.8.2 April 2017</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F523AB">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F523AB">
      <w:rPr>
        <w:bCs/>
        <w:noProof/>
        <w:sz w:val="16"/>
      </w:rPr>
      <w:t>3</w:t>
    </w:r>
    <w:r w:rsidRPr="008243FE">
      <w:rPr>
        <w:bCs/>
        <w:sz w:val="16"/>
      </w:rPr>
      <w:fldChar w:fldCharType="end"/>
    </w:r>
  </w:p>
  <w:p w:rsidR="00444AA3" w:rsidRPr="007E4547" w:rsidRDefault="007E4547" w:rsidP="007E4547">
    <w:pPr>
      <w:pStyle w:val="Footer"/>
      <w:tabs>
        <w:tab w:val="clear" w:pos="4513"/>
        <w:tab w:val="clear" w:pos="9026"/>
        <w:tab w:val="left" w:pos="3686"/>
        <w:tab w:val="right" w:pos="9498"/>
      </w:tabs>
      <w:spacing w:before="120"/>
      <w:rPr>
        <w:sz w:val="16"/>
        <w:szCs w:val="18"/>
      </w:rPr>
    </w:pPr>
    <w:r w:rsidRPr="00E55BEA">
      <w:rPr>
        <w:sz w:val="16"/>
      </w:rPr>
      <w:t>619 Lower Plenty Road, Yallambie VIC 3085</w:t>
    </w:r>
    <w:r w:rsidRPr="00E55BEA">
      <w:rPr>
        <w:sz w:val="16"/>
      </w:rPr>
      <w:tab/>
      <w:t>38–40 Urunga Parade, Miranda NSW 2228</w:t>
    </w:r>
    <w:r w:rsidRPr="00E55BEA">
      <w:rPr>
        <w:sz w:val="16"/>
      </w:rPr>
      <w:tab/>
      <w:t>info@arpansa.gov.au</w:t>
    </w:r>
    <w:r w:rsidRPr="00E55BEA">
      <w:rPr>
        <w:sz w:val="16"/>
      </w:rPr>
      <w:br/>
    </w:r>
    <w:r w:rsidRPr="00E55BEA">
      <w:rPr>
        <w:sz w:val="16"/>
        <w:szCs w:val="18"/>
      </w:rPr>
      <w:t>+61 3 9433 2211</w:t>
    </w:r>
    <w:r w:rsidRPr="00E55BEA">
      <w:rPr>
        <w:sz w:val="16"/>
        <w:szCs w:val="18"/>
      </w:rPr>
      <w:tab/>
      <w:t xml:space="preserve">PO Box 655, Miranda </w:t>
    </w:r>
    <w:r>
      <w:rPr>
        <w:sz w:val="16"/>
        <w:szCs w:val="18"/>
      </w:rPr>
      <w:t>NSW 1490</w:t>
    </w:r>
    <w:r w:rsidRPr="00E55BEA">
      <w:rPr>
        <w:sz w:val="16"/>
        <w:szCs w:val="18"/>
      </w:rPr>
      <w:tab/>
      <w:t>arpansa.gov.au</w:t>
    </w:r>
    <w:r w:rsidRPr="00E55BEA">
      <w:rPr>
        <w:sz w:val="16"/>
        <w:szCs w:val="18"/>
      </w:rPr>
      <w:br/>
    </w:r>
    <w:r w:rsidRPr="00E55BEA">
      <w:rPr>
        <w:sz w:val="16"/>
        <w:szCs w:val="18"/>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FA" w:rsidRDefault="00E623FA" w:rsidP="00C24160">
      <w:r>
        <w:separator/>
      </w:r>
    </w:p>
  </w:footnote>
  <w:footnote w:type="continuationSeparator" w:id="0">
    <w:p w:rsidR="00E623FA" w:rsidRDefault="00E623FA" w:rsidP="00C2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05" w:rsidRPr="000B6360" w:rsidRDefault="00681A05" w:rsidP="000B6360">
    <w:pPr>
      <w:pStyle w:val="Header"/>
      <w:spacing w:before="0"/>
      <w:jc w:val="center"/>
      <w:rPr>
        <w:color w:val="FF0000"/>
        <w:sz w:val="18"/>
      </w:rPr>
    </w:pPr>
    <w:r w:rsidRPr="000B6360">
      <w:rPr>
        <w:color w:val="FF0000"/>
        <w:sz w:val="18"/>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8A" w:rsidRDefault="00FA74F6" w:rsidP="00C24160">
    <w:pPr>
      <w:pStyle w:val="Header"/>
      <w:rPr>
        <w:noProof/>
      </w:rPr>
    </w:pPr>
    <w:r>
      <w:rPr>
        <w:noProof/>
      </w:rPr>
      <w:drawing>
        <wp:inline distT="0" distB="0" distL="0" distR="0" wp14:anchorId="4A9DF7BE" wp14:editId="29360DB7">
          <wp:extent cx="612013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A4"/>
    <w:multiLevelType w:val="hybridMultilevel"/>
    <w:tmpl w:val="4656D830"/>
    <w:lvl w:ilvl="0" w:tplc="26D8786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15:restartNumberingAfterBreak="0">
    <w:nsid w:val="37091BB9"/>
    <w:multiLevelType w:val="hybridMultilevel"/>
    <w:tmpl w:val="9D3A3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E93366"/>
    <w:multiLevelType w:val="hybridMultilevel"/>
    <w:tmpl w:val="0EF8811A"/>
    <w:lvl w:ilvl="0" w:tplc="1FB26854">
      <w:start w:val="1"/>
      <w:numFmt w:val="decimal"/>
      <w:pStyle w:val="ListParagraph"/>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num w:numId="1">
    <w:abstractNumId w:val="0"/>
  </w:num>
  <w:num w:numId="2">
    <w:abstractNumId w:val="1"/>
  </w:num>
  <w:num w:numId="3">
    <w:abstractNumId w:val="4"/>
  </w:num>
  <w:num w:numId="4">
    <w:abstractNumId w:val="3"/>
  </w:num>
  <w:num w:numId="5">
    <w:abstractNumId w:val="3"/>
    <w:lvlOverride w:ilvl="0">
      <w:startOverride w:val="1"/>
    </w:lvlOverride>
  </w:num>
  <w:num w:numId="6">
    <w:abstractNumId w:val="3"/>
  </w:num>
  <w:num w:numId="7">
    <w:abstractNumId w:val="3"/>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FA"/>
    <w:rsid w:val="00045622"/>
    <w:rsid w:val="000479AC"/>
    <w:rsid w:val="0006576C"/>
    <w:rsid w:val="000B6360"/>
    <w:rsid w:val="000D5B5E"/>
    <w:rsid w:val="000E424E"/>
    <w:rsid w:val="000E44B6"/>
    <w:rsid w:val="000F1F0F"/>
    <w:rsid w:val="000F2FD1"/>
    <w:rsid w:val="000F73FB"/>
    <w:rsid w:val="00102CB0"/>
    <w:rsid w:val="001511CB"/>
    <w:rsid w:val="00167548"/>
    <w:rsid w:val="00193685"/>
    <w:rsid w:val="00197595"/>
    <w:rsid w:val="00197ECB"/>
    <w:rsid w:val="001A40BA"/>
    <w:rsid w:val="001F2B9F"/>
    <w:rsid w:val="00207259"/>
    <w:rsid w:val="00216916"/>
    <w:rsid w:val="002177B4"/>
    <w:rsid w:val="00226630"/>
    <w:rsid w:val="002E1A84"/>
    <w:rsid w:val="002E2F23"/>
    <w:rsid w:val="002E4CC0"/>
    <w:rsid w:val="002F6CB5"/>
    <w:rsid w:val="00324ACA"/>
    <w:rsid w:val="00335AD9"/>
    <w:rsid w:val="00337761"/>
    <w:rsid w:val="00354FEB"/>
    <w:rsid w:val="003862A5"/>
    <w:rsid w:val="00392FF8"/>
    <w:rsid w:val="003B4502"/>
    <w:rsid w:val="003C341A"/>
    <w:rsid w:val="003D118D"/>
    <w:rsid w:val="00417E86"/>
    <w:rsid w:val="004316C2"/>
    <w:rsid w:val="004374EB"/>
    <w:rsid w:val="00444AA3"/>
    <w:rsid w:val="0044719E"/>
    <w:rsid w:val="004770D2"/>
    <w:rsid w:val="00482290"/>
    <w:rsid w:val="00497EDB"/>
    <w:rsid w:val="004A0840"/>
    <w:rsid w:val="004D1298"/>
    <w:rsid w:val="004D491D"/>
    <w:rsid w:val="004E4746"/>
    <w:rsid w:val="00516794"/>
    <w:rsid w:val="005172A7"/>
    <w:rsid w:val="0052228C"/>
    <w:rsid w:val="00540CB7"/>
    <w:rsid w:val="00577AEA"/>
    <w:rsid w:val="00581F0B"/>
    <w:rsid w:val="005C3701"/>
    <w:rsid w:val="00601A15"/>
    <w:rsid w:val="00625830"/>
    <w:rsid w:val="00681A05"/>
    <w:rsid w:val="00701BEF"/>
    <w:rsid w:val="007264DD"/>
    <w:rsid w:val="00727935"/>
    <w:rsid w:val="00745076"/>
    <w:rsid w:val="0077539A"/>
    <w:rsid w:val="007A3A99"/>
    <w:rsid w:val="007D0730"/>
    <w:rsid w:val="007E10ED"/>
    <w:rsid w:val="007E4547"/>
    <w:rsid w:val="007F1F42"/>
    <w:rsid w:val="00830DF5"/>
    <w:rsid w:val="0086366A"/>
    <w:rsid w:val="008703D1"/>
    <w:rsid w:val="00873291"/>
    <w:rsid w:val="008902AB"/>
    <w:rsid w:val="00895D9E"/>
    <w:rsid w:val="00896761"/>
    <w:rsid w:val="008A6CC4"/>
    <w:rsid w:val="008F44A6"/>
    <w:rsid w:val="009276D8"/>
    <w:rsid w:val="009335CA"/>
    <w:rsid w:val="0093576E"/>
    <w:rsid w:val="00947FA8"/>
    <w:rsid w:val="00961BAB"/>
    <w:rsid w:val="00980F3A"/>
    <w:rsid w:val="00995397"/>
    <w:rsid w:val="009D1AE2"/>
    <w:rsid w:val="009F634B"/>
    <w:rsid w:val="00A100E1"/>
    <w:rsid w:val="00A24176"/>
    <w:rsid w:val="00A364D5"/>
    <w:rsid w:val="00A5493A"/>
    <w:rsid w:val="00A66702"/>
    <w:rsid w:val="00A94EEB"/>
    <w:rsid w:val="00AD55AD"/>
    <w:rsid w:val="00AF4FF3"/>
    <w:rsid w:val="00B00092"/>
    <w:rsid w:val="00B06FF1"/>
    <w:rsid w:val="00B3170C"/>
    <w:rsid w:val="00B73D10"/>
    <w:rsid w:val="00BC71BB"/>
    <w:rsid w:val="00C05EB2"/>
    <w:rsid w:val="00C24160"/>
    <w:rsid w:val="00C303A2"/>
    <w:rsid w:val="00C3077B"/>
    <w:rsid w:val="00C40253"/>
    <w:rsid w:val="00C50548"/>
    <w:rsid w:val="00C62916"/>
    <w:rsid w:val="00C750D2"/>
    <w:rsid w:val="00CD208A"/>
    <w:rsid w:val="00CD56E2"/>
    <w:rsid w:val="00CE038F"/>
    <w:rsid w:val="00CE16B5"/>
    <w:rsid w:val="00CF1BE9"/>
    <w:rsid w:val="00D178A5"/>
    <w:rsid w:val="00D3203F"/>
    <w:rsid w:val="00D44363"/>
    <w:rsid w:val="00D57F09"/>
    <w:rsid w:val="00D65145"/>
    <w:rsid w:val="00D74705"/>
    <w:rsid w:val="00D93A4D"/>
    <w:rsid w:val="00D9552A"/>
    <w:rsid w:val="00DA1CB7"/>
    <w:rsid w:val="00DB1D73"/>
    <w:rsid w:val="00DD41FB"/>
    <w:rsid w:val="00DE362B"/>
    <w:rsid w:val="00E42010"/>
    <w:rsid w:val="00E55BEA"/>
    <w:rsid w:val="00E623FA"/>
    <w:rsid w:val="00E62947"/>
    <w:rsid w:val="00E82DBA"/>
    <w:rsid w:val="00E82F1F"/>
    <w:rsid w:val="00E93162"/>
    <w:rsid w:val="00EA4C2C"/>
    <w:rsid w:val="00EC595B"/>
    <w:rsid w:val="00ED43CA"/>
    <w:rsid w:val="00EF13FB"/>
    <w:rsid w:val="00F06840"/>
    <w:rsid w:val="00F36384"/>
    <w:rsid w:val="00F523AB"/>
    <w:rsid w:val="00F6231B"/>
    <w:rsid w:val="00F856D3"/>
    <w:rsid w:val="00FA0EAB"/>
    <w:rsid w:val="00FA74F6"/>
    <w:rsid w:val="00FB01F3"/>
    <w:rsid w:val="00FF7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DF1B38"/>
  <w15:docId w15:val="{D28A1F79-8A47-4E45-AC4B-6C26F548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547"/>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AF4FF3"/>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4770D2"/>
    <w:pPr>
      <w:keepNext/>
      <w:keepLines/>
      <w:spacing w:before="200"/>
      <w:outlineLvl w:val="1"/>
    </w:pPr>
    <w:rPr>
      <w:rFonts w:ascii="Calibri" w:eastAsiaTheme="majorEastAsia" w:hAnsi="Calibri" w:cstheme="majorBid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4770D2"/>
    <w:pPr>
      <w:numPr>
        <w:numId w:val="4"/>
      </w:numPr>
      <w:spacing w:before="120"/>
    </w:pPr>
  </w:style>
  <w:style w:type="character" w:customStyle="1" w:styleId="Heading1Char">
    <w:name w:val="Heading 1 Char"/>
    <w:basedOn w:val="DefaultParagraphFont"/>
    <w:link w:val="Heading1"/>
    <w:uiPriority w:val="9"/>
    <w:rsid w:val="00AF4FF3"/>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4770D2"/>
    <w:rPr>
      <w:rFonts w:ascii="Calibri" w:eastAsiaTheme="majorEastAsia" w:hAnsi="Calibri" w:cstheme="majorBidi"/>
      <w:b/>
      <w:bCs/>
      <w:i/>
      <w:color w:val="262626" w:themeColor="text1" w:themeTint="D9"/>
      <w:sz w:val="20"/>
      <w:szCs w:val="20"/>
      <w:lang w:eastAsia="en-AU"/>
    </w:rPr>
  </w:style>
  <w:style w:type="paragraph" w:customStyle="1" w:styleId="H11">
    <w:name w:val="H1(1)"/>
    <w:basedOn w:val="Normal"/>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table" w:styleId="LightShading-Accent4">
    <w:name w:val="Light Shading Accent 4"/>
    <w:basedOn w:val="TableNormal"/>
    <w:uiPriority w:val="60"/>
    <w:rsid w:val="00FA74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4770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aia\AppData\Local\Hewlett-Packard\HP%20TRIM\TEMP\HPTRIM.8492\R11%2012275%20%20REPORT%20TEMPLATE%20%20Inspection%20Report%20v8.2%20April%202017%20REG-INS-FORM-280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223F8BA1DA429CB18A677FF0A73D85"/>
        <w:category>
          <w:name w:val="General"/>
          <w:gallery w:val="placeholder"/>
        </w:category>
        <w:types>
          <w:type w:val="bbPlcHdr"/>
        </w:types>
        <w:behaviors>
          <w:behavior w:val="content"/>
        </w:behaviors>
        <w:guid w:val="{760783EC-6556-4D77-93A5-ABB3388EF426}"/>
      </w:docPartPr>
      <w:docPartBody>
        <w:p w:rsidR="0011210E" w:rsidRDefault="0011210E">
          <w:pPr>
            <w:pStyle w:val="DC223F8BA1DA429CB18A677FF0A73D85"/>
          </w:pPr>
          <w:r w:rsidRPr="00755264">
            <w:rPr>
              <w:rStyle w:val="PlaceholderText"/>
            </w:rPr>
            <w:t>[Keywords]</w:t>
          </w:r>
        </w:p>
      </w:docPartBody>
    </w:docPart>
    <w:docPart>
      <w:docPartPr>
        <w:name w:val="1DA7ACDF02334154971CF31665BF3AFE"/>
        <w:category>
          <w:name w:val="General"/>
          <w:gallery w:val="placeholder"/>
        </w:category>
        <w:types>
          <w:type w:val="bbPlcHdr"/>
        </w:types>
        <w:behaviors>
          <w:behavior w:val="content"/>
        </w:behaviors>
        <w:guid w:val="{F3EBA9B2-4DB9-401E-B09F-13EEA341EAE4}"/>
      </w:docPartPr>
      <w:docPartBody>
        <w:p w:rsidR="0011210E" w:rsidRDefault="0011210E">
          <w:pPr>
            <w:pStyle w:val="1DA7ACDF02334154971CF31665BF3AFE"/>
          </w:pPr>
          <w:r w:rsidRPr="00755264">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0E"/>
    <w:rsid w:val="0011210E"/>
    <w:rsid w:val="00453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E8B"/>
    <w:rPr>
      <w:color w:val="808080"/>
    </w:rPr>
  </w:style>
  <w:style w:type="paragraph" w:customStyle="1" w:styleId="2937768CC5A3472C97FD4F445F483EBE">
    <w:name w:val="2937768CC5A3472C97FD4F445F483EBE"/>
  </w:style>
  <w:style w:type="paragraph" w:customStyle="1" w:styleId="DC223F8BA1DA429CB18A677FF0A73D85">
    <w:name w:val="DC223F8BA1DA429CB18A677FF0A73D85"/>
  </w:style>
  <w:style w:type="paragraph" w:customStyle="1" w:styleId="D7945C040353425D847D2F06B5BB41D8">
    <w:name w:val="D7945C040353425D847D2F06B5BB41D8"/>
  </w:style>
  <w:style w:type="paragraph" w:customStyle="1" w:styleId="94E6622843BC4C4A9DA759EFBB0936E6">
    <w:name w:val="94E6622843BC4C4A9DA759EFBB0936E6"/>
  </w:style>
  <w:style w:type="paragraph" w:customStyle="1" w:styleId="8D3CD2DB87FB468293CDB181D22C3CF1">
    <w:name w:val="8D3CD2DB87FB468293CDB181D22C3CF1"/>
  </w:style>
  <w:style w:type="paragraph" w:customStyle="1" w:styleId="1DA7ACDF02334154971CF31665BF3AFE">
    <w:name w:val="1DA7ACDF02334154971CF31665BF3AFE"/>
  </w:style>
  <w:style w:type="paragraph" w:customStyle="1" w:styleId="C9B1035C7D2C4B5D8772B759B118EEB6">
    <w:name w:val="C9B1035C7D2C4B5D8772B759B118EEB6"/>
  </w:style>
  <w:style w:type="paragraph" w:customStyle="1" w:styleId="9F0148670BEB494FA2B2EFE03A3FAD0B">
    <w:name w:val="9F0148670BEB494FA2B2EFE03A3FAD0B"/>
  </w:style>
  <w:style w:type="paragraph" w:customStyle="1" w:styleId="38A387DF362040B89796119EEAF02228">
    <w:name w:val="38A387DF362040B89796119EEAF02228"/>
  </w:style>
  <w:style w:type="paragraph" w:customStyle="1" w:styleId="5BDE065C7721493EA0A8BD9343D853E5">
    <w:name w:val="5BDE065C7721493EA0A8BD9343D853E5"/>
  </w:style>
  <w:style w:type="paragraph" w:customStyle="1" w:styleId="61801C3F2C4E4C92AF514A581387677E">
    <w:name w:val="61801C3F2C4E4C92AF514A581387677E"/>
  </w:style>
  <w:style w:type="paragraph" w:customStyle="1" w:styleId="5099B4932BCF4BADAB871C1C9ED479FD">
    <w:name w:val="5099B4932BCF4BADAB871C1C9ED479FD"/>
  </w:style>
  <w:style w:type="paragraph" w:customStyle="1" w:styleId="B8286A72B3434239B26D961D23962E14">
    <w:name w:val="B8286A72B3434239B26D961D23962E14"/>
  </w:style>
  <w:style w:type="paragraph" w:customStyle="1" w:styleId="7182E487E936494F8D9799EF40CED7D4">
    <w:name w:val="7182E487E936494F8D9799EF40CED7D4"/>
  </w:style>
  <w:style w:type="paragraph" w:customStyle="1" w:styleId="3727D2942D0342F5A485811A5BB88D42">
    <w:name w:val="3727D2942D0342F5A485811A5BB88D42"/>
    <w:rsid w:val="00453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6DD09DE-02F4-4999-AD8D-AB7D83DF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R11 12275  REPORT TEMPLATE  Inspection Report v8.2 April 2017 REG-INS-FORM-280M.DOTX</Template>
  <TotalTime>1</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Inspection Report: ASC Pty Ltd and ASC AWD Shipbuilder Pty Ltd </vt:lpstr>
    </vt:vector>
  </TitlesOfParts>
  <Company>ARPANSA</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Report: ASC Pty Ltd and ASC AWD Shipbuilder Pty Ltd</dc:title>
  <dc:subject>ARPANSA Inspection Reports</dc:subject>
  <dc:creator>ARPANSA</dc:creator>
  <cp:keywords>S0190</cp:keywords>
  <cp:lastModifiedBy>Lisa Sforcina</cp:lastModifiedBy>
  <cp:revision>2</cp:revision>
  <cp:lastPrinted>2017-07-04T00:49:00Z</cp:lastPrinted>
  <dcterms:created xsi:type="dcterms:W3CDTF">2017-07-05T04:41:00Z</dcterms:created>
  <dcterms:modified xsi:type="dcterms:W3CDTF">2017-07-05T04:41:00Z</dcterms:modified>
</cp:coreProperties>
</file>