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81" w:rsidRPr="00AA5E81" w:rsidRDefault="00AA5E81" w:rsidP="00AA5E81">
      <w:pPr>
        <w:spacing w:before="240" w:after="0"/>
        <w:jc w:val="center"/>
        <w:rPr>
          <w:b/>
          <w:color w:val="4E1A74"/>
          <w:spacing w:val="10"/>
          <w:kern w:val="28"/>
          <w:sz w:val="48"/>
          <w:szCs w:val="48"/>
        </w:rPr>
      </w:pPr>
      <w:bookmarkStart w:id="0" w:name="_GoBack"/>
      <w:bookmarkEnd w:id="0"/>
      <w:r w:rsidRPr="00AA5E81">
        <w:rPr>
          <w:b/>
          <w:color w:val="4E1A74"/>
          <w:spacing w:val="10"/>
          <w:kern w:val="28"/>
          <w:sz w:val="48"/>
          <w:szCs w:val="48"/>
        </w:rPr>
        <w:t>Inspection report</w:t>
      </w:r>
    </w:p>
    <w:tbl>
      <w:tblPr>
        <w:tblStyle w:val="TableGrid"/>
        <w:tblW w:w="9781" w:type="dxa"/>
        <w:tblLook w:val="04A0" w:firstRow="1" w:lastRow="0" w:firstColumn="1" w:lastColumn="0" w:noHBand="0" w:noVBand="1"/>
      </w:tblPr>
      <w:tblGrid>
        <w:gridCol w:w="5387"/>
        <w:gridCol w:w="4394"/>
      </w:tblGrid>
      <w:tr w:rsidR="002A3D3D" w:rsidRPr="00560E17" w:rsidTr="002A3D3D">
        <w:trPr>
          <w:trHeight w:val="567"/>
        </w:trPr>
        <w:tc>
          <w:tcPr>
            <w:tcW w:w="5387" w:type="dxa"/>
            <w:vAlign w:val="center"/>
          </w:tcPr>
          <w:p w:rsidR="002A3D3D" w:rsidRDefault="002A3D3D" w:rsidP="00231D1D">
            <w:pPr>
              <w:spacing w:before="120"/>
              <w:rPr>
                <w:color w:val="4E1A74"/>
                <w:lang w:val="en-US"/>
              </w:rPr>
            </w:pPr>
            <w:r w:rsidRPr="00DE452A">
              <w:rPr>
                <w:b/>
                <w:color w:val="4E1A74"/>
                <w:lang w:val="en-US"/>
              </w:rPr>
              <w:t>Licence Holder</w:t>
            </w:r>
            <w:r w:rsidRPr="00DE452A">
              <w:rPr>
                <w:color w:val="4E1A74"/>
                <w:lang w:val="en-US"/>
              </w:rPr>
              <w:t>:</w:t>
            </w:r>
            <w:r w:rsidR="00231D1D">
              <w:rPr>
                <w:color w:val="4E1A74"/>
                <w:lang w:val="en-US"/>
              </w:rPr>
              <w:tab/>
              <w:t>Department of the Environment and Energy</w:t>
            </w:r>
          </w:p>
          <w:p w:rsidR="00231D1D" w:rsidRPr="00231D1D" w:rsidRDefault="00231D1D" w:rsidP="00231D1D">
            <w:pPr>
              <w:spacing w:before="0" w:after="120"/>
              <w:rPr>
                <w:color w:val="4E1A74"/>
                <w:lang w:val="en-US"/>
              </w:rPr>
            </w:pPr>
            <w:r>
              <w:rPr>
                <w:color w:val="4E1A74"/>
                <w:lang w:val="en-US"/>
              </w:rPr>
              <w:tab/>
            </w:r>
            <w:r>
              <w:rPr>
                <w:color w:val="4E1A74"/>
                <w:lang w:val="en-US"/>
              </w:rPr>
              <w:tab/>
              <w:t>Australian Antarctic Division</w:t>
            </w:r>
            <w:r w:rsidR="007D745F">
              <w:rPr>
                <w:color w:val="4E1A74"/>
                <w:lang w:val="en-US"/>
              </w:rPr>
              <w:t xml:space="preserve"> (AAD)</w:t>
            </w:r>
          </w:p>
        </w:tc>
        <w:tc>
          <w:tcPr>
            <w:tcW w:w="4394" w:type="dxa"/>
            <w:vAlign w:val="center"/>
          </w:tcPr>
          <w:p w:rsidR="002A3D3D" w:rsidRPr="00420588" w:rsidRDefault="002A3D3D" w:rsidP="003C0BCF">
            <w:pPr>
              <w:spacing w:before="120" w:after="120"/>
              <w:rPr>
                <w:color w:val="444448"/>
                <w:lang w:val="en-US"/>
              </w:rPr>
            </w:pPr>
            <w:r w:rsidRPr="00DE452A">
              <w:rPr>
                <w:b/>
                <w:color w:val="4E1A74"/>
                <w:lang w:val="en-US"/>
              </w:rPr>
              <w:t>Licence Number</w:t>
            </w:r>
            <w:r w:rsidRPr="00DE452A">
              <w:rPr>
                <w:color w:val="4E1A74"/>
                <w:lang w:val="en-US"/>
              </w:rPr>
              <w:t xml:space="preserve">:  </w:t>
            </w:r>
            <w:r w:rsidR="00231D1D">
              <w:rPr>
                <w:color w:val="4E1A74"/>
                <w:lang w:val="en-US"/>
              </w:rPr>
              <w:tab/>
              <w:t>S0055</w:t>
            </w:r>
          </w:p>
        </w:tc>
      </w:tr>
      <w:tr w:rsidR="002A3D3D" w:rsidRPr="00560E17" w:rsidTr="002A3D3D">
        <w:trPr>
          <w:trHeight w:val="450"/>
        </w:trPr>
        <w:tc>
          <w:tcPr>
            <w:tcW w:w="5387" w:type="dxa"/>
            <w:vMerge w:val="restart"/>
          </w:tcPr>
          <w:p w:rsidR="002A3D3D" w:rsidRPr="00420588" w:rsidRDefault="002A3D3D" w:rsidP="003C0BCF">
            <w:pPr>
              <w:spacing w:before="120"/>
              <w:rPr>
                <w:color w:val="444448"/>
                <w:lang w:val="en-US"/>
              </w:rPr>
            </w:pPr>
            <w:r w:rsidRPr="00DE452A">
              <w:rPr>
                <w:b/>
                <w:color w:val="4E1A74"/>
                <w:lang w:val="en-US"/>
              </w:rPr>
              <w:t>Location of source(s)</w:t>
            </w:r>
            <w:r w:rsidRPr="00DE452A">
              <w:rPr>
                <w:color w:val="4E1A74"/>
                <w:lang w:val="en-US"/>
              </w:rPr>
              <w:t xml:space="preserve">: </w:t>
            </w:r>
            <w:r w:rsidR="00881191">
              <w:rPr>
                <w:color w:val="4E1A74"/>
                <w:lang w:val="en-US"/>
              </w:rPr>
              <w:t>Casey Station</w:t>
            </w:r>
          </w:p>
        </w:tc>
        <w:tc>
          <w:tcPr>
            <w:tcW w:w="4394" w:type="dxa"/>
            <w:vAlign w:val="center"/>
          </w:tcPr>
          <w:p w:rsidR="002A3D3D" w:rsidRPr="00420588" w:rsidRDefault="002A3D3D" w:rsidP="003C0BCF">
            <w:pPr>
              <w:spacing w:before="120" w:after="120"/>
              <w:rPr>
                <w:color w:val="444448"/>
                <w:lang w:val="en-US"/>
              </w:rPr>
            </w:pPr>
            <w:r w:rsidRPr="00DE452A">
              <w:rPr>
                <w:b/>
                <w:color w:val="4E1A74"/>
                <w:lang w:val="en-US"/>
              </w:rPr>
              <w:t>Date/s of inspection</w:t>
            </w:r>
            <w:r w:rsidRPr="00DE452A">
              <w:rPr>
                <w:color w:val="4E1A74"/>
                <w:lang w:val="en-US"/>
              </w:rPr>
              <w:t xml:space="preserve">: </w:t>
            </w:r>
            <w:r w:rsidR="00231D1D">
              <w:rPr>
                <w:color w:val="4E1A74"/>
                <w:lang w:val="en-US"/>
              </w:rPr>
              <w:tab/>
              <w:t>15 September 2017</w:t>
            </w:r>
          </w:p>
        </w:tc>
      </w:tr>
      <w:tr w:rsidR="002A3D3D" w:rsidRPr="00560E17" w:rsidTr="002A3D3D">
        <w:trPr>
          <w:trHeight w:val="450"/>
        </w:trPr>
        <w:tc>
          <w:tcPr>
            <w:tcW w:w="5387" w:type="dxa"/>
            <w:vMerge/>
            <w:vAlign w:val="center"/>
          </w:tcPr>
          <w:p w:rsidR="002A3D3D" w:rsidRPr="00560E17" w:rsidRDefault="002A3D3D" w:rsidP="003C0BCF">
            <w:pPr>
              <w:rPr>
                <w:lang w:val="en-US"/>
              </w:rPr>
            </w:pPr>
          </w:p>
        </w:tc>
        <w:tc>
          <w:tcPr>
            <w:tcW w:w="4394" w:type="dxa"/>
            <w:vAlign w:val="center"/>
          </w:tcPr>
          <w:p w:rsidR="002A3D3D" w:rsidRPr="00560E17" w:rsidRDefault="002A3D3D" w:rsidP="00306158">
            <w:pPr>
              <w:spacing w:before="120" w:after="120"/>
              <w:rPr>
                <w:lang w:val="en-US"/>
              </w:rPr>
            </w:pPr>
            <w:r w:rsidRPr="00DE452A">
              <w:rPr>
                <w:b/>
                <w:color w:val="4E1A74"/>
                <w:lang w:val="en-US"/>
              </w:rPr>
              <w:t>Report No</w:t>
            </w:r>
            <w:r w:rsidRPr="002A3D3D">
              <w:rPr>
                <w:color w:val="632423" w:themeColor="accent2" w:themeShade="80"/>
                <w:lang w:val="en-US"/>
              </w:rPr>
              <w:t xml:space="preserve">: </w:t>
            </w:r>
            <w:r w:rsidR="002D380A">
              <w:rPr>
                <w:color w:val="632423" w:themeColor="accent2" w:themeShade="80"/>
                <w:lang w:val="en-US"/>
              </w:rPr>
              <w:tab/>
            </w:r>
            <w:r w:rsidR="002D380A">
              <w:rPr>
                <w:color w:val="632423" w:themeColor="accent2" w:themeShade="80"/>
                <w:lang w:val="en-US"/>
              </w:rPr>
              <w:tab/>
            </w:r>
            <w:r w:rsidR="00306158">
              <w:rPr>
                <w:color w:val="444448"/>
                <w:lang w:val="en-US"/>
              </w:rPr>
              <w:t>R17/</w:t>
            </w:r>
            <w:r w:rsidR="00AB0D97">
              <w:rPr>
                <w:color w:val="444448"/>
                <w:lang w:val="en-US"/>
              </w:rPr>
              <w:t>11072</w:t>
            </w:r>
          </w:p>
        </w:tc>
      </w:tr>
      <w:tr w:rsidR="002A3D3D" w:rsidRPr="00560E17" w:rsidTr="002A3D3D">
        <w:tc>
          <w:tcPr>
            <w:tcW w:w="9781" w:type="dxa"/>
            <w:gridSpan w:val="2"/>
          </w:tcPr>
          <w:p w:rsidR="002A3D3D" w:rsidRPr="00420588" w:rsidRDefault="002A3D3D" w:rsidP="003C0BCF">
            <w:pPr>
              <w:pStyle w:val="H11"/>
              <w:spacing w:before="120" w:after="120"/>
              <w:jc w:val="both"/>
              <w:rPr>
                <w:rFonts w:asciiTheme="minorHAnsi" w:hAnsiTheme="minorHAnsi"/>
                <w:b w:val="0"/>
                <w:color w:val="444448"/>
                <w:sz w:val="22"/>
                <w:szCs w:val="22"/>
              </w:rPr>
            </w:pPr>
            <w:r w:rsidRPr="00420588">
              <w:rPr>
                <w:rFonts w:asciiTheme="minorHAnsi" w:hAnsiTheme="minorHAnsi"/>
                <w:b w:val="0"/>
                <w:color w:val="444448"/>
                <w:sz w:val="22"/>
                <w:szCs w:val="22"/>
              </w:rPr>
              <w:t xml:space="preserve">An inspection was conducted as part of ARPANSA’s baseline inspection program. </w:t>
            </w:r>
            <w:r w:rsidR="005C0ECA">
              <w:rPr>
                <w:rFonts w:asciiTheme="minorHAnsi" w:hAnsiTheme="minorHAnsi"/>
                <w:b w:val="0"/>
                <w:color w:val="444448"/>
                <w:sz w:val="22"/>
                <w:szCs w:val="22"/>
              </w:rPr>
              <w:t xml:space="preserve"> </w:t>
            </w:r>
            <w:r w:rsidRPr="00420588">
              <w:rPr>
                <w:rFonts w:asciiTheme="minorHAnsi" w:hAnsiTheme="minorHAnsi"/>
                <w:b w:val="0"/>
                <w:color w:val="444448"/>
                <w:sz w:val="22"/>
                <w:szCs w:val="22"/>
              </w:rPr>
              <w:t xml:space="preserve">For the purposes of this inspection, the inspector did not enter the licence holder’s premises; instead the inspection was conducted using documents, photographs, and records sent by the licence holder, and further clarification via phone or email as necessary. </w:t>
            </w:r>
          </w:p>
          <w:p w:rsidR="002A3D3D" w:rsidRPr="007D745F" w:rsidRDefault="002A3D3D" w:rsidP="003C0BCF">
            <w:pPr>
              <w:pStyle w:val="H11"/>
              <w:spacing w:before="120" w:after="120"/>
              <w:jc w:val="both"/>
              <w:rPr>
                <w:rFonts w:asciiTheme="minorHAnsi" w:hAnsiTheme="minorHAnsi"/>
                <w:b w:val="0"/>
                <w:color w:val="444448"/>
                <w:sz w:val="22"/>
                <w:szCs w:val="22"/>
              </w:rPr>
            </w:pPr>
            <w:r w:rsidRPr="00420588">
              <w:rPr>
                <w:rFonts w:asciiTheme="minorHAnsi" w:hAnsiTheme="minorHAnsi"/>
                <w:b w:val="0"/>
                <w:color w:val="444448"/>
                <w:sz w:val="22"/>
                <w:szCs w:val="22"/>
              </w:rPr>
              <w:t xml:space="preserve">The purpose of the inspection was to assess compliance with the </w:t>
            </w:r>
            <w:r w:rsidRPr="00420588">
              <w:rPr>
                <w:rFonts w:asciiTheme="minorHAnsi" w:hAnsiTheme="minorHAnsi"/>
                <w:b w:val="0"/>
                <w:i/>
                <w:color w:val="444448"/>
                <w:sz w:val="22"/>
                <w:szCs w:val="22"/>
              </w:rPr>
              <w:t>Australian Radiation Protection and Nuclear Safety Act 1998</w:t>
            </w:r>
            <w:r w:rsidRPr="00420588">
              <w:rPr>
                <w:rFonts w:asciiTheme="minorHAnsi" w:hAnsiTheme="minorHAnsi"/>
                <w:b w:val="0"/>
                <w:color w:val="444448"/>
                <w:sz w:val="22"/>
                <w:szCs w:val="22"/>
              </w:rPr>
              <w:t xml:space="preserve"> (the Act), the Australian Radiation Protection and Nuclear Safety Regulations 1999 (the Regulations), and conditions of Source </w:t>
            </w:r>
            <w:r w:rsidRPr="007D745F">
              <w:rPr>
                <w:rFonts w:asciiTheme="minorHAnsi" w:hAnsiTheme="minorHAnsi"/>
                <w:b w:val="0"/>
                <w:color w:val="444448"/>
                <w:sz w:val="22"/>
                <w:szCs w:val="22"/>
              </w:rPr>
              <w:t>Licence S</w:t>
            </w:r>
            <w:r w:rsidR="005C0ECA" w:rsidRPr="007D745F">
              <w:rPr>
                <w:rFonts w:asciiTheme="minorHAnsi" w:hAnsiTheme="minorHAnsi"/>
                <w:b w:val="0"/>
                <w:color w:val="444448"/>
                <w:sz w:val="22"/>
                <w:szCs w:val="22"/>
              </w:rPr>
              <w:t>0055</w:t>
            </w:r>
            <w:r w:rsidRPr="007D745F">
              <w:rPr>
                <w:rFonts w:asciiTheme="minorHAnsi" w:hAnsiTheme="minorHAnsi"/>
                <w:b w:val="0"/>
                <w:color w:val="444448"/>
                <w:sz w:val="22"/>
                <w:szCs w:val="22"/>
              </w:rPr>
              <w:t xml:space="preserve">. </w:t>
            </w:r>
          </w:p>
          <w:p w:rsidR="002A3D3D" w:rsidRPr="00420588" w:rsidRDefault="002A3D3D" w:rsidP="003C0BCF">
            <w:pPr>
              <w:pStyle w:val="H11"/>
              <w:spacing w:before="120" w:after="120"/>
              <w:jc w:val="both"/>
              <w:rPr>
                <w:color w:val="444448"/>
              </w:rPr>
            </w:pPr>
            <w:r w:rsidRPr="00420588">
              <w:rPr>
                <w:rFonts w:asciiTheme="minorHAnsi" w:hAnsiTheme="minorHAnsi"/>
                <w:b w:val="0"/>
                <w:color w:val="444448"/>
                <w:sz w:val="22"/>
                <w:szCs w:val="22"/>
              </w:rPr>
              <w:t xml:space="preserve">The scope of the inspection included an assessment of </w:t>
            </w:r>
            <w:r w:rsidR="007D745F">
              <w:rPr>
                <w:rFonts w:asciiTheme="minorHAnsi" w:hAnsiTheme="minorHAnsi"/>
                <w:b w:val="0"/>
                <w:color w:val="444448"/>
                <w:sz w:val="22"/>
                <w:szCs w:val="22"/>
              </w:rPr>
              <w:t>AAD</w:t>
            </w:r>
            <w:r w:rsidR="005C0ECA" w:rsidRPr="005C0ECA">
              <w:rPr>
                <w:rFonts w:asciiTheme="minorHAnsi" w:hAnsiTheme="minorHAnsi"/>
                <w:b w:val="0"/>
                <w:color w:val="444448"/>
                <w:sz w:val="22"/>
                <w:szCs w:val="22"/>
              </w:rPr>
              <w:t xml:space="preserve"> </w:t>
            </w:r>
            <w:r w:rsidR="004A60A6">
              <w:rPr>
                <w:rFonts w:asciiTheme="minorHAnsi" w:hAnsiTheme="minorHAnsi"/>
                <w:b w:val="0"/>
                <w:color w:val="444448"/>
                <w:sz w:val="22"/>
                <w:szCs w:val="22"/>
              </w:rPr>
              <w:t>Casey</w:t>
            </w:r>
            <w:r w:rsidR="005C0ECA">
              <w:rPr>
                <w:rFonts w:asciiTheme="minorHAnsi" w:hAnsiTheme="minorHAnsi"/>
                <w:b w:val="0"/>
                <w:color w:val="444448"/>
                <w:sz w:val="22"/>
                <w:szCs w:val="22"/>
              </w:rPr>
              <w:t xml:space="preserve"> Station, Antarctica </w:t>
            </w:r>
            <w:r w:rsidRPr="00420588">
              <w:rPr>
                <w:rFonts w:asciiTheme="minorHAnsi" w:hAnsiTheme="minorHAnsi"/>
                <w:b w:val="0"/>
                <w:color w:val="444448"/>
                <w:sz w:val="22"/>
                <w:szCs w:val="22"/>
              </w:rPr>
              <w:t xml:space="preserve">performance against the Source Performance Objectives and Criteria.  </w:t>
            </w:r>
          </w:p>
          <w:p w:rsidR="002A3D3D" w:rsidRPr="00420588" w:rsidRDefault="002A3D3D" w:rsidP="003C0BCF">
            <w:pPr>
              <w:pStyle w:val="Heading3list"/>
              <w:rPr>
                <w:rFonts w:asciiTheme="minorHAnsi" w:hAnsiTheme="minorHAnsi"/>
                <w:color w:val="4E1A74"/>
                <w:sz w:val="22"/>
                <w:szCs w:val="22"/>
              </w:rPr>
            </w:pPr>
            <w:r w:rsidRPr="00420588">
              <w:rPr>
                <w:rFonts w:asciiTheme="minorHAnsi" w:hAnsiTheme="minorHAnsi"/>
                <w:color w:val="4E1A74"/>
                <w:sz w:val="22"/>
                <w:szCs w:val="22"/>
              </w:rPr>
              <w:t>Background</w:t>
            </w:r>
          </w:p>
          <w:p w:rsidR="007D745F" w:rsidRPr="007D745F" w:rsidRDefault="004D341A" w:rsidP="007D745F">
            <w:pPr>
              <w:jc w:val="both"/>
              <w:rPr>
                <w:sz w:val="22"/>
                <w:szCs w:val="22"/>
              </w:rPr>
            </w:pPr>
            <w:r>
              <w:rPr>
                <w:sz w:val="22"/>
                <w:szCs w:val="22"/>
              </w:rPr>
              <w:t>AAD</w:t>
            </w:r>
            <w:r w:rsidR="00100286" w:rsidRPr="00100286">
              <w:rPr>
                <w:sz w:val="22"/>
                <w:szCs w:val="22"/>
              </w:rPr>
              <w:t>, based in Hobart, manages and administers Australia’s interests in Antarctica and the Southern Ocean, along with the sub Antarctic territories of Heard Island and McDonald Islands and their adjacent waters.  The AAD leads, coordinates and delivers the Australian Antarctic Program, which is focused on conducting world-class science of national importance and global significance.</w:t>
            </w:r>
          </w:p>
          <w:p w:rsidR="002A3D3D" w:rsidRPr="007D745F" w:rsidRDefault="007D745F" w:rsidP="007D745F">
            <w:pPr>
              <w:jc w:val="both"/>
              <w:rPr>
                <w:sz w:val="22"/>
                <w:szCs w:val="22"/>
              </w:rPr>
            </w:pPr>
            <w:r w:rsidRPr="007D745F">
              <w:rPr>
                <w:sz w:val="22"/>
                <w:szCs w:val="22"/>
              </w:rPr>
              <w:t>In achieving these goals</w:t>
            </w:r>
            <w:r>
              <w:rPr>
                <w:sz w:val="22"/>
                <w:szCs w:val="22"/>
              </w:rPr>
              <w:t xml:space="preserve"> at </w:t>
            </w:r>
            <w:r w:rsidR="00091D09">
              <w:rPr>
                <w:sz w:val="22"/>
                <w:szCs w:val="22"/>
              </w:rPr>
              <w:t>Casey</w:t>
            </w:r>
            <w:r>
              <w:rPr>
                <w:sz w:val="22"/>
                <w:szCs w:val="22"/>
              </w:rPr>
              <w:t xml:space="preserve"> Station</w:t>
            </w:r>
            <w:r w:rsidRPr="007D745F">
              <w:rPr>
                <w:sz w:val="22"/>
                <w:szCs w:val="22"/>
              </w:rPr>
              <w:t xml:space="preserve">, AAD </w:t>
            </w:r>
            <w:r w:rsidR="00910890">
              <w:rPr>
                <w:sz w:val="22"/>
                <w:szCs w:val="22"/>
              </w:rPr>
              <w:t>use</w:t>
            </w:r>
            <w:r w:rsidR="00471C3E">
              <w:rPr>
                <w:sz w:val="22"/>
                <w:szCs w:val="22"/>
              </w:rPr>
              <w:t xml:space="preserve">s a </w:t>
            </w:r>
            <w:r w:rsidRPr="007D745F">
              <w:rPr>
                <w:sz w:val="22"/>
                <w:szCs w:val="22"/>
              </w:rPr>
              <w:t>sealed radioactive source</w:t>
            </w:r>
            <w:r w:rsidR="00471C3E">
              <w:rPr>
                <w:sz w:val="22"/>
                <w:szCs w:val="22"/>
              </w:rPr>
              <w:t xml:space="preserve"> device</w:t>
            </w:r>
            <w:r w:rsidR="00910890">
              <w:rPr>
                <w:sz w:val="22"/>
                <w:szCs w:val="22"/>
              </w:rPr>
              <w:t xml:space="preserve"> and </w:t>
            </w:r>
            <w:r w:rsidRPr="007D745F">
              <w:rPr>
                <w:sz w:val="22"/>
                <w:szCs w:val="22"/>
              </w:rPr>
              <w:t xml:space="preserve">a </w:t>
            </w:r>
            <w:r w:rsidR="00672B9B">
              <w:rPr>
                <w:sz w:val="22"/>
                <w:szCs w:val="22"/>
              </w:rPr>
              <w:t xml:space="preserve">UV apparatus </w:t>
            </w:r>
            <w:r w:rsidRPr="007D745F">
              <w:rPr>
                <w:sz w:val="22"/>
                <w:szCs w:val="22"/>
              </w:rPr>
              <w:t>as research tools</w:t>
            </w:r>
            <w:r w:rsidR="00911BE6">
              <w:rPr>
                <w:sz w:val="22"/>
                <w:szCs w:val="22"/>
              </w:rPr>
              <w:t xml:space="preserve"> as required by a particular science project</w:t>
            </w:r>
            <w:r w:rsidRPr="007D745F">
              <w:rPr>
                <w:sz w:val="22"/>
                <w:szCs w:val="22"/>
              </w:rPr>
              <w:t xml:space="preserve">.  Consequently, AAD is licensed under section 33 of the </w:t>
            </w:r>
            <w:r w:rsidRPr="007D745F">
              <w:rPr>
                <w:i/>
                <w:sz w:val="22"/>
                <w:szCs w:val="22"/>
              </w:rPr>
              <w:t>Australian Radiation Protection and Nuclear Safety Act 1998</w:t>
            </w:r>
            <w:r w:rsidRPr="007D745F">
              <w:rPr>
                <w:sz w:val="22"/>
                <w:szCs w:val="22"/>
              </w:rPr>
              <w:t xml:space="preserve"> to deal with controlled material and controlled apparatus.</w:t>
            </w:r>
          </w:p>
          <w:p w:rsidR="002A3D3D" w:rsidRPr="00420588" w:rsidRDefault="002A3D3D" w:rsidP="003C0BCF">
            <w:pPr>
              <w:pStyle w:val="Heading3list"/>
              <w:rPr>
                <w:rFonts w:asciiTheme="minorHAnsi" w:hAnsiTheme="minorHAnsi"/>
                <w:color w:val="4E1A74"/>
                <w:sz w:val="22"/>
                <w:szCs w:val="22"/>
              </w:rPr>
            </w:pPr>
            <w:r w:rsidRPr="00420588">
              <w:rPr>
                <w:rFonts w:asciiTheme="minorHAnsi" w:hAnsiTheme="minorHAnsi"/>
                <w:color w:val="4E1A74"/>
                <w:sz w:val="22"/>
                <w:szCs w:val="22"/>
              </w:rPr>
              <w:t>Observations</w:t>
            </w:r>
          </w:p>
          <w:p w:rsidR="00091D09" w:rsidRPr="00167AB5" w:rsidRDefault="00100286" w:rsidP="00167AB5">
            <w:pPr>
              <w:spacing w:before="120"/>
              <w:jc w:val="both"/>
              <w:rPr>
                <w:sz w:val="22"/>
                <w:szCs w:val="22"/>
              </w:rPr>
            </w:pPr>
            <w:r>
              <w:rPr>
                <w:sz w:val="22"/>
                <w:szCs w:val="22"/>
              </w:rPr>
              <w:t xml:space="preserve">In general, the management of safety margins by AAD at Casey Station was found to be sound.  In some cases however, there appeared to be </w:t>
            </w:r>
            <w:r w:rsidR="005C2C92">
              <w:rPr>
                <w:sz w:val="22"/>
                <w:szCs w:val="22"/>
              </w:rPr>
              <w:t>an area</w:t>
            </w:r>
            <w:r>
              <w:rPr>
                <w:sz w:val="22"/>
                <w:szCs w:val="22"/>
              </w:rPr>
              <w:t xml:space="preserve"> for improvement in relation to maintaining an up to date, accurate inventory of all controlled apparatus and controlled material.  For example, the sealed radioactive source device currently listed as being at Casey Station was actually in storage at Kingston, Tasmania until it decays sufficiently to be disposed.  The licensee advised in the e-</w:t>
            </w:r>
            <w:r w:rsidR="00167AB5">
              <w:rPr>
                <w:sz w:val="22"/>
                <w:szCs w:val="22"/>
              </w:rPr>
              <w:t xml:space="preserve">Inspection information that the </w:t>
            </w:r>
            <w:r w:rsidRPr="00167AB5">
              <w:rPr>
                <w:sz w:val="22"/>
                <w:szCs w:val="22"/>
              </w:rPr>
              <w:t>storage at Kingston was notified in April-June 2015 Quarterly report but SIW [source inventory workbook] was not updated at the time.</w:t>
            </w:r>
          </w:p>
          <w:p w:rsidR="007A0CBA" w:rsidRPr="00167AB5" w:rsidRDefault="00004D2A" w:rsidP="00167AB5">
            <w:pPr>
              <w:jc w:val="both"/>
              <w:rPr>
                <w:sz w:val="22"/>
                <w:szCs w:val="22"/>
                <w:lang w:val="en-US"/>
              </w:rPr>
            </w:pPr>
            <w:r>
              <w:rPr>
                <w:sz w:val="22"/>
                <w:szCs w:val="22"/>
                <w:lang w:val="en-US"/>
              </w:rPr>
              <w:t xml:space="preserve">The model and serial numbers of the laminar flow cabinet at Casey Station were also entered </w:t>
            </w:r>
            <w:r w:rsidR="005C2C92">
              <w:rPr>
                <w:sz w:val="22"/>
                <w:szCs w:val="22"/>
                <w:lang w:val="en-US"/>
              </w:rPr>
              <w:t xml:space="preserve">incorrectly </w:t>
            </w:r>
            <w:r>
              <w:rPr>
                <w:sz w:val="22"/>
                <w:szCs w:val="22"/>
                <w:lang w:val="en-US"/>
              </w:rPr>
              <w:t>in the SIW.</w:t>
            </w:r>
            <w:r w:rsidR="00390206">
              <w:rPr>
                <w:sz w:val="22"/>
                <w:szCs w:val="22"/>
                <w:lang w:val="en-US"/>
              </w:rPr>
              <w:t xml:space="preserve">  </w:t>
            </w:r>
            <w:r w:rsidR="007A0CBA">
              <w:rPr>
                <w:sz w:val="22"/>
                <w:szCs w:val="22"/>
                <w:lang w:val="en-US"/>
              </w:rPr>
              <w:t xml:space="preserve">The licensee has advised </w:t>
            </w:r>
            <w:r w:rsidR="00390206">
              <w:rPr>
                <w:sz w:val="22"/>
                <w:szCs w:val="22"/>
                <w:lang w:val="en-US"/>
              </w:rPr>
              <w:t xml:space="preserve">however </w:t>
            </w:r>
            <w:r w:rsidR="007A0CBA">
              <w:rPr>
                <w:sz w:val="22"/>
                <w:szCs w:val="22"/>
                <w:lang w:val="en-US"/>
              </w:rPr>
              <w:t xml:space="preserve">that </w:t>
            </w:r>
            <w:r>
              <w:rPr>
                <w:sz w:val="22"/>
                <w:szCs w:val="22"/>
                <w:lang w:val="en-US"/>
              </w:rPr>
              <w:t xml:space="preserve">the </w:t>
            </w:r>
            <w:r w:rsidR="00167AB5">
              <w:rPr>
                <w:sz w:val="22"/>
                <w:szCs w:val="22"/>
                <w:lang w:val="en-US"/>
              </w:rPr>
              <w:t xml:space="preserve">apparatus </w:t>
            </w:r>
            <w:r w:rsidR="007A0CBA" w:rsidRPr="00167AB5">
              <w:rPr>
                <w:sz w:val="22"/>
                <w:szCs w:val="22"/>
                <w:lang w:val="en-US"/>
              </w:rPr>
              <w:t xml:space="preserve">has not been used and no personnel have been </w:t>
            </w:r>
            <w:proofErr w:type="spellStart"/>
            <w:r w:rsidR="007A0CBA" w:rsidRPr="00167AB5">
              <w:rPr>
                <w:sz w:val="22"/>
                <w:szCs w:val="22"/>
                <w:lang w:val="en-US"/>
              </w:rPr>
              <w:t>authorised</w:t>
            </w:r>
            <w:proofErr w:type="spellEnd"/>
            <w:r w:rsidR="007A0CBA" w:rsidRPr="00167AB5">
              <w:rPr>
                <w:sz w:val="22"/>
                <w:szCs w:val="22"/>
                <w:lang w:val="en-US"/>
              </w:rPr>
              <w:t xml:space="preserve"> to operate the apparatus since at least March 2013.</w:t>
            </w:r>
          </w:p>
          <w:p w:rsidR="007A0CBA" w:rsidRDefault="007A0CBA" w:rsidP="003C0BCF">
            <w:pPr>
              <w:jc w:val="both"/>
              <w:rPr>
                <w:sz w:val="22"/>
                <w:szCs w:val="22"/>
                <w:lang w:val="en-US"/>
              </w:rPr>
            </w:pPr>
            <w:r>
              <w:rPr>
                <w:sz w:val="22"/>
                <w:szCs w:val="22"/>
                <w:lang w:val="en-US"/>
              </w:rPr>
              <w:lastRenderedPageBreak/>
              <w:t>Photographs provided by the licensee show that operating instructions, which include a list of potential hazards and risks involved with its use, are located on the apparatus although standard signage was not apparent.  AAD would need to rectify this labelling issue before the unit is recommissioned for use.</w:t>
            </w:r>
          </w:p>
          <w:p w:rsidR="00E96B92" w:rsidRDefault="006053D5" w:rsidP="003C0BCF">
            <w:pPr>
              <w:jc w:val="both"/>
              <w:rPr>
                <w:sz w:val="22"/>
                <w:szCs w:val="22"/>
                <w:lang w:val="en-US"/>
              </w:rPr>
            </w:pPr>
            <w:r>
              <w:rPr>
                <w:sz w:val="22"/>
                <w:szCs w:val="22"/>
                <w:lang w:val="en-US"/>
              </w:rPr>
              <w:t>Safety</w:t>
            </w:r>
            <w:r w:rsidR="007A0CBA">
              <w:rPr>
                <w:sz w:val="22"/>
                <w:szCs w:val="22"/>
                <w:lang w:val="en-US"/>
              </w:rPr>
              <w:t xml:space="preserve"> </w:t>
            </w:r>
            <w:r w:rsidR="00786A96">
              <w:rPr>
                <w:sz w:val="22"/>
                <w:szCs w:val="22"/>
                <w:lang w:val="en-US"/>
              </w:rPr>
              <w:t xml:space="preserve">goggles </w:t>
            </w:r>
            <w:r w:rsidR="00066092">
              <w:rPr>
                <w:sz w:val="22"/>
                <w:szCs w:val="22"/>
                <w:lang w:val="en-US"/>
              </w:rPr>
              <w:t xml:space="preserve">appropriate for the </w:t>
            </w:r>
            <w:r w:rsidR="007A0CBA">
              <w:rPr>
                <w:sz w:val="22"/>
                <w:szCs w:val="22"/>
                <w:lang w:val="en-US"/>
              </w:rPr>
              <w:t>UV</w:t>
            </w:r>
            <w:r w:rsidR="00066092">
              <w:rPr>
                <w:sz w:val="22"/>
                <w:szCs w:val="22"/>
                <w:lang w:val="en-US"/>
              </w:rPr>
              <w:t xml:space="preserve"> emissions a</w:t>
            </w:r>
            <w:r w:rsidR="00786A96">
              <w:rPr>
                <w:sz w:val="22"/>
                <w:szCs w:val="22"/>
                <w:lang w:val="en-US"/>
              </w:rPr>
              <w:t>re available for use with the</w:t>
            </w:r>
            <w:r w:rsidR="007A0CBA">
              <w:rPr>
                <w:sz w:val="22"/>
                <w:szCs w:val="22"/>
                <w:lang w:val="en-US"/>
              </w:rPr>
              <w:t xml:space="preserve"> </w:t>
            </w:r>
            <w:r w:rsidR="00390206">
              <w:rPr>
                <w:sz w:val="22"/>
                <w:szCs w:val="22"/>
                <w:lang w:val="en-US"/>
              </w:rPr>
              <w:t>apparatus</w:t>
            </w:r>
            <w:r w:rsidR="00786A96">
              <w:rPr>
                <w:sz w:val="22"/>
                <w:szCs w:val="22"/>
                <w:lang w:val="en-US"/>
              </w:rPr>
              <w:t>.</w:t>
            </w:r>
            <w:r w:rsidR="001230C3">
              <w:rPr>
                <w:sz w:val="22"/>
                <w:szCs w:val="22"/>
                <w:lang w:val="en-US"/>
              </w:rPr>
              <w:t xml:space="preserve">  </w:t>
            </w:r>
          </w:p>
          <w:p w:rsidR="00467EF0" w:rsidRDefault="00AA2DA6" w:rsidP="00467EF0">
            <w:pPr>
              <w:jc w:val="both"/>
              <w:rPr>
                <w:sz w:val="22"/>
                <w:szCs w:val="22"/>
                <w:lang w:val="en-US"/>
              </w:rPr>
            </w:pPr>
            <w:r>
              <w:rPr>
                <w:sz w:val="22"/>
                <w:szCs w:val="22"/>
                <w:lang w:val="en-US"/>
              </w:rPr>
              <w:t xml:space="preserve">The </w:t>
            </w:r>
            <w:r w:rsidR="00390206">
              <w:rPr>
                <w:sz w:val="22"/>
                <w:szCs w:val="22"/>
                <w:lang w:val="en-US"/>
              </w:rPr>
              <w:t>apparatus</w:t>
            </w:r>
            <w:r>
              <w:rPr>
                <w:sz w:val="22"/>
                <w:szCs w:val="22"/>
                <w:lang w:val="en-US"/>
              </w:rPr>
              <w:t xml:space="preserve"> will not be used until an approved Antarctic science project requires it.  AAD has committed to ensuring all personnel who will operate the equipment for such a science project will be trained in UV hazards and the standard operating procedure for the device before departing Australia for Casey Station.</w:t>
            </w:r>
          </w:p>
          <w:p w:rsidR="002A3D3D" w:rsidRPr="009B68E7" w:rsidRDefault="002A3D3D" w:rsidP="003C0BCF">
            <w:pPr>
              <w:pStyle w:val="Heading3list"/>
              <w:rPr>
                <w:rFonts w:asciiTheme="minorHAnsi" w:hAnsiTheme="minorHAnsi"/>
                <w:color w:val="4E1A74"/>
                <w:sz w:val="22"/>
                <w:szCs w:val="22"/>
              </w:rPr>
            </w:pPr>
            <w:r w:rsidRPr="009B68E7">
              <w:rPr>
                <w:rFonts w:asciiTheme="minorHAnsi" w:hAnsiTheme="minorHAnsi"/>
                <w:color w:val="4E1A74"/>
                <w:sz w:val="22"/>
                <w:szCs w:val="22"/>
              </w:rPr>
              <w:t>Findings</w:t>
            </w:r>
          </w:p>
          <w:p w:rsidR="00100286" w:rsidRDefault="00100286" w:rsidP="00100286">
            <w:pPr>
              <w:spacing w:before="120"/>
              <w:jc w:val="both"/>
              <w:rPr>
                <w:sz w:val="22"/>
                <w:szCs w:val="22"/>
                <w:lang w:val="en-US"/>
              </w:rPr>
            </w:pPr>
            <w:r>
              <w:rPr>
                <w:sz w:val="22"/>
                <w:szCs w:val="22"/>
                <w:lang w:val="en-US"/>
              </w:rPr>
              <w:t xml:space="preserve">The </w:t>
            </w:r>
            <w:proofErr w:type="spellStart"/>
            <w:r>
              <w:rPr>
                <w:sz w:val="22"/>
                <w:szCs w:val="22"/>
                <w:lang w:val="en-US"/>
              </w:rPr>
              <w:t>licence</w:t>
            </w:r>
            <w:proofErr w:type="spellEnd"/>
            <w:r>
              <w:rPr>
                <w:sz w:val="22"/>
                <w:szCs w:val="22"/>
                <w:lang w:val="en-US"/>
              </w:rPr>
              <w:t xml:space="preserve"> holder was found to be in compliance with the requirements of the Act, the Regulations, and </w:t>
            </w:r>
            <w:proofErr w:type="spellStart"/>
            <w:r>
              <w:rPr>
                <w:sz w:val="22"/>
                <w:szCs w:val="22"/>
                <w:lang w:val="en-US"/>
              </w:rPr>
              <w:t>licence</w:t>
            </w:r>
            <w:proofErr w:type="spellEnd"/>
            <w:r>
              <w:rPr>
                <w:sz w:val="22"/>
                <w:szCs w:val="22"/>
                <w:lang w:val="en-US"/>
              </w:rPr>
              <w:t xml:space="preserve"> conditions.</w:t>
            </w:r>
          </w:p>
          <w:p w:rsidR="00100286" w:rsidRDefault="00100286" w:rsidP="00100286">
            <w:pPr>
              <w:spacing w:before="120"/>
              <w:jc w:val="both"/>
              <w:rPr>
                <w:sz w:val="22"/>
                <w:szCs w:val="22"/>
                <w:lang w:val="en-US"/>
              </w:rPr>
            </w:pPr>
            <w:r>
              <w:rPr>
                <w:sz w:val="22"/>
                <w:szCs w:val="22"/>
                <w:lang w:val="en-US"/>
              </w:rPr>
              <w:t>The inspection revealed the following area for improvement:</w:t>
            </w:r>
          </w:p>
          <w:p w:rsidR="00100286" w:rsidRDefault="00100286" w:rsidP="00100286">
            <w:pPr>
              <w:spacing w:before="120"/>
              <w:jc w:val="both"/>
              <w:rPr>
                <w:sz w:val="22"/>
                <w:szCs w:val="22"/>
                <w:lang w:val="en-US"/>
              </w:rPr>
            </w:pPr>
            <w:r>
              <w:rPr>
                <w:sz w:val="22"/>
                <w:szCs w:val="22"/>
                <w:lang w:val="en-US"/>
              </w:rPr>
              <w:tab/>
              <w:t>The SIW was not up to date.</w:t>
            </w:r>
          </w:p>
          <w:p w:rsidR="005E310E" w:rsidRPr="009B68E7" w:rsidRDefault="00100286" w:rsidP="00100286">
            <w:pPr>
              <w:spacing w:before="120" w:after="120"/>
              <w:ind w:left="720" w:hanging="720"/>
              <w:rPr>
                <w:color w:val="FF0000"/>
                <w:sz w:val="22"/>
                <w:szCs w:val="22"/>
              </w:rPr>
            </w:pPr>
            <w:r>
              <w:rPr>
                <w:sz w:val="22"/>
                <w:szCs w:val="22"/>
                <w:lang w:val="en-US"/>
              </w:rPr>
              <w:t>It is expected that improvement actions be taken in a timely manner.</w:t>
            </w:r>
          </w:p>
        </w:tc>
      </w:tr>
    </w:tbl>
    <w:p w:rsidR="002A3D3D" w:rsidRPr="00A3384F" w:rsidRDefault="002A3D3D" w:rsidP="00167AB5">
      <w:pPr>
        <w:ind w:left="-426"/>
        <w:jc w:val="center"/>
        <w:rPr>
          <w:rFonts w:cs="Arial"/>
        </w:rPr>
      </w:pPr>
    </w:p>
    <w:sectPr w:rsidR="002A3D3D" w:rsidRPr="00A3384F" w:rsidSect="00EF13F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1BC" w:rsidRDefault="00C861BC" w:rsidP="00C24160">
      <w:r>
        <w:separator/>
      </w:r>
    </w:p>
  </w:endnote>
  <w:endnote w:type="continuationSeparator" w:id="0">
    <w:p w:rsidR="00C861BC" w:rsidRDefault="00C861BC"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BA" w:rsidRDefault="00E8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81" w:rsidRPr="00AA5E81" w:rsidRDefault="00AA5E81" w:rsidP="00AA5E81">
    <w:pPr>
      <w:tabs>
        <w:tab w:val="left" w:pos="4253"/>
        <w:tab w:val="right" w:pos="9498"/>
      </w:tabs>
      <w:spacing w:before="240" w:after="0" w:line="240" w:lineRule="auto"/>
      <w:rPr>
        <w:color w:val="262626" w:themeColor="text1" w:themeTint="D9"/>
        <w:sz w:val="16"/>
        <w:szCs w:val="22"/>
      </w:rPr>
    </w:pPr>
    <w:r w:rsidRPr="00AA5E81">
      <w:rPr>
        <w:color w:val="262626" w:themeColor="text1" w:themeTint="D9"/>
        <w:sz w:val="16"/>
        <w:szCs w:val="22"/>
      </w:rPr>
      <w:t>REG-INS-FORM-280</w:t>
    </w:r>
    <w:r>
      <w:rPr>
        <w:color w:val="262626" w:themeColor="text1" w:themeTint="D9"/>
        <w:sz w:val="16"/>
        <w:szCs w:val="22"/>
      </w:rPr>
      <w:t xml:space="preserve">O </w:t>
    </w:r>
    <w:r w:rsidRPr="00AA5E81">
      <w:rPr>
        <w:color w:val="262626" w:themeColor="text1" w:themeTint="D9"/>
        <w:sz w:val="16"/>
        <w:szCs w:val="22"/>
      </w:rPr>
      <w:t>v2</w:t>
    </w:r>
    <w:r>
      <w:rPr>
        <w:color w:val="262626" w:themeColor="text1" w:themeTint="D9"/>
        <w:sz w:val="16"/>
        <w:szCs w:val="22"/>
      </w:rPr>
      <w:t>.1</w:t>
    </w:r>
    <w:r w:rsidRPr="00AA5E81">
      <w:rPr>
        <w:color w:val="262626" w:themeColor="text1" w:themeTint="D9"/>
        <w:sz w:val="16"/>
        <w:szCs w:val="22"/>
      </w:rPr>
      <w:t xml:space="preserve"> </w:t>
    </w:r>
    <w:r w:rsidRPr="00AA5E81">
      <w:rPr>
        <w:color w:val="262626" w:themeColor="text1" w:themeTint="D9"/>
        <w:sz w:val="16"/>
        <w:szCs w:val="22"/>
      </w:rPr>
      <w:tab/>
    </w:r>
    <w:r>
      <w:rPr>
        <w:color w:val="262626" w:themeColor="text1" w:themeTint="D9"/>
        <w:sz w:val="16"/>
        <w:szCs w:val="22"/>
      </w:rPr>
      <w:t xml:space="preserve">February </w:t>
    </w:r>
    <w:r w:rsidRPr="00AA5E81">
      <w:rPr>
        <w:color w:val="262626" w:themeColor="text1" w:themeTint="D9"/>
        <w:sz w:val="16"/>
        <w:szCs w:val="22"/>
      </w:rPr>
      <w:t>2017</w:t>
    </w:r>
    <w:r w:rsidRPr="00AA5E81">
      <w:rPr>
        <w:color w:val="262626" w:themeColor="text1" w:themeTint="D9"/>
        <w:sz w:val="16"/>
        <w:szCs w:val="22"/>
      </w:rPr>
      <w:tab/>
    </w:r>
    <w:r w:rsidRPr="00AA5E81">
      <w:rPr>
        <w:bCs/>
        <w:color w:val="262626" w:themeColor="text1" w:themeTint="D9"/>
        <w:sz w:val="16"/>
        <w:szCs w:val="22"/>
      </w:rPr>
      <w:fldChar w:fldCharType="begin"/>
    </w:r>
    <w:r w:rsidRPr="00AA5E81">
      <w:rPr>
        <w:bCs/>
        <w:color w:val="262626" w:themeColor="text1" w:themeTint="D9"/>
        <w:sz w:val="16"/>
        <w:szCs w:val="22"/>
      </w:rPr>
      <w:instrText xml:space="preserve"> PAGE  \* Arabic  \* MERGEFORMAT </w:instrText>
    </w:r>
    <w:r w:rsidRPr="00AA5E81">
      <w:rPr>
        <w:bCs/>
        <w:color w:val="262626" w:themeColor="text1" w:themeTint="D9"/>
        <w:sz w:val="16"/>
        <w:szCs w:val="22"/>
      </w:rPr>
      <w:fldChar w:fldCharType="separate"/>
    </w:r>
    <w:r w:rsidR="00FA6866">
      <w:rPr>
        <w:bCs/>
        <w:noProof/>
        <w:color w:val="262626" w:themeColor="text1" w:themeTint="D9"/>
        <w:sz w:val="16"/>
        <w:szCs w:val="22"/>
      </w:rPr>
      <w:t>2</w:t>
    </w:r>
    <w:r w:rsidRPr="00AA5E81">
      <w:rPr>
        <w:bCs/>
        <w:color w:val="262626" w:themeColor="text1" w:themeTint="D9"/>
        <w:sz w:val="16"/>
        <w:szCs w:val="22"/>
      </w:rPr>
      <w:fldChar w:fldCharType="end"/>
    </w:r>
    <w:r w:rsidRPr="00AA5E81">
      <w:rPr>
        <w:color w:val="262626" w:themeColor="text1" w:themeTint="D9"/>
        <w:sz w:val="16"/>
        <w:szCs w:val="22"/>
      </w:rPr>
      <w:t xml:space="preserve"> of </w:t>
    </w:r>
    <w:r w:rsidRPr="00AA5E81">
      <w:rPr>
        <w:bCs/>
        <w:color w:val="262626" w:themeColor="text1" w:themeTint="D9"/>
        <w:sz w:val="16"/>
        <w:szCs w:val="22"/>
      </w:rPr>
      <w:fldChar w:fldCharType="begin"/>
    </w:r>
    <w:r w:rsidRPr="00AA5E81">
      <w:rPr>
        <w:bCs/>
        <w:color w:val="262626" w:themeColor="text1" w:themeTint="D9"/>
        <w:sz w:val="16"/>
        <w:szCs w:val="22"/>
      </w:rPr>
      <w:instrText xml:space="preserve"> NUMPAGES  \* Arabic  \* MERGEFORMAT </w:instrText>
    </w:r>
    <w:r w:rsidRPr="00AA5E81">
      <w:rPr>
        <w:bCs/>
        <w:color w:val="262626" w:themeColor="text1" w:themeTint="D9"/>
        <w:sz w:val="16"/>
        <w:szCs w:val="22"/>
      </w:rPr>
      <w:fldChar w:fldCharType="separate"/>
    </w:r>
    <w:r w:rsidR="00FA6866">
      <w:rPr>
        <w:bCs/>
        <w:noProof/>
        <w:color w:val="262626" w:themeColor="text1" w:themeTint="D9"/>
        <w:sz w:val="16"/>
        <w:szCs w:val="22"/>
      </w:rPr>
      <w:t>2</w:t>
    </w:r>
    <w:r w:rsidRPr="00AA5E81">
      <w:rPr>
        <w:bCs/>
        <w:color w:val="262626" w:themeColor="text1" w:themeTint="D9"/>
        <w:sz w:val="16"/>
        <w:szCs w:val="22"/>
      </w:rPr>
      <w:fldChar w:fldCharType="end"/>
    </w:r>
  </w:p>
  <w:p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81" w:rsidRPr="00AA5E81" w:rsidRDefault="00AA5E81" w:rsidP="00AA5E81">
    <w:pPr>
      <w:tabs>
        <w:tab w:val="left" w:pos="4253"/>
        <w:tab w:val="right" w:pos="9498"/>
      </w:tabs>
      <w:spacing w:before="240" w:after="0" w:line="240" w:lineRule="auto"/>
      <w:rPr>
        <w:color w:val="262626" w:themeColor="text1" w:themeTint="D9"/>
        <w:sz w:val="16"/>
        <w:szCs w:val="22"/>
      </w:rPr>
    </w:pPr>
    <w:r w:rsidRPr="00AA5E81">
      <w:rPr>
        <w:color w:val="262626" w:themeColor="text1" w:themeTint="D9"/>
        <w:sz w:val="16"/>
        <w:szCs w:val="22"/>
      </w:rPr>
      <w:t>REG-INS-FORM-280</w:t>
    </w:r>
    <w:r>
      <w:rPr>
        <w:color w:val="262626" w:themeColor="text1" w:themeTint="D9"/>
        <w:sz w:val="16"/>
        <w:szCs w:val="22"/>
      </w:rPr>
      <w:t xml:space="preserve">O </w:t>
    </w:r>
    <w:r w:rsidRPr="00AA5E81">
      <w:rPr>
        <w:color w:val="262626" w:themeColor="text1" w:themeTint="D9"/>
        <w:sz w:val="16"/>
        <w:szCs w:val="22"/>
      </w:rPr>
      <w:t>v2</w:t>
    </w:r>
    <w:r>
      <w:rPr>
        <w:color w:val="262626" w:themeColor="text1" w:themeTint="D9"/>
        <w:sz w:val="16"/>
        <w:szCs w:val="22"/>
      </w:rPr>
      <w:t>.1</w:t>
    </w:r>
    <w:r w:rsidRPr="00AA5E81">
      <w:rPr>
        <w:color w:val="262626" w:themeColor="text1" w:themeTint="D9"/>
        <w:sz w:val="16"/>
        <w:szCs w:val="22"/>
      </w:rPr>
      <w:t xml:space="preserve"> </w:t>
    </w:r>
    <w:r w:rsidRPr="00AA5E81">
      <w:rPr>
        <w:color w:val="262626" w:themeColor="text1" w:themeTint="D9"/>
        <w:sz w:val="16"/>
        <w:szCs w:val="22"/>
      </w:rPr>
      <w:tab/>
    </w:r>
    <w:r>
      <w:rPr>
        <w:color w:val="262626" w:themeColor="text1" w:themeTint="D9"/>
        <w:sz w:val="16"/>
        <w:szCs w:val="22"/>
      </w:rPr>
      <w:t xml:space="preserve">February </w:t>
    </w:r>
    <w:r w:rsidRPr="00AA5E81">
      <w:rPr>
        <w:color w:val="262626" w:themeColor="text1" w:themeTint="D9"/>
        <w:sz w:val="16"/>
        <w:szCs w:val="22"/>
      </w:rPr>
      <w:t>2017</w:t>
    </w:r>
    <w:r w:rsidRPr="00AA5E81">
      <w:rPr>
        <w:color w:val="262626" w:themeColor="text1" w:themeTint="D9"/>
        <w:sz w:val="16"/>
        <w:szCs w:val="22"/>
      </w:rPr>
      <w:tab/>
    </w:r>
    <w:r w:rsidRPr="00AA5E81">
      <w:rPr>
        <w:bCs/>
        <w:color w:val="262626" w:themeColor="text1" w:themeTint="D9"/>
        <w:sz w:val="16"/>
        <w:szCs w:val="22"/>
      </w:rPr>
      <w:fldChar w:fldCharType="begin"/>
    </w:r>
    <w:r w:rsidRPr="00AA5E81">
      <w:rPr>
        <w:bCs/>
        <w:color w:val="262626" w:themeColor="text1" w:themeTint="D9"/>
        <w:sz w:val="16"/>
        <w:szCs w:val="22"/>
      </w:rPr>
      <w:instrText xml:space="preserve"> PAGE  \* Arabic  \* MERGEFORMAT </w:instrText>
    </w:r>
    <w:r w:rsidRPr="00AA5E81">
      <w:rPr>
        <w:bCs/>
        <w:color w:val="262626" w:themeColor="text1" w:themeTint="D9"/>
        <w:sz w:val="16"/>
        <w:szCs w:val="22"/>
      </w:rPr>
      <w:fldChar w:fldCharType="separate"/>
    </w:r>
    <w:r w:rsidR="00FA6866">
      <w:rPr>
        <w:bCs/>
        <w:noProof/>
        <w:color w:val="262626" w:themeColor="text1" w:themeTint="D9"/>
        <w:sz w:val="16"/>
        <w:szCs w:val="22"/>
      </w:rPr>
      <w:t>1</w:t>
    </w:r>
    <w:r w:rsidRPr="00AA5E81">
      <w:rPr>
        <w:bCs/>
        <w:color w:val="262626" w:themeColor="text1" w:themeTint="D9"/>
        <w:sz w:val="16"/>
        <w:szCs w:val="22"/>
      </w:rPr>
      <w:fldChar w:fldCharType="end"/>
    </w:r>
    <w:r w:rsidRPr="00AA5E81">
      <w:rPr>
        <w:color w:val="262626" w:themeColor="text1" w:themeTint="D9"/>
        <w:sz w:val="16"/>
        <w:szCs w:val="22"/>
      </w:rPr>
      <w:t xml:space="preserve"> of </w:t>
    </w:r>
    <w:r w:rsidRPr="00AA5E81">
      <w:rPr>
        <w:bCs/>
        <w:color w:val="262626" w:themeColor="text1" w:themeTint="D9"/>
        <w:sz w:val="16"/>
        <w:szCs w:val="22"/>
      </w:rPr>
      <w:fldChar w:fldCharType="begin"/>
    </w:r>
    <w:r w:rsidRPr="00AA5E81">
      <w:rPr>
        <w:bCs/>
        <w:color w:val="262626" w:themeColor="text1" w:themeTint="D9"/>
        <w:sz w:val="16"/>
        <w:szCs w:val="22"/>
      </w:rPr>
      <w:instrText xml:space="preserve"> NUMPAGES  \* Arabic  \* MERGEFORMAT </w:instrText>
    </w:r>
    <w:r w:rsidRPr="00AA5E81">
      <w:rPr>
        <w:bCs/>
        <w:color w:val="262626" w:themeColor="text1" w:themeTint="D9"/>
        <w:sz w:val="16"/>
        <w:szCs w:val="22"/>
      </w:rPr>
      <w:fldChar w:fldCharType="separate"/>
    </w:r>
    <w:r w:rsidR="00FA6866">
      <w:rPr>
        <w:bCs/>
        <w:noProof/>
        <w:color w:val="262626" w:themeColor="text1" w:themeTint="D9"/>
        <w:sz w:val="16"/>
        <w:szCs w:val="22"/>
      </w:rPr>
      <w:t>2</w:t>
    </w:r>
    <w:r w:rsidRPr="00AA5E81">
      <w:rPr>
        <w:bCs/>
        <w:color w:val="262626" w:themeColor="text1" w:themeTint="D9"/>
        <w:sz w:val="16"/>
        <w:szCs w:val="22"/>
      </w:rPr>
      <w:fldChar w:fldCharType="end"/>
    </w:r>
  </w:p>
  <w:p w:rsidR="00444AA3" w:rsidRPr="00AA5E81" w:rsidRDefault="00AA5E81" w:rsidP="00AA5E81">
    <w:pPr>
      <w:tabs>
        <w:tab w:val="left" w:pos="3686"/>
        <w:tab w:val="right" w:pos="9498"/>
      </w:tabs>
      <w:spacing w:before="240" w:after="0" w:line="240" w:lineRule="auto"/>
      <w:rPr>
        <w:color w:val="262626" w:themeColor="text1" w:themeTint="D9"/>
        <w:sz w:val="16"/>
        <w:szCs w:val="18"/>
      </w:rPr>
    </w:pPr>
    <w:r w:rsidRPr="00AA5E81">
      <w:rPr>
        <w:noProof/>
        <w:color w:val="262626" w:themeColor="text1" w:themeTint="D9"/>
        <w:sz w:val="12"/>
        <w:szCs w:val="22"/>
      </w:rPr>
      <w:drawing>
        <wp:anchor distT="0" distB="0" distL="114300" distR="114300" simplePos="0" relativeHeight="251658240" behindDoc="0" locked="0" layoutInCell="1" allowOverlap="1" wp14:anchorId="5E7986FF" wp14:editId="773CC631">
          <wp:simplePos x="0" y="0"/>
          <wp:positionH relativeFrom="column">
            <wp:posOffset>0</wp:posOffset>
          </wp:positionH>
          <wp:positionV relativeFrom="paragraph">
            <wp:posOffset>64135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AA5E81">
      <w:rPr>
        <w:color w:val="262626" w:themeColor="text1" w:themeTint="D9"/>
        <w:sz w:val="16"/>
        <w:szCs w:val="22"/>
      </w:rPr>
      <w:t>619 Lower Plenty Road, Yallambie VIC 3085</w:t>
    </w:r>
    <w:r w:rsidRPr="00AA5E81">
      <w:rPr>
        <w:color w:val="262626" w:themeColor="text1" w:themeTint="D9"/>
        <w:sz w:val="16"/>
        <w:szCs w:val="22"/>
      </w:rPr>
      <w:tab/>
      <w:t>38–40 Urunga Parade, Miranda NSW 2228</w:t>
    </w:r>
    <w:r w:rsidRPr="00AA5E81">
      <w:rPr>
        <w:color w:val="262626" w:themeColor="text1" w:themeTint="D9"/>
        <w:sz w:val="16"/>
        <w:szCs w:val="22"/>
      </w:rPr>
      <w:tab/>
      <w:t>info@arpansa.gov.au</w:t>
    </w:r>
    <w:r w:rsidRPr="00AA5E81">
      <w:rPr>
        <w:color w:val="262626" w:themeColor="text1" w:themeTint="D9"/>
        <w:sz w:val="16"/>
        <w:szCs w:val="22"/>
      </w:rPr>
      <w:br/>
    </w:r>
    <w:r w:rsidRPr="00AA5E81">
      <w:rPr>
        <w:color w:val="262626" w:themeColor="text1" w:themeTint="D9"/>
        <w:sz w:val="16"/>
        <w:szCs w:val="18"/>
      </w:rPr>
      <w:t>+61 3 9433 2211</w:t>
    </w:r>
    <w:r w:rsidRPr="00AA5E81">
      <w:rPr>
        <w:color w:val="262626" w:themeColor="text1" w:themeTint="D9"/>
        <w:sz w:val="16"/>
        <w:szCs w:val="18"/>
      </w:rPr>
      <w:tab/>
      <w:t>PO Box 655, Miranda NSW 1490</w:t>
    </w:r>
    <w:r w:rsidRPr="00AA5E81">
      <w:rPr>
        <w:color w:val="262626" w:themeColor="text1" w:themeTint="D9"/>
        <w:sz w:val="16"/>
        <w:szCs w:val="18"/>
      </w:rPr>
      <w:tab/>
      <w:t>arpansa.gov.au</w:t>
    </w:r>
    <w:r w:rsidRPr="00AA5E81">
      <w:rPr>
        <w:color w:val="262626" w:themeColor="text1" w:themeTint="D9"/>
        <w:sz w:val="16"/>
        <w:szCs w:val="18"/>
      </w:rPr>
      <w:br/>
    </w:r>
    <w:r w:rsidRPr="00AA5E81">
      <w:rPr>
        <w:color w:val="262626" w:themeColor="text1" w:themeTint="D9"/>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1BC" w:rsidRDefault="00C861BC" w:rsidP="00C24160">
      <w:r>
        <w:separator/>
      </w:r>
    </w:p>
  </w:footnote>
  <w:footnote w:type="continuationSeparator" w:id="0">
    <w:p w:rsidR="00C861BC" w:rsidRDefault="00C861BC"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BA" w:rsidRDefault="00E8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8A" w:rsidRDefault="00E06E6F" w:rsidP="00C24160">
    <w:pPr>
      <w:pStyle w:val="Header"/>
      <w:rPr>
        <w:noProof/>
      </w:rPr>
    </w:pPr>
    <w:r>
      <w:rPr>
        <w:noProof/>
      </w:rPr>
      <w:drawing>
        <wp:inline distT="0" distB="0" distL="0" distR="0" wp14:anchorId="1E5C7042" wp14:editId="5B4B5E74">
          <wp:extent cx="6120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pStyle w:val="ListParagraph"/>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21D801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3B15CE"/>
    <w:multiLevelType w:val="hybridMultilevel"/>
    <w:tmpl w:val="4CA6D4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7A41C88"/>
    <w:multiLevelType w:val="hybridMultilevel"/>
    <w:tmpl w:val="7FEC0E6A"/>
    <w:lvl w:ilvl="0" w:tplc="775EE3CA">
      <w:start w:val="2"/>
      <w:numFmt w:val="bullet"/>
      <w:lvlText w:val=""/>
      <w:lvlJc w:val="left"/>
      <w:pPr>
        <w:ind w:left="-66" w:hanging="360"/>
      </w:pPr>
      <w:rPr>
        <w:rFonts w:ascii="Symbol" w:eastAsiaTheme="minorEastAsia" w:hAnsi="Symbol" w:cs="Arial"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5" w15:restartNumberingAfterBreak="0">
    <w:nsid w:val="5FE93366"/>
    <w:multiLevelType w:val="hybridMultilevel"/>
    <w:tmpl w:val="F826613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6"/>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E1"/>
    <w:rsid w:val="00004D2A"/>
    <w:rsid w:val="00066092"/>
    <w:rsid w:val="00091D09"/>
    <w:rsid w:val="000A3C56"/>
    <w:rsid w:val="000B5CCF"/>
    <w:rsid w:val="000B6360"/>
    <w:rsid w:val="000D5B5E"/>
    <w:rsid w:val="000E44B6"/>
    <w:rsid w:val="000F2FD1"/>
    <w:rsid w:val="000F73FB"/>
    <w:rsid w:val="00100286"/>
    <w:rsid w:val="001230C3"/>
    <w:rsid w:val="00127B8C"/>
    <w:rsid w:val="001511CB"/>
    <w:rsid w:val="00167AB5"/>
    <w:rsid w:val="00197595"/>
    <w:rsid w:val="001A40BA"/>
    <w:rsid w:val="0021391C"/>
    <w:rsid w:val="002177B4"/>
    <w:rsid w:val="00231D1D"/>
    <w:rsid w:val="00271B5E"/>
    <w:rsid w:val="002A3D3D"/>
    <w:rsid w:val="002C6A27"/>
    <w:rsid w:val="002D380A"/>
    <w:rsid w:val="002D7F55"/>
    <w:rsid w:val="002E1A84"/>
    <w:rsid w:val="002E1AB8"/>
    <w:rsid w:val="002F6CB5"/>
    <w:rsid w:val="00306158"/>
    <w:rsid w:val="00306402"/>
    <w:rsid w:val="00314C2F"/>
    <w:rsid w:val="00330501"/>
    <w:rsid w:val="00337D68"/>
    <w:rsid w:val="003731DD"/>
    <w:rsid w:val="003807C0"/>
    <w:rsid w:val="00390206"/>
    <w:rsid w:val="003B4502"/>
    <w:rsid w:val="003C5899"/>
    <w:rsid w:val="00417E86"/>
    <w:rsid w:val="00420588"/>
    <w:rsid w:val="004316C2"/>
    <w:rsid w:val="004374EB"/>
    <w:rsid w:val="00444AA3"/>
    <w:rsid w:val="0044719E"/>
    <w:rsid w:val="00467EF0"/>
    <w:rsid w:val="004712E1"/>
    <w:rsid w:val="00471C3E"/>
    <w:rsid w:val="00497EDB"/>
    <w:rsid w:val="004A0840"/>
    <w:rsid w:val="004A60A6"/>
    <w:rsid w:val="004D1298"/>
    <w:rsid w:val="004D2823"/>
    <w:rsid w:val="004D341A"/>
    <w:rsid w:val="004E19DD"/>
    <w:rsid w:val="004E2E29"/>
    <w:rsid w:val="004E4746"/>
    <w:rsid w:val="004E5899"/>
    <w:rsid w:val="00516794"/>
    <w:rsid w:val="005172A7"/>
    <w:rsid w:val="0052228C"/>
    <w:rsid w:val="0056360E"/>
    <w:rsid w:val="0057462D"/>
    <w:rsid w:val="00581F0B"/>
    <w:rsid w:val="005871F5"/>
    <w:rsid w:val="005A0D08"/>
    <w:rsid w:val="005C0ECA"/>
    <w:rsid w:val="005C2C92"/>
    <w:rsid w:val="005C2D7A"/>
    <w:rsid w:val="005E310E"/>
    <w:rsid w:val="005E78B6"/>
    <w:rsid w:val="006053D5"/>
    <w:rsid w:val="006060AF"/>
    <w:rsid w:val="00625830"/>
    <w:rsid w:val="00672B9B"/>
    <w:rsid w:val="00681A05"/>
    <w:rsid w:val="006E784E"/>
    <w:rsid w:val="00734107"/>
    <w:rsid w:val="007438C3"/>
    <w:rsid w:val="00745076"/>
    <w:rsid w:val="0077539A"/>
    <w:rsid w:val="00786A96"/>
    <w:rsid w:val="007A0CBA"/>
    <w:rsid w:val="007D0730"/>
    <w:rsid w:val="007D5FE3"/>
    <w:rsid w:val="007D745F"/>
    <w:rsid w:val="0085696B"/>
    <w:rsid w:val="00860F71"/>
    <w:rsid w:val="0086366A"/>
    <w:rsid w:val="008703D1"/>
    <w:rsid w:val="00881191"/>
    <w:rsid w:val="00886504"/>
    <w:rsid w:val="00892B09"/>
    <w:rsid w:val="00895D9E"/>
    <w:rsid w:val="008E3CB3"/>
    <w:rsid w:val="008F0651"/>
    <w:rsid w:val="008F4DFF"/>
    <w:rsid w:val="00910890"/>
    <w:rsid w:val="00911BE6"/>
    <w:rsid w:val="0093576E"/>
    <w:rsid w:val="00947FA8"/>
    <w:rsid w:val="00995397"/>
    <w:rsid w:val="009A717F"/>
    <w:rsid w:val="009B68E7"/>
    <w:rsid w:val="009D1AE2"/>
    <w:rsid w:val="009F634B"/>
    <w:rsid w:val="00A100E1"/>
    <w:rsid w:val="00A24176"/>
    <w:rsid w:val="00A3384F"/>
    <w:rsid w:val="00A5493A"/>
    <w:rsid w:val="00A66702"/>
    <w:rsid w:val="00AA2DA6"/>
    <w:rsid w:val="00AA5E81"/>
    <w:rsid w:val="00AB0D97"/>
    <w:rsid w:val="00AD55AD"/>
    <w:rsid w:val="00AF50F2"/>
    <w:rsid w:val="00B00092"/>
    <w:rsid w:val="00B370B2"/>
    <w:rsid w:val="00B5595F"/>
    <w:rsid w:val="00B764E4"/>
    <w:rsid w:val="00BB34B1"/>
    <w:rsid w:val="00C24160"/>
    <w:rsid w:val="00C62916"/>
    <w:rsid w:val="00C861BC"/>
    <w:rsid w:val="00CC2796"/>
    <w:rsid w:val="00CD208A"/>
    <w:rsid w:val="00CE038F"/>
    <w:rsid w:val="00D3203F"/>
    <w:rsid w:val="00D57F09"/>
    <w:rsid w:val="00D620F9"/>
    <w:rsid w:val="00D9552A"/>
    <w:rsid w:val="00DD41FB"/>
    <w:rsid w:val="00DE452A"/>
    <w:rsid w:val="00E06E6F"/>
    <w:rsid w:val="00E55BEA"/>
    <w:rsid w:val="00E82DBA"/>
    <w:rsid w:val="00E82F1F"/>
    <w:rsid w:val="00E86CBA"/>
    <w:rsid w:val="00E96B92"/>
    <w:rsid w:val="00EA4C2C"/>
    <w:rsid w:val="00EB7CD3"/>
    <w:rsid w:val="00ED43CA"/>
    <w:rsid w:val="00EF13FB"/>
    <w:rsid w:val="00F6231B"/>
    <w:rsid w:val="00F8097B"/>
    <w:rsid w:val="00FA6866"/>
    <w:rsid w:val="00FB0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D3D"/>
    <w:pPr>
      <w:spacing w:before="200"/>
    </w:pPr>
    <w:rPr>
      <w:rFonts w:eastAsiaTheme="minorEastAsia"/>
      <w:sz w:val="20"/>
      <w:szCs w:val="20"/>
      <w:lang w:eastAsia="en-AU"/>
    </w:rPr>
  </w:style>
  <w:style w:type="paragraph" w:styleId="Heading1">
    <w:name w:val="heading 1"/>
    <w:basedOn w:val="Normal"/>
    <w:next w:val="Normal"/>
    <w:link w:val="Heading1Char"/>
    <w:uiPriority w:val="9"/>
    <w:qFormat/>
    <w:rsid w:val="000B6360"/>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0B6360"/>
    <w:pPr>
      <w:keepNext/>
      <w:keepLines/>
      <w:outlineLvl w:val="1"/>
    </w:pPr>
    <w:rPr>
      <w:rFonts w:ascii="Calibri" w:eastAsiaTheme="majorEastAsia" w:hAnsi="Calibr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line="240" w:lineRule="auto"/>
    </w:p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EA4C2C"/>
    <w:pPr>
      <w:numPr>
        <w:numId w:val="1"/>
      </w:numPr>
      <w:spacing w:before="120"/>
      <w:ind w:hanging="664"/>
    </w:pPr>
  </w:style>
  <w:style w:type="character" w:customStyle="1" w:styleId="Heading1Char">
    <w:name w:val="Heading 1 Char"/>
    <w:basedOn w:val="DefaultParagraphFont"/>
    <w:link w:val="Heading1"/>
    <w:uiPriority w:val="9"/>
    <w:rsid w:val="000B6360"/>
    <w:rPr>
      <w:rFonts w:eastAsiaTheme="majorEastAsia" w:cstheme="majorBidi"/>
      <w:b/>
      <w:bCs/>
      <w:color w:val="4E1A74"/>
      <w:sz w:val="20"/>
      <w:szCs w:val="28"/>
      <w:lang w:eastAsia="en-AU"/>
    </w:rPr>
  </w:style>
  <w:style w:type="character" w:customStyle="1" w:styleId="Heading2Char">
    <w:name w:val="Heading 2 Char"/>
    <w:basedOn w:val="DefaultParagraphFont"/>
    <w:link w:val="Heading2"/>
    <w:uiPriority w:val="9"/>
    <w:rsid w:val="000B6360"/>
    <w:rPr>
      <w:rFonts w:ascii="Calibri" w:eastAsiaTheme="majorEastAsia" w:hAnsi="Calibri" w:cstheme="majorBidi"/>
      <w:b/>
      <w:bCs/>
      <w:i/>
      <w:color w:val="262626" w:themeColor="text1" w:themeTint="D9"/>
      <w:szCs w:val="26"/>
      <w:lang w:eastAsia="en-AU"/>
    </w:rPr>
  </w:style>
  <w:style w:type="paragraph" w:customStyle="1" w:styleId="H11">
    <w:name w:val="H1(1)"/>
    <w:basedOn w:val="Normal"/>
    <w:qFormat/>
    <w:rsid w:val="00ED43CA"/>
    <w:rPr>
      <w:rFonts w:asciiTheme="majorHAnsi" w:hAnsiTheme="majorHAnsi"/>
      <w:b/>
      <w:color w:val="365F91" w:themeColor="accent1" w:themeShade="BF"/>
      <w:sz w:val="28"/>
      <w:szCs w:val="28"/>
    </w:rPr>
  </w:style>
  <w:style w:type="paragraph" w:customStyle="1" w:styleId="Heading3list">
    <w:name w:val="Heading3list"/>
    <w:basedOn w:val="Normal"/>
    <w:qFormat/>
    <w:rsid w:val="00F6231B"/>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character" w:styleId="SubtleReference">
    <w:name w:val="Subtle Reference"/>
    <w:uiPriority w:val="31"/>
    <w:qFormat/>
    <w:rsid w:val="002A3D3D"/>
    <w:rPr>
      <w:b/>
      <w:bCs/>
      <w:color w:val="4F81BD" w:themeColor="accent1"/>
    </w:rPr>
  </w:style>
  <w:style w:type="table" w:styleId="LightShading-Accent4">
    <w:name w:val="Light Shading Accent 4"/>
    <w:basedOn w:val="TableNormal"/>
    <w:uiPriority w:val="60"/>
    <w:rsid w:val="00892B0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AA5E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003">
      <w:bodyDiv w:val="1"/>
      <w:marLeft w:val="0"/>
      <w:marRight w:val="0"/>
      <w:marTop w:val="0"/>
      <w:marBottom w:val="0"/>
      <w:divBdr>
        <w:top w:val="none" w:sz="0" w:space="0" w:color="auto"/>
        <w:left w:val="none" w:sz="0" w:space="0" w:color="auto"/>
        <w:bottom w:val="none" w:sz="0" w:space="0" w:color="auto"/>
        <w:right w:val="none" w:sz="0" w:space="0" w:color="auto"/>
      </w:divBdr>
    </w:div>
    <w:div w:id="424419467">
      <w:bodyDiv w:val="1"/>
      <w:marLeft w:val="0"/>
      <w:marRight w:val="0"/>
      <w:marTop w:val="0"/>
      <w:marBottom w:val="0"/>
      <w:divBdr>
        <w:top w:val="none" w:sz="0" w:space="0" w:color="auto"/>
        <w:left w:val="none" w:sz="0" w:space="0" w:color="auto"/>
        <w:bottom w:val="none" w:sz="0" w:space="0" w:color="auto"/>
        <w:right w:val="none" w:sz="0" w:space="0" w:color="auto"/>
      </w:divBdr>
    </w:div>
    <w:div w:id="16530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4BF1DE2-965E-4E97-8B33-2C63881A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Antarctic Division - Casey Station, Antartica - Controlled apparatus - 15 Sept 2017</dc:title>
  <dc:subject/>
  <dc:creator/>
  <cp:keywords/>
  <cp:lastModifiedBy/>
  <cp:revision>1</cp:revision>
  <dcterms:created xsi:type="dcterms:W3CDTF">2017-11-01T02:01:00Z</dcterms:created>
  <dcterms:modified xsi:type="dcterms:W3CDTF">2017-11-01T23:28:00Z</dcterms:modified>
</cp:coreProperties>
</file>