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DD8A7" w14:textId="77777777" w:rsidR="00C750D2" w:rsidRPr="008E43E3" w:rsidRDefault="0067700D" w:rsidP="008E43E3">
      <w:pPr>
        <w:spacing w:before="360" w:line="240" w:lineRule="auto"/>
        <w:contextualSpacing/>
        <w:jc w:val="center"/>
        <w:rPr>
          <w:rFonts w:ascii="Calibri" w:eastAsia="Times New Roman" w:hAnsi="Calibri" w:cs="Times New Roman"/>
          <w:b/>
          <w:color w:val="4E1A74"/>
          <w:spacing w:val="5"/>
          <w:kern w:val="28"/>
          <w:sz w:val="52"/>
          <w:szCs w:val="52"/>
          <w:lang w:eastAsia="en-US"/>
        </w:rPr>
      </w:pPr>
      <w:r w:rsidRPr="008E43E3">
        <w:rPr>
          <w:rFonts w:ascii="Calibri" w:eastAsia="Times New Roman" w:hAnsi="Calibri" w:cs="Times New Roman"/>
          <w:b/>
          <w:color w:val="4E1A74"/>
          <w:spacing w:val="5"/>
          <w:kern w:val="28"/>
          <w:sz w:val="52"/>
          <w:szCs w:val="52"/>
          <w:lang w:eastAsia="en-US"/>
        </w:rPr>
        <w:t>Inspection report</w:t>
      </w:r>
    </w:p>
    <w:tbl>
      <w:tblPr>
        <w:tblStyle w:val="TableGrid1"/>
        <w:tblW w:w="9429" w:type="dxa"/>
        <w:tblLook w:val="04A0" w:firstRow="1" w:lastRow="0" w:firstColumn="1" w:lastColumn="0" w:noHBand="0" w:noVBand="1"/>
      </w:tblPr>
      <w:tblGrid>
        <w:gridCol w:w="5353"/>
        <w:gridCol w:w="4076"/>
      </w:tblGrid>
      <w:tr w:rsidR="00681A05" w:rsidRPr="00AF4FF3" w14:paraId="23F4ADAE" w14:textId="77777777" w:rsidTr="00E72609">
        <w:trPr>
          <w:trHeight w:val="567"/>
        </w:trPr>
        <w:tc>
          <w:tcPr>
            <w:tcW w:w="5353" w:type="dxa"/>
            <w:vAlign w:val="center"/>
          </w:tcPr>
          <w:p w14:paraId="19BD56A3" w14:textId="77777777" w:rsidR="00681A05" w:rsidRPr="00AF4FF3" w:rsidRDefault="00681A05" w:rsidP="00D37AEA">
            <w:pPr>
              <w:spacing w:before="120"/>
            </w:pPr>
            <w:r w:rsidRPr="00AF4FF3">
              <w:rPr>
                <w:b/>
                <w:color w:val="4E1A74"/>
              </w:rPr>
              <w:t>Licence Holder</w:t>
            </w:r>
            <w:r w:rsidRPr="00AF4FF3">
              <w:rPr>
                <w:color w:val="4E1A74"/>
              </w:rPr>
              <w:t xml:space="preserve">: </w:t>
            </w:r>
            <w:r w:rsidR="00D37AEA" w:rsidRPr="008E43E3">
              <w:rPr>
                <w:rFonts w:ascii="Calibri" w:eastAsia="Calibri" w:hAnsi="Calibri" w:cs="Times New Roman"/>
                <w:color w:val="444444"/>
                <w:lang w:eastAsia="en-US"/>
              </w:rPr>
              <w:t>Department of Defence and Australian Defence Force  (Defence)</w:t>
            </w:r>
          </w:p>
        </w:tc>
        <w:tc>
          <w:tcPr>
            <w:tcW w:w="4076" w:type="dxa"/>
            <w:vAlign w:val="center"/>
          </w:tcPr>
          <w:p w14:paraId="0FB16823" w14:textId="77777777" w:rsidR="00681A05" w:rsidRPr="00AF4FF3" w:rsidRDefault="00681A05" w:rsidP="00E72609">
            <w:pPr>
              <w:tabs>
                <w:tab w:val="right" w:pos="3680"/>
              </w:tabs>
            </w:pPr>
            <w:r w:rsidRPr="00AF4FF3">
              <w:rPr>
                <w:b/>
                <w:color w:val="4E1A74"/>
              </w:rPr>
              <w:t>Licence Number:</w:t>
            </w:r>
            <w:r w:rsidR="00B06FF1" w:rsidRPr="00AF4FF3">
              <w:rPr>
                <w:b/>
                <w:color w:val="4E1A74"/>
              </w:rPr>
              <w:t xml:space="preserve"> </w:t>
            </w:r>
            <w:r w:rsidR="00D37AEA" w:rsidRPr="008E43E3">
              <w:rPr>
                <w:rFonts w:ascii="Calibri" w:eastAsia="Calibri" w:hAnsi="Calibri" w:cs="Times New Roman"/>
                <w:color w:val="444444"/>
                <w:lang w:eastAsia="en-US"/>
              </w:rPr>
              <w:t>S0042</w:t>
            </w:r>
            <w:r w:rsidR="00E72609" w:rsidRPr="008E43E3">
              <w:rPr>
                <w:rFonts w:ascii="Calibri" w:eastAsia="Calibri" w:hAnsi="Calibri" w:cs="Times New Roman"/>
                <w:color w:val="444444"/>
                <w:lang w:eastAsia="en-US"/>
              </w:rPr>
              <w:t xml:space="preserve"> </w:t>
            </w:r>
          </w:p>
        </w:tc>
      </w:tr>
      <w:tr w:rsidR="00E72609" w:rsidRPr="00AF4FF3" w14:paraId="5705D4D8" w14:textId="77777777" w:rsidTr="00E72609">
        <w:trPr>
          <w:trHeight w:val="555"/>
        </w:trPr>
        <w:tc>
          <w:tcPr>
            <w:tcW w:w="5353" w:type="dxa"/>
            <w:vMerge w:val="restart"/>
          </w:tcPr>
          <w:p w14:paraId="7CB7B111" w14:textId="0EA79FDE" w:rsidR="00E72609" w:rsidRPr="00E72609" w:rsidRDefault="00E72609" w:rsidP="00E77DEB">
            <w:pPr>
              <w:spacing w:before="120"/>
              <w:rPr>
                <w:b/>
                <w:color w:val="auto"/>
              </w:rPr>
            </w:pPr>
            <w:r w:rsidRPr="00A114D3">
              <w:rPr>
                <w:b/>
                <w:color w:val="4E1A74"/>
              </w:rPr>
              <w:t>Location</w:t>
            </w:r>
            <w:r w:rsidRPr="00AF4FF3">
              <w:rPr>
                <w:b/>
                <w:color w:val="4E1A74"/>
              </w:rPr>
              <w:t xml:space="preserve"> inspected: </w:t>
            </w:r>
            <w:r w:rsidR="00E77DEB" w:rsidRPr="008E43E3">
              <w:rPr>
                <w:rFonts w:ascii="Calibri" w:eastAsia="Calibri" w:hAnsi="Calibri" w:cs="Times New Roman"/>
                <w:color w:val="444444"/>
                <w:lang w:eastAsia="en-US"/>
              </w:rPr>
              <w:t>A Defence base in Queensland</w:t>
            </w:r>
            <w:r>
              <w:rPr>
                <w:b/>
                <w:color w:val="4E1A74"/>
              </w:rPr>
              <w:t xml:space="preserve"> </w:t>
            </w:r>
            <w:r>
              <w:rPr>
                <w:b/>
                <w:color w:val="auto"/>
              </w:rPr>
              <w:t xml:space="preserve"> </w:t>
            </w:r>
          </w:p>
        </w:tc>
        <w:tc>
          <w:tcPr>
            <w:tcW w:w="4076" w:type="dxa"/>
            <w:vAlign w:val="center"/>
          </w:tcPr>
          <w:p w14:paraId="2E10D69B" w14:textId="7E4563B7" w:rsidR="00E72609" w:rsidRPr="00AF4FF3" w:rsidRDefault="00E72609" w:rsidP="008E43E3">
            <w:pPr>
              <w:tabs>
                <w:tab w:val="right" w:pos="3680"/>
              </w:tabs>
              <w:spacing w:before="120"/>
            </w:pPr>
            <w:r w:rsidRPr="00AF4FF3">
              <w:rPr>
                <w:b/>
                <w:color w:val="4E1A74"/>
              </w:rPr>
              <w:t>Date/s of inspection:</w:t>
            </w:r>
            <w:r w:rsidRPr="00AF4FF3">
              <w:t xml:space="preserve"> </w:t>
            </w:r>
            <w:r w:rsidR="00E77DEB" w:rsidRPr="008E43E3">
              <w:rPr>
                <w:rFonts w:ascii="Calibri" w:eastAsia="Calibri" w:hAnsi="Calibri" w:cs="Times New Roman"/>
                <w:color w:val="444444"/>
                <w:lang w:eastAsia="en-US"/>
              </w:rPr>
              <w:t>07/03/2018 and 14/03/2018</w:t>
            </w:r>
          </w:p>
        </w:tc>
      </w:tr>
      <w:tr w:rsidR="00E72609" w:rsidRPr="00AF4FF3" w14:paraId="09854DA5" w14:textId="77777777" w:rsidTr="00E72609">
        <w:trPr>
          <w:trHeight w:val="555"/>
        </w:trPr>
        <w:tc>
          <w:tcPr>
            <w:tcW w:w="5353" w:type="dxa"/>
            <w:vMerge/>
          </w:tcPr>
          <w:p w14:paraId="15C348D3" w14:textId="77777777" w:rsidR="00E72609" w:rsidRPr="00A114D3" w:rsidRDefault="00E72609" w:rsidP="007F1F42">
            <w:pPr>
              <w:spacing w:before="120"/>
              <w:rPr>
                <w:b/>
                <w:color w:val="4E1A74"/>
              </w:rPr>
            </w:pPr>
          </w:p>
        </w:tc>
        <w:tc>
          <w:tcPr>
            <w:tcW w:w="4076" w:type="dxa"/>
            <w:vAlign w:val="center"/>
          </w:tcPr>
          <w:p w14:paraId="7FCD7EC5" w14:textId="73399F49" w:rsidR="00E72609" w:rsidRPr="00AF4FF3" w:rsidRDefault="00E72609" w:rsidP="00BF7A98">
            <w:pPr>
              <w:tabs>
                <w:tab w:val="right" w:pos="3680"/>
              </w:tabs>
              <w:spacing w:before="120"/>
              <w:rPr>
                <w:b/>
                <w:color w:val="4E1A74"/>
              </w:rPr>
            </w:pPr>
            <w:r w:rsidRPr="00AF4FF3">
              <w:rPr>
                <w:b/>
                <w:color w:val="4E1A74"/>
              </w:rPr>
              <w:t>Report No:</w:t>
            </w:r>
            <w:r w:rsidR="002906C7">
              <w:rPr>
                <w:b/>
                <w:color w:val="4E1A74"/>
              </w:rPr>
              <w:t xml:space="preserve"> </w:t>
            </w:r>
            <w:r w:rsidR="00E77DEB" w:rsidRPr="008E43E3">
              <w:rPr>
                <w:rFonts w:ascii="Calibri" w:eastAsia="Calibri" w:hAnsi="Calibri" w:cs="Times New Roman"/>
                <w:color w:val="444444"/>
                <w:lang w:eastAsia="en-US"/>
              </w:rPr>
              <w:t>R18/</w:t>
            </w:r>
            <w:r w:rsidR="00BF7A98" w:rsidRPr="008E43E3">
              <w:rPr>
                <w:rFonts w:ascii="Calibri" w:eastAsia="Calibri" w:hAnsi="Calibri" w:cs="Times New Roman"/>
                <w:color w:val="444444"/>
                <w:lang w:eastAsia="en-US"/>
              </w:rPr>
              <w:t>03107</w:t>
            </w:r>
          </w:p>
        </w:tc>
      </w:tr>
      <w:tr w:rsidR="00681A05" w:rsidRPr="00AF4FF3" w14:paraId="6B06DF32" w14:textId="77777777" w:rsidTr="00E72609">
        <w:tc>
          <w:tcPr>
            <w:tcW w:w="9429" w:type="dxa"/>
            <w:gridSpan w:val="2"/>
          </w:tcPr>
          <w:p w14:paraId="5A007301" w14:textId="1829246F" w:rsidR="00ED43CA" w:rsidRPr="002C4F8B" w:rsidRDefault="00ED43CA" w:rsidP="00AF4FF3">
            <w:pPr>
              <w:rPr>
                <w:color w:val="444444"/>
              </w:rPr>
            </w:pPr>
            <w:r w:rsidRPr="002C4F8B">
              <w:rPr>
                <w:color w:val="444444"/>
              </w:rPr>
              <w:t>An inspection was conducted as part of ARPANSA’s baseline inspection program to assess compliance with the Australian Radiation Protection and Nuclear Safety Act 1998 (the Act), the Australian Radiation Protection and Nuclear Safety Regulations 1999 (the Regulations), and conditions of</w:t>
            </w:r>
            <w:r w:rsidR="00392FF8" w:rsidRPr="002C4F8B">
              <w:rPr>
                <w:color w:val="444444"/>
              </w:rPr>
              <w:t xml:space="preserve"> </w:t>
            </w:r>
            <w:r w:rsidRPr="002C4F8B">
              <w:rPr>
                <w:color w:val="444444"/>
              </w:rPr>
              <w:t>Source Licence</w:t>
            </w:r>
            <w:r w:rsidR="00193685" w:rsidRPr="002C4F8B">
              <w:rPr>
                <w:color w:val="444444"/>
              </w:rPr>
              <w:t xml:space="preserve"> </w:t>
            </w:r>
            <w:sdt>
              <w:sdtPr>
                <w:rPr>
                  <w:color w:val="444444"/>
                </w:rPr>
                <w:alias w:val="Licence Number"/>
                <w:tag w:val=""/>
                <w:id w:val="646793422"/>
                <w:placeholder>
                  <w:docPart w:val="7EC5CF47C608425B9DE3AC6ADD164940"/>
                </w:placeholder>
                <w:dataBinding w:prefixMappings="xmlns:ns0='http://purl.org/dc/elements/1.1/' xmlns:ns1='http://schemas.openxmlformats.org/package/2006/metadata/core-properties' " w:xpath="/ns1:coreProperties[1]/ns1:keywords[1]" w:storeItemID="{6C3C8BC8-F283-45AE-878A-BAB7291924A1}"/>
                <w:text/>
              </w:sdtPr>
              <w:sdtEndPr/>
              <w:sdtContent>
                <w:r w:rsidR="00D37AEA" w:rsidRPr="002C4F8B">
                  <w:rPr>
                    <w:color w:val="444444"/>
                  </w:rPr>
                  <w:t>S0042</w:t>
                </w:r>
              </w:sdtContent>
            </w:sdt>
            <w:r w:rsidRPr="002C4F8B">
              <w:rPr>
                <w:color w:val="444444"/>
              </w:rPr>
              <w:t xml:space="preserve">. </w:t>
            </w:r>
          </w:p>
          <w:p w14:paraId="5E48D2D1" w14:textId="77777777" w:rsidR="00ED43CA" w:rsidRPr="002C4F8B" w:rsidRDefault="00ED43CA" w:rsidP="00AF4FF3">
            <w:pPr>
              <w:rPr>
                <w:color w:val="444444"/>
              </w:rPr>
            </w:pPr>
            <w:r w:rsidRPr="002C4F8B">
              <w:rPr>
                <w:color w:val="444444"/>
              </w:rPr>
              <w:t xml:space="preserve">The scope of the inspection included an assessment </w:t>
            </w:r>
            <w:r w:rsidR="00197ECB" w:rsidRPr="002C4F8B">
              <w:rPr>
                <w:color w:val="444444"/>
              </w:rPr>
              <w:t xml:space="preserve">of </w:t>
            </w:r>
            <w:sdt>
              <w:sdtPr>
                <w:rPr>
                  <w:color w:val="444444"/>
                </w:rPr>
                <w:alias w:val="Licence Holder"/>
                <w:tag w:val=""/>
                <w:id w:val="1374971004"/>
                <w:placeholder>
                  <w:docPart w:val="88C532E57D584A7E9A7FE327D1EA7252"/>
                </w:placeholder>
                <w:dataBinding w:prefixMappings="xmlns:ns0='http://purl.org/dc/elements/1.1/' xmlns:ns1='http://schemas.openxmlformats.org/package/2006/metadata/core-properties' " w:xpath="/ns1:coreProperties[1]/ns0:title[1]" w:storeItemID="{6C3C8BC8-F283-45AE-878A-BAB7291924A1}"/>
                <w:text/>
              </w:sdtPr>
              <w:sdtEndPr/>
              <w:sdtContent>
                <w:r w:rsidR="00D37AEA" w:rsidRPr="002C4F8B">
                  <w:rPr>
                    <w:color w:val="444444"/>
                  </w:rPr>
                  <w:t>Defence</w:t>
                </w:r>
              </w:sdtContent>
            </w:sdt>
            <w:r w:rsidRPr="002C4F8B">
              <w:rPr>
                <w:color w:val="444444"/>
              </w:rPr>
              <w:t xml:space="preserve">’s performance </w:t>
            </w:r>
            <w:r w:rsidR="00F06840" w:rsidRPr="002C4F8B">
              <w:rPr>
                <w:color w:val="444444"/>
              </w:rPr>
              <w:t xml:space="preserve">at </w:t>
            </w:r>
            <w:r w:rsidR="00C163B0" w:rsidRPr="002C4F8B">
              <w:rPr>
                <w:color w:val="444444"/>
              </w:rPr>
              <w:t>the Tritium Repair Facility (TRF)</w:t>
            </w:r>
            <w:r w:rsidR="00F06840" w:rsidRPr="002C4F8B">
              <w:rPr>
                <w:color w:val="444444"/>
              </w:rPr>
              <w:t xml:space="preserve"> </w:t>
            </w:r>
            <w:r w:rsidRPr="002C4F8B">
              <w:rPr>
                <w:color w:val="444444"/>
              </w:rPr>
              <w:t>against the Source Performance Objectives and Criteria (PO&amp;C)</w:t>
            </w:r>
            <w:r w:rsidR="00F06840" w:rsidRPr="002C4F8B">
              <w:rPr>
                <w:color w:val="444444"/>
              </w:rPr>
              <w:t xml:space="preserve">. The inspection </w:t>
            </w:r>
            <w:r w:rsidRPr="002C4F8B">
              <w:rPr>
                <w:color w:val="444444"/>
              </w:rPr>
              <w:t xml:space="preserve">consisted of a review of records, interviews, and physical inspection of sources. </w:t>
            </w:r>
          </w:p>
          <w:p w14:paraId="2ACC7385" w14:textId="77777777" w:rsidR="00681A05" w:rsidRPr="008E43E3" w:rsidRDefault="00681A05" w:rsidP="008E43E3">
            <w:pPr>
              <w:pStyle w:val="Heading1"/>
              <w:spacing w:before="480" w:line="240" w:lineRule="auto"/>
              <w:outlineLvl w:val="0"/>
              <w:rPr>
                <w:rFonts w:ascii="Calibri" w:hAnsi="Calibri"/>
                <w:sz w:val="32"/>
                <w:lang w:eastAsia="en-US"/>
              </w:rPr>
            </w:pPr>
            <w:r w:rsidRPr="008E43E3">
              <w:rPr>
                <w:rFonts w:ascii="Calibri" w:hAnsi="Calibri"/>
                <w:sz w:val="32"/>
                <w:lang w:eastAsia="en-US"/>
              </w:rPr>
              <w:t>Background</w:t>
            </w:r>
          </w:p>
          <w:p w14:paraId="16AB6557" w14:textId="144A7CA6" w:rsidR="00A2080D" w:rsidRPr="002C4F8B" w:rsidRDefault="00A2080D" w:rsidP="00C163B0">
            <w:pPr>
              <w:rPr>
                <w:color w:val="444444"/>
              </w:rPr>
            </w:pPr>
            <w:r w:rsidRPr="002C4F8B">
              <w:rPr>
                <w:color w:val="444444"/>
              </w:rPr>
              <w:t xml:space="preserve">Defence uses Gaseous Tritium Light Sources (GTLS) in military devices, such as compasses, to enable their use in low light conditions. The GTLS provides a reliable self-powered light source that does not rely upon batteries. However, if the GTLS is broken, or if the level of illumination is inadequate, the device is sent to the TRF for repair. The TRF is a purpose built laboratory designed specifically for the repair of these devices. Defence has engaged a contractor to perform the works within the TRF.  </w:t>
            </w:r>
          </w:p>
          <w:p w14:paraId="45C74259" w14:textId="77777777" w:rsidR="00F80BBE" w:rsidRPr="002C4F8B" w:rsidRDefault="004973D5" w:rsidP="004973D5">
            <w:pPr>
              <w:rPr>
                <w:color w:val="444444"/>
              </w:rPr>
            </w:pPr>
            <w:r w:rsidRPr="002C4F8B">
              <w:rPr>
                <w:color w:val="444444"/>
              </w:rPr>
              <w:t xml:space="preserve">The main codes and standards applicable to </w:t>
            </w:r>
            <w:r w:rsidR="00D03D19" w:rsidRPr="002C4F8B">
              <w:rPr>
                <w:color w:val="444444"/>
              </w:rPr>
              <w:t xml:space="preserve">these sources </w:t>
            </w:r>
            <w:r w:rsidRPr="002C4F8B">
              <w:rPr>
                <w:color w:val="444444"/>
              </w:rPr>
              <w:t>are:</w:t>
            </w:r>
          </w:p>
          <w:p w14:paraId="6A3756CB" w14:textId="7B870CCD" w:rsidR="009075C1" w:rsidRPr="002C4F8B" w:rsidRDefault="009075C1" w:rsidP="00F80BBE">
            <w:pPr>
              <w:pStyle w:val="ListParagraph"/>
              <w:numPr>
                <w:ilvl w:val="0"/>
                <w:numId w:val="8"/>
              </w:numPr>
              <w:rPr>
                <w:color w:val="444444"/>
              </w:rPr>
            </w:pPr>
            <w:r w:rsidRPr="002C4F8B">
              <w:rPr>
                <w:color w:val="444444"/>
              </w:rPr>
              <w:t>Code for Radiation Protection in Planned Exposure Situations (2016) (RPS C-1)</w:t>
            </w:r>
          </w:p>
          <w:p w14:paraId="78165073" w14:textId="4FF0DAB6" w:rsidR="00F80BBE" w:rsidRPr="002C4F8B" w:rsidRDefault="00F80BBE" w:rsidP="009075C1">
            <w:pPr>
              <w:pStyle w:val="ListParagraph"/>
              <w:numPr>
                <w:ilvl w:val="0"/>
                <w:numId w:val="8"/>
              </w:numPr>
              <w:rPr>
                <w:color w:val="444444"/>
              </w:rPr>
            </w:pPr>
            <w:r w:rsidRPr="002C4F8B">
              <w:rPr>
                <w:color w:val="444444"/>
              </w:rPr>
              <w:t>Australian Standard Safety in Laboratories – Ionizing Radiation (1998) (AS 2243.4-1998)</w:t>
            </w:r>
          </w:p>
          <w:p w14:paraId="0B1931E8" w14:textId="77777777" w:rsidR="00681A05" w:rsidRPr="008E43E3" w:rsidRDefault="00681A05" w:rsidP="008E43E3">
            <w:pPr>
              <w:pStyle w:val="Heading1"/>
              <w:spacing w:before="480" w:line="240" w:lineRule="auto"/>
              <w:outlineLvl w:val="0"/>
              <w:rPr>
                <w:rFonts w:ascii="Calibri" w:hAnsi="Calibri"/>
                <w:sz w:val="32"/>
                <w:lang w:eastAsia="en-US"/>
              </w:rPr>
            </w:pPr>
            <w:r w:rsidRPr="008E43E3">
              <w:rPr>
                <w:rFonts w:ascii="Calibri" w:hAnsi="Calibri"/>
                <w:sz w:val="32"/>
                <w:lang w:eastAsia="en-US"/>
              </w:rPr>
              <w:t>Observations</w:t>
            </w:r>
          </w:p>
          <w:p w14:paraId="43C3B8C4" w14:textId="77777777" w:rsidR="008E43E3" w:rsidRPr="008E43E3" w:rsidRDefault="008E43E3" w:rsidP="008E43E3">
            <w:pPr>
              <w:keepNext/>
              <w:keepLines/>
              <w:outlineLvl w:val="0"/>
              <w:rPr>
                <w:rFonts w:ascii="Calibri" w:eastAsia="Times New Roman" w:hAnsi="Calibri" w:cs="Times New Roman"/>
                <w:b/>
                <w:bCs/>
                <w:color w:val="4E1A74"/>
                <w:sz w:val="26"/>
                <w:szCs w:val="26"/>
                <w:lang w:eastAsia="en-US"/>
              </w:rPr>
            </w:pPr>
            <w:r w:rsidRPr="008E43E3">
              <w:rPr>
                <w:rFonts w:ascii="Calibri" w:eastAsia="Times New Roman" w:hAnsi="Calibri" w:cs="Times New Roman"/>
                <w:b/>
                <w:bCs/>
                <w:color w:val="4E1A74"/>
                <w:sz w:val="26"/>
                <w:szCs w:val="26"/>
                <w:lang w:eastAsia="en-US"/>
              </w:rPr>
              <w:t>Performance reporting and verification</w:t>
            </w:r>
          </w:p>
          <w:p w14:paraId="0EC55095" w14:textId="00370E99" w:rsidR="00B33EF9" w:rsidRPr="00D81010" w:rsidRDefault="00F3606C" w:rsidP="009D1AE2">
            <w:pPr>
              <w:rPr>
                <w:rFonts w:ascii="Calibri" w:eastAsia="Times New Roman" w:hAnsi="Calibri" w:cstheme="majorBidi"/>
                <w:bCs/>
              </w:rPr>
            </w:pPr>
            <w:r w:rsidRPr="002C4F8B">
              <w:rPr>
                <w:rFonts w:ascii="Calibri" w:eastAsia="Times New Roman" w:hAnsi="Calibri" w:cstheme="majorBidi"/>
                <w:bCs/>
                <w:color w:val="444444"/>
              </w:rPr>
              <w:t>Defence are required to report incidents to ARPANSA on a quarterly basis. Defence uses an incident management system for the internal notification, reporting of incidents, and where appropriate, investigation of incidents. Defence provided summaries of all events, including WHS events, which have occurred. Three radiological events at the TRF were listed in the incident management system.</w:t>
            </w:r>
            <w:r w:rsidRPr="00D81010">
              <w:rPr>
                <w:rFonts w:ascii="Calibri" w:eastAsia="Times New Roman" w:hAnsi="Calibri" w:cstheme="majorBidi"/>
                <w:bCs/>
              </w:rPr>
              <w:t xml:space="preserve"> </w:t>
            </w:r>
            <w:r w:rsidRPr="002C4F8B">
              <w:rPr>
                <w:rFonts w:ascii="Calibri" w:eastAsia="Times New Roman" w:hAnsi="Calibri" w:cstheme="majorBidi"/>
                <w:bCs/>
                <w:color w:val="444444"/>
              </w:rPr>
              <w:t xml:space="preserve">This correlated with the quarterly reporting made by Defence to ARPANSA. The quarterly report stated that no common cause for the three incidents existed. However, when these reports were requested, Defence was unable to provide them.     </w:t>
            </w:r>
            <w:r w:rsidRPr="00D81010">
              <w:rPr>
                <w:rFonts w:ascii="Calibri" w:eastAsia="Times New Roman" w:hAnsi="Calibri" w:cstheme="majorBidi"/>
                <w:bCs/>
              </w:rPr>
              <w:t xml:space="preserve">   </w:t>
            </w:r>
          </w:p>
          <w:p w14:paraId="32CB844E" w14:textId="77777777" w:rsidR="00D93269" w:rsidRPr="008E43E3" w:rsidRDefault="00D93269" w:rsidP="008E43E3">
            <w:pPr>
              <w:keepNext/>
              <w:keepLines/>
              <w:outlineLvl w:val="0"/>
              <w:rPr>
                <w:rFonts w:ascii="Calibri" w:eastAsia="Times New Roman" w:hAnsi="Calibri" w:cs="Times New Roman"/>
                <w:b/>
                <w:bCs/>
                <w:color w:val="4E1A74"/>
                <w:sz w:val="26"/>
                <w:szCs w:val="26"/>
                <w:lang w:eastAsia="en-US"/>
              </w:rPr>
            </w:pPr>
            <w:r w:rsidRPr="008E43E3">
              <w:rPr>
                <w:rFonts w:ascii="Calibri" w:eastAsia="Times New Roman" w:hAnsi="Calibri" w:cs="Times New Roman"/>
                <w:b/>
                <w:bCs/>
                <w:color w:val="4E1A74"/>
                <w:sz w:val="26"/>
                <w:szCs w:val="26"/>
                <w:lang w:eastAsia="en-US"/>
              </w:rPr>
              <w:t>Configuration management</w:t>
            </w:r>
          </w:p>
          <w:p w14:paraId="7EC59E11" w14:textId="275DA8BF" w:rsidR="002239EC" w:rsidRPr="002C4F8B" w:rsidRDefault="00262A33" w:rsidP="009D1AE2">
            <w:pPr>
              <w:rPr>
                <w:color w:val="444444"/>
              </w:rPr>
            </w:pPr>
            <w:r w:rsidRPr="002C4F8B">
              <w:rPr>
                <w:color w:val="444444"/>
              </w:rPr>
              <w:t>During</w:t>
            </w:r>
            <w:r w:rsidR="00C13EB1" w:rsidRPr="002C4F8B">
              <w:rPr>
                <w:color w:val="444444"/>
              </w:rPr>
              <w:t xml:space="preserve"> development of the Radiation Safety Plan (RSP)</w:t>
            </w:r>
            <w:r w:rsidRPr="002C4F8B">
              <w:rPr>
                <w:color w:val="444444"/>
              </w:rPr>
              <w:t xml:space="preserve"> existing documents were used as</w:t>
            </w:r>
            <w:r w:rsidR="00C13EB1" w:rsidRPr="002C4F8B">
              <w:rPr>
                <w:color w:val="444444"/>
              </w:rPr>
              <w:t xml:space="preserve"> stop gaps</w:t>
            </w:r>
            <w:r w:rsidR="00802E40" w:rsidRPr="002C4F8B">
              <w:rPr>
                <w:color w:val="444444"/>
              </w:rPr>
              <w:t xml:space="preserve"> </w:t>
            </w:r>
            <w:r w:rsidR="00C13EB1" w:rsidRPr="002C4F8B">
              <w:rPr>
                <w:color w:val="444444"/>
              </w:rPr>
              <w:t xml:space="preserve">until further documentation was developed. </w:t>
            </w:r>
            <w:r w:rsidR="00B17E16" w:rsidRPr="002C4F8B">
              <w:rPr>
                <w:color w:val="444444"/>
              </w:rPr>
              <w:t xml:space="preserve">These stop gap documents describe the technical details associated </w:t>
            </w:r>
            <w:r w:rsidR="00F10A4C" w:rsidRPr="002C4F8B">
              <w:rPr>
                <w:color w:val="444444"/>
              </w:rPr>
              <w:t xml:space="preserve">with </w:t>
            </w:r>
            <w:r w:rsidR="00446E53" w:rsidRPr="002C4F8B">
              <w:rPr>
                <w:color w:val="444444"/>
              </w:rPr>
              <w:t xml:space="preserve">some elements of the operation of the TRF. </w:t>
            </w:r>
            <w:r w:rsidR="00F10A4C" w:rsidRPr="002C4F8B">
              <w:rPr>
                <w:color w:val="444444"/>
              </w:rPr>
              <w:t xml:space="preserve">The transition from the older documents to the revised versions has been anticipated </w:t>
            </w:r>
            <w:r w:rsidR="00BF7A98" w:rsidRPr="002C4F8B">
              <w:rPr>
                <w:color w:val="444444"/>
              </w:rPr>
              <w:t>since</w:t>
            </w:r>
            <w:r w:rsidR="00D82315" w:rsidRPr="002C4F8B">
              <w:rPr>
                <w:color w:val="444444"/>
              </w:rPr>
              <w:t xml:space="preserve"> circa 2014</w:t>
            </w:r>
            <w:r w:rsidR="00F10A4C" w:rsidRPr="002C4F8B">
              <w:rPr>
                <w:color w:val="444444"/>
              </w:rPr>
              <w:t xml:space="preserve">.  </w:t>
            </w:r>
          </w:p>
          <w:p w14:paraId="33BB8CE9" w14:textId="17FC7E1C" w:rsidR="00C13EB1" w:rsidRPr="002C4F8B" w:rsidRDefault="00C13EB1" w:rsidP="009D1AE2">
            <w:pPr>
              <w:rPr>
                <w:color w:val="444444"/>
              </w:rPr>
            </w:pPr>
            <w:r w:rsidRPr="002C4F8B">
              <w:rPr>
                <w:color w:val="444444"/>
              </w:rPr>
              <w:t xml:space="preserve">The RSP states that the TRF has security enhanced sources. This is incorrect and </w:t>
            </w:r>
            <w:r w:rsidR="001976A1" w:rsidRPr="002C4F8B">
              <w:rPr>
                <w:color w:val="444444"/>
              </w:rPr>
              <w:t xml:space="preserve">is </w:t>
            </w:r>
            <w:r w:rsidR="00BD2EE3" w:rsidRPr="002C4F8B">
              <w:rPr>
                <w:color w:val="444444"/>
              </w:rPr>
              <w:t>presumed</w:t>
            </w:r>
            <w:r w:rsidR="001976A1" w:rsidRPr="002C4F8B">
              <w:rPr>
                <w:color w:val="444444"/>
              </w:rPr>
              <w:t xml:space="preserve"> to be</w:t>
            </w:r>
            <w:r w:rsidR="000C656B" w:rsidRPr="002C4F8B">
              <w:rPr>
                <w:color w:val="444444"/>
              </w:rPr>
              <w:t xml:space="preserve"> a misunderstanding in the</w:t>
            </w:r>
            <w:r w:rsidR="001976A1" w:rsidRPr="002C4F8B">
              <w:rPr>
                <w:color w:val="444444"/>
              </w:rPr>
              <w:t xml:space="preserve"> wording of the RSP</w:t>
            </w:r>
            <w:r w:rsidR="00EF1219" w:rsidRPr="002C4F8B">
              <w:rPr>
                <w:color w:val="444444"/>
              </w:rPr>
              <w:t>. The term ‘</w:t>
            </w:r>
            <w:r w:rsidR="00E5453F" w:rsidRPr="002C4F8B">
              <w:rPr>
                <w:color w:val="444444"/>
              </w:rPr>
              <w:t>security enhanced sources</w:t>
            </w:r>
            <w:r w:rsidR="00EF1219" w:rsidRPr="002C4F8B">
              <w:rPr>
                <w:color w:val="444444"/>
              </w:rPr>
              <w:t>’</w:t>
            </w:r>
            <w:r w:rsidR="00E5453F" w:rsidRPr="002C4F8B">
              <w:rPr>
                <w:color w:val="444444"/>
              </w:rPr>
              <w:t xml:space="preserve"> refers to category 1, 2 and 3 sources as outlined by RPS 11 (Code of Practice for the Security of Radioactive Sources). This category determination is based on </w:t>
            </w:r>
            <w:r w:rsidR="00EF1219" w:rsidRPr="002C4F8B">
              <w:rPr>
                <w:color w:val="444444"/>
              </w:rPr>
              <w:t>‘</w:t>
            </w:r>
            <w:r w:rsidR="00E5453F" w:rsidRPr="002C4F8B">
              <w:rPr>
                <w:color w:val="444444"/>
              </w:rPr>
              <w:t>D-Values</w:t>
            </w:r>
            <w:r w:rsidR="00EF1219" w:rsidRPr="002C4F8B">
              <w:rPr>
                <w:color w:val="444444"/>
              </w:rPr>
              <w:t>’</w:t>
            </w:r>
            <w:r w:rsidR="00E5453F" w:rsidRPr="002C4F8B">
              <w:rPr>
                <w:color w:val="444444"/>
              </w:rPr>
              <w:t xml:space="preserve"> which is defined as an amount of a radioactive material that if left uncontrolled, could result in death or injury of an exposed person.</w:t>
            </w:r>
          </w:p>
          <w:p w14:paraId="3D19A08F" w14:textId="1FF17911" w:rsidR="00E5453F" w:rsidRPr="002C4F8B" w:rsidRDefault="00D82315" w:rsidP="009D1AE2">
            <w:pPr>
              <w:rPr>
                <w:color w:val="444444"/>
              </w:rPr>
            </w:pPr>
            <w:r w:rsidRPr="002C4F8B">
              <w:rPr>
                <w:color w:val="444444"/>
              </w:rPr>
              <w:t>Defence</w:t>
            </w:r>
            <w:r w:rsidR="00E5453F" w:rsidRPr="002C4F8B">
              <w:rPr>
                <w:color w:val="444444"/>
              </w:rPr>
              <w:t xml:space="preserve"> is licenced to handle </w:t>
            </w:r>
            <w:r w:rsidR="00284B2E" w:rsidRPr="002C4F8B">
              <w:rPr>
                <w:color w:val="444444"/>
              </w:rPr>
              <w:t>GTLS</w:t>
            </w:r>
            <w:r w:rsidR="00E5453F" w:rsidRPr="002C4F8B">
              <w:rPr>
                <w:color w:val="444444"/>
              </w:rPr>
              <w:t xml:space="preserve"> sources </w:t>
            </w:r>
            <w:r w:rsidR="006B5453" w:rsidRPr="002C4F8B">
              <w:rPr>
                <w:color w:val="444444"/>
              </w:rPr>
              <w:t xml:space="preserve">containing varying amounts of radioactivity </w:t>
            </w:r>
            <w:r w:rsidR="00284B2E" w:rsidRPr="002C4F8B">
              <w:rPr>
                <w:color w:val="444444"/>
              </w:rPr>
              <w:t xml:space="preserve">and </w:t>
            </w:r>
            <w:r w:rsidRPr="002C4F8B">
              <w:rPr>
                <w:color w:val="444444"/>
              </w:rPr>
              <w:t xml:space="preserve">TRF </w:t>
            </w:r>
            <w:r w:rsidR="00284B2E" w:rsidRPr="002C4F8B">
              <w:rPr>
                <w:color w:val="444444"/>
              </w:rPr>
              <w:t xml:space="preserve">frequently deals with </w:t>
            </w:r>
            <w:r w:rsidRPr="002C4F8B">
              <w:rPr>
                <w:color w:val="444444"/>
              </w:rPr>
              <w:t>all of them</w:t>
            </w:r>
            <w:r w:rsidR="00284B2E" w:rsidRPr="002C4F8B">
              <w:rPr>
                <w:color w:val="444444"/>
              </w:rPr>
              <w:t xml:space="preserve">. The risk assessments attached to the RSP only </w:t>
            </w:r>
            <w:r w:rsidR="006B5453" w:rsidRPr="002C4F8B">
              <w:rPr>
                <w:color w:val="444444"/>
              </w:rPr>
              <w:t>identifies</w:t>
            </w:r>
            <w:r w:rsidR="00284B2E" w:rsidRPr="002C4F8B">
              <w:rPr>
                <w:color w:val="444444"/>
              </w:rPr>
              <w:t xml:space="preserve"> the </w:t>
            </w:r>
            <w:r w:rsidR="006B5453" w:rsidRPr="002C4F8B">
              <w:rPr>
                <w:color w:val="444444"/>
              </w:rPr>
              <w:t xml:space="preserve">GTLS containing smaller amounts of radioactivity. Whilst this may be an oversight in the documentation, it is not apparent whether the higher activity sources were considered during the risk assessment.    </w:t>
            </w:r>
          </w:p>
          <w:p w14:paraId="51398420" w14:textId="77777777" w:rsidR="00D93269" w:rsidRPr="009B240E" w:rsidRDefault="00D93269" w:rsidP="009B240E">
            <w:pPr>
              <w:keepNext/>
              <w:keepLines/>
              <w:outlineLvl w:val="0"/>
              <w:rPr>
                <w:rFonts w:ascii="Calibri" w:eastAsia="Times New Roman" w:hAnsi="Calibri" w:cs="Times New Roman"/>
                <w:b/>
                <w:bCs/>
                <w:color w:val="4E1A74"/>
                <w:sz w:val="26"/>
                <w:szCs w:val="26"/>
                <w:lang w:eastAsia="en-US"/>
              </w:rPr>
            </w:pPr>
            <w:r w:rsidRPr="009B240E">
              <w:rPr>
                <w:rFonts w:ascii="Calibri" w:eastAsia="Times New Roman" w:hAnsi="Calibri" w:cs="Times New Roman"/>
                <w:b/>
                <w:bCs/>
                <w:color w:val="4E1A74"/>
                <w:sz w:val="26"/>
                <w:szCs w:val="26"/>
                <w:lang w:eastAsia="en-US"/>
              </w:rPr>
              <w:t>Inspection testing and maintenance</w:t>
            </w:r>
          </w:p>
          <w:p w14:paraId="35B0D331" w14:textId="2C993D26" w:rsidR="00E96E9A" w:rsidRPr="002C4F8B" w:rsidRDefault="00E96E9A" w:rsidP="00E96E9A">
            <w:pPr>
              <w:rPr>
                <w:color w:val="444444"/>
              </w:rPr>
            </w:pPr>
            <w:r w:rsidRPr="002C4F8B">
              <w:rPr>
                <w:color w:val="444444"/>
              </w:rPr>
              <w:t xml:space="preserve">The air conditioning system for the TRF is isolated from the rest of the building. It was specifically designed to include a capacity to purge the air within the TRF. </w:t>
            </w:r>
            <w:r w:rsidR="00193411" w:rsidRPr="002C4F8B">
              <w:rPr>
                <w:color w:val="444444"/>
              </w:rPr>
              <w:t xml:space="preserve">This is to be used if a GTLS is a broken during repair. </w:t>
            </w:r>
            <w:r w:rsidRPr="002C4F8B">
              <w:rPr>
                <w:color w:val="444444"/>
              </w:rPr>
              <w:t xml:space="preserve">Inspectors </w:t>
            </w:r>
            <w:r w:rsidR="00193411" w:rsidRPr="002C4F8B">
              <w:rPr>
                <w:color w:val="444444"/>
              </w:rPr>
              <w:t>were</w:t>
            </w:r>
            <w:r w:rsidRPr="002C4F8B">
              <w:rPr>
                <w:color w:val="444444"/>
              </w:rPr>
              <w:t xml:space="preserve"> informed that the system </w:t>
            </w:r>
            <w:r w:rsidR="00193411" w:rsidRPr="002C4F8B">
              <w:rPr>
                <w:color w:val="444444"/>
              </w:rPr>
              <w:t>is</w:t>
            </w:r>
            <w:r w:rsidRPr="002C4F8B">
              <w:rPr>
                <w:color w:val="444444"/>
              </w:rPr>
              <w:t xml:space="preserve"> </w:t>
            </w:r>
            <w:r w:rsidRPr="002C4F8B">
              <w:rPr>
                <w:color w:val="444444"/>
              </w:rPr>
              <w:lastRenderedPageBreak/>
              <w:t>routinely tested</w:t>
            </w:r>
            <w:r w:rsidR="00193411" w:rsidRPr="002C4F8B">
              <w:rPr>
                <w:color w:val="444444"/>
              </w:rPr>
              <w:t>,</w:t>
            </w:r>
            <w:r w:rsidRPr="002C4F8B">
              <w:rPr>
                <w:color w:val="444444"/>
              </w:rPr>
              <w:t xml:space="preserve"> but upon request of the records</w:t>
            </w:r>
            <w:r w:rsidR="00193411" w:rsidRPr="002C4F8B">
              <w:rPr>
                <w:color w:val="444444"/>
              </w:rPr>
              <w:t>,</w:t>
            </w:r>
            <w:r w:rsidRPr="002C4F8B">
              <w:rPr>
                <w:color w:val="444444"/>
              </w:rPr>
              <w:t xml:space="preserve"> </w:t>
            </w:r>
            <w:r w:rsidR="00193411" w:rsidRPr="002C4F8B">
              <w:rPr>
                <w:color w:val="444444"/>
              </w:rPr>
              <w:t>were</w:t>
            </w:r>
            <w:r w:rsidRPr="002C4F8B">
              <w:rPr>
                <w:color w:val="444444"/>
              </w:rPr>
              <w:t xml:space="preserve"> informed that thes</w:t>
            </w:r>
            <w:r w:rsidR="00EF1219" w:rsidRPr="002C4F8B">
              <w:rPr>
                <w:color w:val="444444"/>
              </w:rPr>
              <w:t>e could not be produced as they a</w:t>
            </w:r>
            <w:r w:rsidRPr="002C4F8B">
              <w:rPr>
                <w:color w:val="444444"/>
              </w:rPr>
              <w:t xml:space="preserve">re held by a contractor. </w:t>
            </w:r>
          </w:p>
          <w:p w14:paraId="268E8E3A" w14:textId="39279B4D" w:rsidR="00D93269" w:rsidRPr="002C4F8B" w:rsidRDefault="00964A9A" w:rsidP="009D1AE2">
            <w:pPr>
              <w:rPr>
                <w:color w:val="444444"/>
              </w:rPr>
            </w:pPr>
            <w:r w:rsidRPr="002C4F8B">
              <w:rPr>
                <w:color w:val="444444"/>
              </w:rPr>
              <w:t xml:space="preserve">Contamination monitoring is </w:t>
            </w:r>
            <w:r w:rsidR="002E14A2" w:rsidRPr="002C4F8B">
              <w:rPr>
                <w:color w:val="444444"/>
              </w:rPr>
              <w:t xml:space="preserve">performed </w:t>
            </w:r>
            <w:r w:rsidRPr="002C4F8B">
              <w:rPr>
                <w:color w:val="444444"/>
              </w:rPr>
              <w:t>in the TRF</w:t>
            </w:r>
            <w:r w:rsidR="002E14A2" w:rsidRPr="002C4F8B">
              <w:rPr>
                <w:color w:val="444444"/>
              </w:rPr>
              <w:t xml:space="preserve"> and the rest of the building within which it is situated. This includes checks for cross contamination between ‘dirty’ and ‘clean’ areas</w:t>
            </w:r>
            <w:r w:rsidRPr="002C4F8B">
              <w:rPr>
                <w:color w:val="444444"/>
              </w:rPr>
              <w:t>.</w:t>
            </w:r>
            <w:r w:rsidR="002E14A2" w:rsidRPr="002C4F8B">
              <w:rPr>
                <w:color w:val="444444"/>
              </w:rPr>
              <w:t xml:space="preserve"> Areas that are checked are</w:t>
            </w:r>
            <w:r w:rsidRPr="002C4F8B">
              <w:rPr>
                <w:color w:val="444444"/>
              </w:rPr>
              <w:t xml:space="preserve"> </w:t>
            </w:r>
            <w:r w:rsidR="00193411" w:rsidRPr="002C4F8B">
              <w:rPr>
                <w:color w:val="444444"/>
              </w:rPr>
              <w:t xml:space="preserve">air conditioning outlet vents, </w:t>
            </w:r>
            <w:r w:rsidR="002E14A2" w:rsidRPr="002C4F8B">
              <w:rPr>
                <w:color w:val="444444"/>
              </w:rPr>
              <w:t>d</w:t>
            </w:r>
            <w:r w:rsidRPr="002C4F8B">
              <w:rPr>
                <w:color w:val="444444"/>
              </w:rPr>
              <w:t>oor handles,</w:t>
            </w:r>
            <w:r w:rsidR="00830459" w:rsidRPr="002C4F8B">
              <w:rPr>
                <w:color w:val="444444"/>
              </w:rPr>
              <w:t xml:space="preserve"> the b</w:t>
            </w:r>
            <w:r w:rsidRPr="002C4F8B">
              <w:rPr>
                <w:color w:val="444444"/>
              </w:rPr>
              <w:t>athroom, fridge</w:t>
            </w:r>
            <w:r w:rsidR="00193411" w:rsidRPr="002C4F8B">
              <w:rPr>
                <w:color w:val="444444"/>
              </w:rPr>
              <w:t>,</w:t>
            </w:r>
            <w:r w:rsidR="00EF1219" w:rsidRPr="002C4F8B">
              <w:rPr>
                <w:color w:val="444444"/>
              </w:rPr>
              <w:t xml:space="preserve"> and</w:t>
            </w:r>
            <w:r w:rsidRPr="002C4F8B">
              <w:rPr>
                <w:color w:val="444444"/>
              </w:rPr>
              <w:t xml:space="preserve"> </w:t>
            </w:r>
            <w:r w:rsidR="00830459" w:rsidRPr="002C4F8B">
              <w:rPr>
                <w:color w:val="444444"/>
              </w:rPr>
              <w:t>entrance doors.</w:t>
            </w:r>
            <w:r w:rsidRPr="002C4F8B">
              <w:rPr>
                <w:color w:val="444444"/>
              </w:rPr>
              <w:t xml:space="preserve"> </w:t>
            </w:r>
            <w:r w:rsidR="00830459" w:rsidRPr="002C4F8B">
              <w:rPr>
                <w:color w:val="444444"/>
              </w:rPr>
              <w:t>The</w:t>
            </w:r>
            <w:r w:rsidRPr="002C4F8B">
              <w:rPr>
                <w:color w:val="444444"/>
              </w:rPr>
              <w:t xml:space="preserve"> records of those surveys are </w:t>
            </w:r>
            <w:r w:rsidR="00912911" w:rsidRPr="002C4F8B">
              <w:rPr>
                <w:color w:val="444444"/>
              </w:rPr>
              <w:t>maintained</w:t>
            </w:r>
            <w:r w:rsidRPr="002C4F8B">
              <w:rPr>
                <w:color w:val="444444"/>
              </w:rPr>
              <w:t>. The frequency of contamination monitoring is based on the frequency of work (i.e. reduction in compass repair and lack of use has seen monitoring reduced)</w:t>
            </w:r>
            <w:r w:rsidR="00631E6E" w:rsidRPr="002C4F8B">
              <w:rPr>
                <w:color w:val="444444"/>
              </w:rPr>
              <w:t xml:space="preserve">. </w:t>
            </w:r>
            <w:r w:rsidR="00EF1219" w:rsidRPr="002C4F8B">
              <w:rPr>
                <w:color w:val="444444"/>
              </w:rPr>
              <w:t>In the event that a GTLS breakage occurs contamination monitoring is performed after the air has been purged and personnel have re</w:t>
            </w:r>
            <w:r w:rsidR="006A6169" w:rsidRPr="002C4F8B">
              <w:rPr>
                <w:color w:val="444444"/>
              </w:rPr>
              <w:t xml:space="preserve">turned to </w:t>
            </w:r>
            <w:r w:rsidR="00EF1219" w:rsidRPr="002C4F8B">
              <w:rPr>
                <w:color w:val="444444"/>
              </w:rPr>
              <w:t xml:space="preserve">the area. </w:t>
            </w:r>
          </w:p>
          <w:p w14:paraId="189EDAB6" w14:textId="77777777" w:rsidR="00D93269" w:rsidRPr="009B240E" w:rsidRDefault="00D93269" w:rsidP="009B240E">
            <w:pPr>
              <w:keepNext/>
              <w:keepLines/>
              <w:outlineLvl w:val="0"/>
              <w:rPr>
                <w:rFonts w:ascii="Calibri" w:eastAsia="Times New Roman" w:hAnsi="Calibri" w:cs="Times New Roman"/>
                <w:b/>
                <w:bCs/>
                <w:color w:val="4E1A74"/>
                <w:sz w:val="26"/>
                <w:szCs w:val="26"/>
                <w:lang w:eastAsia="en-US"/>
              </w:rPr>
            </w:pPr>
            <w:r w:rsidRPr="009B240E">
              <w:rPr>
                <w:rFonts w:ascii="Calibri" w:eastAsia="Times New Roman" w:hAnsi="Calibri" w:cs="Times New Roman"/>
                <w:b/>
                <w:bCs/>
                <w:color w:val="4E1A74"/>
                <w:sz w:val="26"/>
                <w:szCs w:val="26"/>
                <w:lang w:eastAsia="en-US"/>
              </w:rPr>
              <w:t>Training</w:t>
            </w:r>
          </w:p>
          <w:p w14:paraId="21B713CD" w14:textId="2C7B3A52" w:rsidR="00BF074E" w:rsidRPr="008E43E3" w:rsidRDefault="00BF074E" w:rsidP="009D1AE2">
            <w:r w:rsidRPr="002C4F8B">
              <w:rPr>
                <w:color w:val="444444"/>
              </w:rPr>
              <w:t xml:space="preserve">There are three Radiation Safety Officers (RSO) with oversight of the TRF. One is a Defence employee, while the other two are employed by the contractor. </w:t>
            </w:r>
            <w:r w:rsidR="00D209CF" w:rsidRPr="002C4F8B">
              <w:rPr>
                <w:color w:val="444444"/>
              </w:rPr>
              <w:t>One of t</w:t>
            </w:r>
            <w:r w:rsidR="00051BA2" w:rsidRPr="002C4F8B">
              <w:rPr>
                <w:color w:val="444444"/>
              </w:rPr>
              <w:t>he Defence contractor</w:t>
            </w:r>
            <w:r w:rsidR="00D209CF" w:rsidRPr="002C4F8B">
              <w:rPr>
                <w:color w:val="444444"/>
              </w:rPr>
              <w:t>s</w:t>
            </w:r>
            <w:r w:rsidR="00051BA2" w:rsidRPr="002C4F8B">
              <w:rPr>
                <w:color w:val="444444"/>
              </w:rPr>
              <w:t xml:space="preserve"> undertook a three day course in 2011. </w:t>
            </w:r>
            <w:r w:rsidRPr="002C4F8B">
              <w:rPr>
                <w:color w:val="444444"/>
              </w:rPr>
              <w:t>Defence policy states that whilst the person stays in the job</w:t>
            </w:r>
            <w:r w:rsidR="000C23F0" w:rsidRPr="002C4F8B">
              <w:rPr>
                <w:color w:val="444444"/>
              </w:rPr>
              <w:t>,</w:t>
            </w:r>
            <w:r w:rsidRPr="002C4F8B">
              <w:rPr>
                <w:color w:val="444444"/>
              </w:rPr>
              <w:t xml:space="preserve"> they continue to hold their level of qualification</w:t>
            </w:r>
            <w:r w:rsidR="004F095C" w:rsidRPr="002C4F8B">
              <w:rPr>
                <w:color w:val="444444"/>
              </w:rPr>
              <w:t>,</w:t>
            </w:r>
            <w:r w:rsidRPr="002C4F8B">
              <w:rPr>
                <w:color w:val="444444"/>
              </w:rPr>
              <w:t xml:space="preserve"> but the level of qualification drops if they are away from radiation work for a significant period of time. While the competence of the individual is not questioned</w:t>
            </w:r>
            <w:r w:rsidR="000E4229" w:rsidRPr="002C4F8B">
              <w:rPr>
                <w:color w:val="444444"/>
              </w:rPr>
              <w:t>,</w:t>
            </w:r>
            <w:r w:rsidRPr="002C4F8B">
              <w:rPr>
                <w:color w:val="444444"/>
              </w:rPr>
              <w:t xml:space="preserve"> this system does not</w:t>
            </w:r>
            <w:r w:rsidR="00D82315" w:rsidRPr="002C4F8B">
              <w:rPr>
                <w:color w:val="444444"/>
              </w:rPr>
              <w:t xml:space="preserve"> clearly</w:t>
            </w:r>
            <w:r w:rsidRPr="002C4F8B">
              <w:rPr>
                <w:color w:val="444444"/>
              </w:rPr>
              <w:t xml:space="preserve"> identify the </w:t>
            </w:r>
            <w:r w:rsidR="004F095C" w:rsidRPr="002C4F8B">
              <w:rPr>
                <w:color w:val="444444"/>
              </w:rPr>
              <w:t>specific re-</w:t>
            </w:r>
            <w:r w:rsidRPr="002C4F8B">
              <w:rPr>
                <w:color w:val="444444"/>
              </w:rPr>
              <w:t xml:space="preserve">training needs of the </w:t>
            </w:r>
            <w:r w:rsidR="00D82315" w:rsidRPr="002C4F8B">
              <w:rPr>
                <w:color w:val="444444"/>
              </w:rPr>
              <w:t>RSO</w:t>
            </w:r>
            <w:r w:rsidRPr="002C4F8B">
              <w:rPr>
                <w:color w:val="444444"/>
              </w:rPr>
              <w:t>.</w:t>
            </w:r>
            <w:r w:rsidRPr="008E43E3">
              <w:t xml:space="preserve">     </w:t>
            </w:r>
          </w:p>
          <w:p w14:paraId="2AA04881" w14:textId="246C8909" w:rsidR="008D1313" w:rsidRPr="002C4F8B" w:rsidRDefault="007A6CA7" w:rsidP="009D1AE2">
            <w:pPr>
              <w:rPr>
                <w:color w:val="444444"/>
              </w:rPr>
            </w:pPr>
            <w:r w:rsidRPr="002C4F8B">
              <w:rPr>
                <w:color w:val="444444"/>
              </w:rPr>
              <w:t xml:space="preserve">Defence has established levels of radiation safety training for their employees. </w:t>
            </w:r>
            <w:r w:rsidR="00C26239" w:rsidRPr="002C4F8B">
              <w:rPr>
                <w:color w:val="444444"/>
              </w:rPr>
              <w:t xml:space="preserve">Contracted staff must </w:t>
            </w:r>
            <w:r w:rsidR="00E245C1" w:rsidRPr="002C4F8B">
              <w:rPr>
                <w:color w:val="444444"/>
              </w:rPr>
              <w:t xml:space="preserve">meet the same standard or </w:t>
            </w:r>
            <w:r w:rsidR="00C26239" w:rsidRPr="002C4F8B">
              <w:rPr>
                <w:color w:val="444444"/>
              </w:rPr>
              <w:t xml:space="preserve">demonstrate that an equivalent level of training has been completed. </w:t>
            </w:r>
            <w:r w:rsidR="00137526" w:rsidRPr="002C4F8B">
              <w:rPr>
                <w:color w:val="444444"/>
              </w:rPr>
              <w:t>A</w:t>
            </w:r>
            <w:r w:rsidR="008D1313" w:rsidRPr="002C4F8B">
              <w:rPr>
                <w:color w:val="444444"/>
              </w:rPr>
              <w:t>ll</w:t>
            </w:r>
            <w:r w:rsidR="008D1313" w:rsidRPr="002C4F8B">
              <w:rPr>
                <w:rFonts w:ascii="Calibri" w:eastAsia="Times New Roman" w:hAnsi="Calibri" w:cstheme="majorBidi"/>
                <w:bCs/>
                <w:color w:val="444444"/>
              </w:rPr>
              <w:t xml:space="preserve"> </w:t>
            </w:r>
            <w:r w:rsidR="008D1313" w:rsidRPr="002C4F8B">
              <w:rPr>
                <w:color w:val="444444"/>
              </w:rPr>
              <w:t>staff complete</w:t>
            </w:r>
            <w:r w:rsidRPr="002C4F8B">
              <w:rPr>
                <w:color w:val="444444"/>
              </w:rPr>
              <w:t xml:space="preserve"> an</w:t>
            </w:r>
            <w:r w:rsidR="008D1313" w:rsidRPr="002C4F8B">
              <w:rPr>
                <w:color w:val="444444"/>
              </w:rPr>
              <w:t xml:space="preserve"> annual refresher </w:t>
            </w:r>
            <w:r w:rsidRPr="002C4F8B">
              <w:rPr>
                <w:color w:val="444444"/>
              </w:rPr>
              <w:t xml:space="preserve">as a part of </w:t>
            </w:r>
            <w:r w:rsidR="00E245C1" w:rsidRPr="002C4F8B">
              <w:rPr>
                <w:color w:val="444444"/>
              </w:rPr>
              <w:t xml:space="preserve">their </w:t>
            </w:r>
            <w:r w:rsidRPr="002C4F8B">
              <w:rPr>
                <w:color w:val="444444"/>
              </w:rPr>
              <w:t xml:space="preserve">continuation training </w:t>
            </w:r>
            <w:r w:rsidR="008D1313" w:rsidRPr="002C4F8B">
              <w:rPr>
                <w:color w:val="444444"/>
              </w:rPr>
              <w:t>and keep an attendance record</w:t>
            </w:r>
            <w:r w:rsidR="00137526" w:rsidRPr="002C4F8B">
              <w:rPr>
                <w:color w:val="444444"/>
              </w:rPr>
              <w:t>.</w:t>
            </w:r>
            <w:r w:rsidR="009F37F1" w:rsidRPr="002C4F8B">
              <w:rPr>
                <w:color w:val="444444"/>
              </w:rPr>
              <w:t xml:space="preserve"> </w:t>
            </w:r>
          </w:p>
          <w:p w14:paraId="3D1B1DB3" w14:textId="77777777" w:rsidR="00D93269" w:rsidRPr="009B240E" w:rsidRDefault="00D93269" w:rsidP="009B240E">
            <w:pPr>
              <w:keepNext/>
              <w:keepLines/>
              <w:outlineLvl w:val="0"/>
              <w:rPr>
                <w:rFonts w:ascii="Calibri" w:eastAsia="Times New Roman" w:hAnsi="Calibri" w:cs="Times New Roman"/>
                <w:b/>
                <w:bCs/>
                <w:color w:val="4E1A74"/>
                <w:sz w:val="26"/>
                <w:szCs w:val="26"/>
                <w:lang w:eastAsia="en-US"/>
              </w:rPr>
            </w:pPr>
            <w:r w:rsidRPr="009B240E">
              <w:rPr>
                <w:rFonts w:ascii="Calibri" w:eastAsia="Times New Roman" w:hAnsi="Calibri" w:cs="Times New Roman"/>
                <w:b/>
                <w:bCs/>
                <w:color w:val="4E1A74"/>
                <w:sz w:val="26"/>
                <w:szCs w:val="26"/>
                <w:lang w:eastAsia="en-US"/>
              </w:rPr>
              <w:t>Event protection</w:t>
            </w:r>
          </w:p>
          <w:p w14:paraId="1D30450B" w14:textId="6D74EC8C" w:rsidR="00F91A9B" w:rsidRPr="008E43E3" w:rsidRDefault="00F91A9B" w:rsidP="009D1AE2">
            <w:r w:rsidRPr="002C4F8B">
              <w:rPr>
                <w:color w:val="444444"/>
              </w:rPr>
              <w:t xml:space="preserve">Defence </w:t>
            </w:r>
            <w:r w:rsidR="00ED03D0" w:rsidRPr="002C4F8B">
              <w:rPr>
                <w:color w:val="444444"/>
              </w:rPr>
              <w:t>i</w:t>
            </w:r>
            <w:r w:rsidRPr="002C4F8B">
              <w:rPr>
                <w:color w:val="444444"/>
              </w:rPr>
              <w:t xml:space="preserve">s </w:t>
            </w:r>
            <w:r w:rsidR="00ED03D0" w:rsidRPr="002C4F8B">
              <w:rPr>
                <w:color w:val="444444"/>
              </w:rPr>
              <w:t xml:space="preserve">in the process of revising the </w:t>
            </w:r>
            <w:r w:rsidRPr="002C4F8B">
              <w:rPr>
                <w:color w:val="444444"/>
              </w:rPr>
              <w:t>Building Emergency Response Plan (BERP) that addres</w:t>
            </w:r>
            <w:r w:rsidR="008B371F" w:rsidRPr="002C4F8B">
              <w:rPr>
                <w:color w:val="444444"/>
              </w:rPr>
              <w:t>ses numerous external events suc</w:t>
            </w:r>
            <w:r w:rsidRPr="002C4F8B">
              <w:rPr>
                <w:color w:val="444444"/>
              </w:rPr>
              <w:t xml:space="preserve">h as fire, civil unrest, loss of utilities and explosions. The BERP has a generic section covering a chemical/hazardous material emergency. However, this does not address the radiological hazard associated with the TRF.   </w:t>
            </w:r>
            <w:r w:rsidRPr="008E43E3">
              <w:t xml:space="preserve"> </w:t>
            </w:r>
          </w:p>
          <w:p w14:paraId="7C260A96" w14:textId="378B513D" w:rsidR="00D93269" w:rsidRPr="009B240E" w:rsidRDefault="00D93269" w:rsidP="009B240E">
            <w:pPr>
              <w:keepNext/>
              <w:keepLines/>
              <w:outlineLvl w:val="0"/>
              <w:rPr>
                <w:rFonts w:ascii="Calibri" w:eastAsia="Times New Roman" w:hAnsi="Calibri" w:cs="Times New Roman"/>
                <w:b/>
                <w:bCs/>
                <w:color w:val="4E1A74"/>
                <w:sz w:val="26"/>
                <w:szCs w:val="26"/>
                <w:lang w:eastAsia="en-US"/>
              </w:rPr>
            </w:pPr>
            <w:r w:rsidRPr="009B240E">
              <w:rPr>
                <w:rFonts w:ascii="Calibri" w:eastAsia="Times New Roman" w:hAnsi="Calibri" w:cs="Times New Roman"/>
                <w:b/>
                <w:bCs/>
                <w:color w:val="4E1A74"/>
                <w:sz w:val="26"/>
                <w:szCs w:val="26"/>
                <w:lang w:eastAsia="en-US"/>
              </w:rPr>
              <w:t>Security</w:t>
            </w:r>
          </w:p>
          <w:p w14:paraId="7D4E6141" w14:textId="4B763915" w:rsidR="00017D45" w:rsidRPr="002C4F8B" w:rsidRDefault="00017D45" w:rsidP="009D1AE2">
            <w:pPr>
              <w:rPr>
                <w:color w:val="444444"/>
              </w:rPr>
            </w:pPr>
            <w:r w:rsidRPr="002C4F8B">
              <w:rPr>
                <w:color w:val="444444"/>
              </w:rPr>
              <w:t xml:space="preserve">Security at the TRF appears to be sound. Multiple layers of security in depth are used. For instance, access to the base is managed, access to the building housing the TRF is limited, and ultimately, access into the TRF is further controlled so that only authorised personnel can actually enter. Collectively, this ensures that only those that have a need to access the area are able to.   </w:t>
            </w:r>
          </w:p>
          <w:p w14:paraId="1178A69C" w14:textId="742FB111" w:rsidR="008B371F" w:rsidRPr="002C4F8B" w:rsidRDefault="008B371F" w:rsidP="009D1AE2">
            <w:pPr>
              <w:rPr>
                <w:color w:val="444444"/>
              </w:rPr>
            </w:pPr>
            <w:r w:rsidRPr="002C4F8B">
              <w:rPr>
                <w:color w:val="444444"/>
              </w:rPr>
              <w:t xml:space="preserve">A second Defence contractor is on-site. This contractor is involved in the transportation of devices containing GTLS to the TRF. A pass-through hatch has been designed into the building. The devices are placed inside the hatch. This delineates the responsibilities of the two contractors and </w:t>
            </w:r>
            <w:r w:rsidR="00C870C2" w:rsidRPr="002C4F8B">
              <w:rPr>
                <w:color w:val="444444"/>
              </w:rPr>
              <w:t>demonstrates that</w:t>
            </w:r>
            <w:r w:rsidRPr="002C4F8B">
              <w:rPr>
                <w:color w:val="444444"/>
              </w:rPr>
              <w:t xml:space="preserve"> access to the TRF</w:t>
            </w:r>
            <w:r w:rsidR="00C870C2" w:rsidRPr="002C4F8B">
              <w:rPr>
                <w:color w:val="444444"/>
              </w:rPr>
              <w:t xml:space="preserve"> is in practice restricted</w:t>
            </w:r>
            <w:r w:rsidRPr="002C4F8B">
              <w:rPr>
                <w:color w:val="444444"/>
              </w:rPr>
              <w:t xml:space="preserve">.   </w:t>
            </w:r>
          </w:p>
          <w:p w14:paraId="72CE40F5" w14:textId="77777777" w:rsidR="00D93269" w:rsidRPr="009B240E" w:rsidRDefault="00D93269" w:rsidP="009B240E">
            <w:pPr>
              <w:keepNext/>
              <w:keepLines/>
              <w:outlineLvl w:val="0"/>
              <w:rPr>
                <w:rFonts w:ascii="Calibri" w:eastAsia="Times New Roman" w:hAnsi="Calibri" w:cs="Times New Roman"/>
                <w:b/>
                <w:bCs/>
                <w:color w:val="4E1A74"/>
                <w:sz w:val="26"/>
                <w:szCs w:val="26"/>
                <w:lang w:eastAsia="en-US"/>
              </w:rPr>
            </w:pPr>
            <w:r w:rsidRPr="009B240E">
              <w:rPr>
                <w:rFonts w:ascii="Calibri" w:eastAsia="Times New Roman" w:hAnsi="Calibri" w:cs="Times New Roman"/>
                <w:b/>
                <w:bCs/>
                <w:color w:val="4E1A74"/>
                <w:sz w:val="26"/>
                <w:szCs w:val="26"/>
                <w:lang w:eastAsia="en-US"/>
              </w:rPr>
              <w:t>Radiation protection</w:t>
            </w:r>
          </w:p>
          <w:p w14:paraId="0125E9C1" w14:textId="54761D4D" w:rsidR="00DB4D6F" w:rsidRPr="002C4F8B" w:rsidRDefault="00860DCF" w:rsidP="009D1AE2">
            <w:pPr>
              <w:rPr>
                <w:color w:val="444444"/>
              </w:rPr>
            </w:pPr>
            <w:r w:rsidRPr="002C4F8B">
              <w:rPr>
                <w:color w:val="444444"/>
              </w:rPr>
              <w:t>Personnel working inside the TRF are required to wear PPE such as gloves. The used PPE is initially stored in dedicated radioactive waste bins within the TRF. Although, Defence has a radioactive waste storage facility, when the bins have become full, the waste has been sent to a waste removal company rather than the waste store.</w:t>
            </w:r>
            <w:r w:rsidR="00572826" w:rsidRPr="002C4F8B">
              <w:rPr>
                <w:color w:val="444444"/>
              </w:rPr>
              <w:t xml:space="preserve"> Defence has a document describing the </w:t>
            </w:r>
            <w:r w:rsidR="006E6AA4" w:rsidRPr="002C4F8B">
              <w:rPr>
                <w:color w:val="444444"/>
              </w:rPr>
              <w:t xml:space="preserve">disposal of waste with very low levels of radioactivity. </w:t>
            </w:r>
            <w:r w:rsidR="00C06F4C" w:rsidRPr="002C4F8B">
              <w:rPr>
                <w:color w:val="444444"/>
              </w:rPr>
              <w:t>This document argues that if the items being handled</w:t>
            </w:r>
            <w:r w:rsidR="00863E7B" w:rsidRPr="002C4F8B">
              <w:rPr>
                <w:color w:val="444444"/>
              </w:rPr>
              <w:t>,</w:t>
            </w:r>
            <w:r w:rsidR="00C06F4C" w:rsidRPr="002C4F8B">
              <w:rPr>
                <w:color w:val="444444"/>
              </w:rPr>
              <w:t xml:space="preserve"> whilst wearing the PPE</w:t>
            </w:r>
            <w:r w:rsidR="00863E7B" w:rsidRPr="002C4F8B">
              <w:rPr>
                <w:color w:val="444444"/>
              </w:rPr>
              <w:t>,</w:t>
            </w:r>
            <w:r w:rsidR="00C06F4C" w:rsidRPr="002C4F8B">
              <w:rPr>
                <w:color w:val="444444"/>
              </w:rPr>
              <w:t xml:space="preserve"> are less than a certain level </w:t>
            </w:r>
            <w:r w:rsidR="00D16EE3" w:rsidRPr="002C4F8B">
              <w:rPr>
                <w:color w:val="444444"/>
              </w:rPr>
              <w:t>of surface contamination</w:t>
            </w:r>
            <w:r w:rsidR="00863E7B" w:rsidRPr="002C4F8B">
              <w:rPr>
                <w:color w:val="444444"/>
              </w:rPr>
              <w:t>,</w:t>
            </w:r>
            <w:r w:rsidR="00D16EE3" w:rsidRPr="002C4F8B">
              <w:rPr>
                <w:color w:val="444444"/>
              </w:rPr>
              <w:t xml:space="preserve"> it can be assumed that the PPE has less than that level of radioactivity on it. </w:t>
            </w:r>
            <w:r w:rsidR="00863E7B" w:rsidRPr="002C4F8B">
              <w:rPr>
                <w:color w:val="444444"/>
              </w:rPr>
              <w:t xml:space="preserve">Hence, it can be disposed of accordingly. </w:t>
            </w:r>
            <w:r w:rsidRPr="002C4F8B">
              <w:rPr>
                <w:color w:val="444444"/>
              </w:rPr>
              <w:t>However, no tests have been performed to characterise the waste prior to disposal to confirm that the material is less than the exempt concentrations specified in the ARPANS Regulations and the levels required for user disposal to a landfill.</w:t>
            </w:r>
            <w:r w:rsidR="00863E7B" w:rsidRPr="002C4F8B">
              <w:rPr>
                <w:color w:val="444444"/>
              </w:rPr>
              <w:t xml:space="preserve"> Furthermore, no re-evaluation of the logic</w:t>
            </w:r>
            <w:r w:rsidR="0075412A" w:rsidRPr="002C4F8B">
              <w:rPr>
                <w:color w:val="444444"/>
              </w:rPr>
              <w:t xml:space="preserve"> and assumptions</w:t>
            </w:r>
            <w:r w:rsidR="00863E7B" w:rsidRPr="002C4F8B">
              <w:rPr>
                <w:color w:val="444444"/>
              </w:rPr>
              <w:t xml:space="preserve"> set out in this Defence document published in July 2008 has occurred. </w:t>
            </w:r>
          </w:p>
          <w:p w14:paraId="6F72EA6C" w14:textId="548FECFA" w:rsidR="00D40DCF" w:rsidRPr="008E43E3" w:rsidRDefault="00DB4D6F" w:rsidP="009D1AE2">
            <w:r w:rsidRPr="002C4F8B">
              <w:rPr>
                <w:color w:val="444444"/>
              </w:rPr>
              <w:t xml:space="preserve">Defence has a document detailing the surface contamination measurement method. </w:t>
            </w:r>
            <w:r w:rsidR="00D40DCF" w:rsidRPr="002C4F8B">
              <w:rPr>
                <w:color w:val="444444"/>
              </w:rPr>
              <w:t xml:space="preserve">This instructs the user to use a ‘dry’ wipe. It has been reported in the IAEA Technical Reports Series 324 - Safe Handling of Tritium: Review of Data and Experience (TRS 324) that although adequate sensitivity is available with dry wipes, wet wipes are sometimes used for higher sensitivity and reproducibility. It also warns that significant losses may occur </w:t>
            </w:r>
            <w:r w:rsidR="00D771E9" w:rsidRPr="002C4F8B">
              <w:rPr>
                <w:color w:val="444444"/>
              </w:rPr>
              <w:t xml:space="preserve">when using dry wipes </w:t>
            </w:r>
            <w:r w:rsidR="00D40DCF" w:rsidRPr="002C4F8B">
              <w:rPr>
                <w:color w:val="444444"/>
              </w:rPr>
              <w:t xml:space="preserve">if the paper is not quickly inserted into the liquid in the counting vial. </w:t>
            </w:r>
            <w:r w:rsidR="00FB6EEF" w:rsidRPr="002C4F8B">
              <w:rPr>
                <w:color w:val="444444"/>
              </w:rPr>
              <w:t>Moreover, it also suggests that the vial be allowed to stand for 10-20</w:t>
            </w:r>
            <w:r w:rsidR="00FB6EEF" w:rsidRPr="008E43E3">
              <w:t xml:space="preserve"> </w:t>
            </w:r>
            <w:r w:rsidR="00FB6EEF" w:rsidRPr="002C4F8B">
              <w:rPr>
                <w:color w:val="444444"/>
              </w:rPr>
              <w:t xml:space="preserve">minutes before counting. These factors that may affect the measured value have not been addressed in the Defence document.  </w:t>
            </w:r>
          </w:p>
          <w:p w14:paraId="02F25506" w14:textId="01D983BA" w:rsidR="00AF4FF3" w:rsidRPr="009B240E" w:rsidRDefault="00D93269" w:rsidP="009B240E">
            <w:pPr>
              <w:keepNext/>
              <w:keepLines/>
              <w:outlineLvl w:val="0"/>
              <w:rPr>
                <w:rFonts w:ascii="Calibri" w:eastAsia="Times New Roman" w:hAnsi="Calibri" w:cs="Times New Roman"/>
                <w:b/>
                <w:bCs/>
                <w:color w:val="4E1A74"/>
                <w:sz w:val="26"/>
                <w:szCs w:val="26"/>
                <w:lang w:eastAsia="en-US"/>
              </w:rPr>
            </w:pPr>
            <w:r w:rsidRPr="009B240E">
              <w:rPr>
                <w:rFonts w:ascii="Calibri" w:eastAsia="Times New Roman" w:hAnsi="Calibri" w:cs="Times New Roman"/>
                <w:b/>
                <w:bCs/>
                <w:color w:val="4E1A74"/>
                <w:sz w:val="26"/>
                <w:szCs w:val="26"/>
                <w:lang w:eastAsia="en-US"/>
              </w:rPr>
              <w:t>Emergency preparedness and response</w:t>
            </w:r>
          </w:p>
          <w:p w14:paraId="25B47EEE" w14:textId="4A7F67BE" w:rsidR="00D93269" w:rsidRPr="002C4F8B" w:rsidRDefault="005D5C9C" w:rsidP="009D1AE2">
            <w:pPr>
              <w:rPr>
                <w:color w:val="444444"/>
              </w:rPr>
            </w:pPr>
            <w:r w:rsidRPr="002C4F8B">
              <w:rPr>
                <w:color w:val="444444"/>
              </w:rPr>
              <w:t xml:space="preserve">The Defence RSP mandates actions to be taken in the event that a GTLS is broken. </w:t>
            </w:r>
            <w:r w:rsidR="00D47D9E" w:rsidRPr="002C4F8B">
              <w:rPr>
                <w:color w:val="444444"/>
              </w:rPr>
              <w:t xml:space="preserve">The contractor has </w:t>
            </w:r>
            <w:r w:rsidRPr="002C4F8B">
              <w:rPr>
                <w:color w:val="444444"/>
              </w:rPr>
              <w:t xml:space="preserve">built upon this with </w:t>
            </w:r>
            <w:r w:rsidR="0047188D" w:rsidRPr="002C4F8B">
              <w:rPr>
                <w:color w:val="444444"/>
              </w:rPr>
              <w:t xml:space="preserve">further details </w:t>
            </w:r>
            <w:r w:rsidR="00D47D9E" w:rsidRPr="002C4F8B">
              <w:rPr>
                <w:color w:val="444444"/>
              </w:rPr>
              <w:t xml:space="preserve">for handling foreseeable radiation emergencies. </w:t>
            </w:r>
            <w:r w:rsidRPr="002C4F8B">
              <w:rPr>
                <w:color w:val="444444"/>
              </w:rPr>
              <w:t xml:space="preserve">These are detailed in the Radiation Safety Management Plan and Radiation Emergency Protection Procedure. </w:t>
            </w:r>
            <w:r w:rsidR="00253CBC" w:rsidRPr="002C4F8B">
              <w:rPr>
                <w:color w:val="444444"/>
              </w:rPr>
              <w:t xml:space="preserve">This covers GTLS breakage and decontamination, receiving in appropriate bagged broken GTLS, liquid spill clean-up, contamination of personnel, etc. </w:t>
            </w:r>
          </w:p>
          <w:p w14:paraId="18762956" w14:textId="77777777" w:rsidR="00681A05" w:rsidRPr="009B240E" w:rsidRDefault="00681A05" w:rsidP="00D82315">
            <w:pPr>
              <w:rPr>
                <w:rFonts w:ascii="Calibri" w:eastAsiaTheme="majorEastAsia" w:hAnsi="Calibri" w:cstheme="majorBidi"/>
                <w:b/>
                <w:bCs/>
                <w:color w:val="4E1A74"/>
                <w:sz w:val="32"/>
                <w:szCs w:val="28"/>
                <w:lang w:eastAsia="en-US"/>
              </w:rPr>
            </w:pPr>
            <w:r w:rsidRPr="009B240E">
              <w:rPr>
                <w:rFonts w:ascii="Calibri" w:eastAsiaTheme="majorEastAsia" w:hAnsi="Calibri" w:cstheme="majorBidi"/>
                <w:b/>
                <w:bCs/>
                <w:color w:val="4E1A74"/>
                <w:sz w:val="32"/>
                <w:szCs w:val="28"/>
                <w:lang w:eastAsia="en-US"/>
              </w:rPr>
              <w:lastRenderedPageBreak/>
              <w:t>Findings</w:t>
            </w:r>
          </w:p>
          <w:p w14:paraId="081C8D8E" w14:textId="77777777" w:rsidR="00F6231B" w:rsidRPr="002C4F8B" w:rsidRDefault="00F6231B" w:rsidP="008E43E3">
            <w:pPr>
              <w:rPr>
                <w:color w:val="444444"/>
              </w:rPr>
            </w:pPr>
            <w:r w:rsidRPr="002C4F8B">
              <w:rPr>
                <w:color w:val="444444"/>
              </w:rPr>
              <w:t xml:space="preserve">The licence holder was found to be in compliance with the requirements of the Act, the Regulations, and licence conditions. </w:t>
            </w:r>
          </w:p>
          <w:p w14:paraId="4A6F34BC" w14:textId="77777777" w:rsidR="00F6231B" w:rsidRPr="002C4F8B" w:rsidRDefault="00F6231B" w:rsidP="008E43E3">
            <w:pPr>
              <w:pStyle w:val="Heading3list"/>
              <w:spacing w:line="240" w:lineRule="auto"/>
              <w:jc w:val="both"/>
              <w:rPr>
                <w:rFonts w:asciiTheme="minorHAnsi" w:hAnsiTheme="minorHAnsi"/>
                <w:b w:val="0"/>
                <w:color w:val="444444"/>
                <w:sz w:val="22"/>
                <w:szCs w:val="22"/>
              </w:rPr>
            </w:pPr>
            <w:r w:rsidRPr="002C4F8B">
              <w:rPr>
                <w:rFonts w:asciiTheme="minorHAnsi" w:hAnsiTheme="minorHAnsi"/>
                <w:b w:val="0"/>
                <w:color w:val="444444"/>
                <w:sz w:val="22"/>
                <w:szCs w:val="22"/>
              </w:rPr>
              <w:t xml:space="preserve">The inspection revealed the following </w:t>
            </w:r>
            <w:r w:rsidRPr="002C4F8B">
              <w:rPr>
                <w:rFonts w:asciiTheme="minorHAnsi" w:hAnsiTheme="minorHAnsi"/>
                <w:color w:val="444444"/>
                <w:sz w:val="22"/>
                <w:szCs w:val="22"/>
              </w:rPr>
              <w:t>areas for improvement</w:t>
            </w:r>
            <w:r w:rsidRPr="002C4F8B">
              <w:rPr>
                <w:rFonts w:asciiTheme="minorHAnsi" w:hAnsiTheme="minorHAnsi"/>
                <w:b w:val="0"/>
                <w:color w:val="444444"/>
                <w:sz w:val="22"/>
                <w:szCs w:val="22"/>
              </w:rPr>
              <w:t>:</w:t>
            </w:r>
          </w:p>
          <w:p w14:paraId="2746FA52" w14:textId="75CD4608" w:rsidR="00F6231B" w:rsidRPr="002C4F8B" w:rsidRDefault="008D1C5A" w:rsidP="00AF4FF3">
            <w:pPr>
              <w:pStyle w:val="ListParagraph"/>
              <w:numPr>
                <w:ilvl w:val="0"/>
                <w:numId w:val="5"/>
              </w:numPr>
              <w:ind w:left="738" w:hanging="284"/>
              <w:rPr>
                <w:b/>
                <w:color w:val="444444"/>
              </w:rPr>
            </w:pPr>
            <w:r w:rsidRPr="002C4F8B">
              <w:rPr>
                <w:color w:val="444444"/>
              </w:rPr>
              <w:t xml:space="preserve">Access and oversight arrangements for internal reports and tests. </w:t>
            </w:r>
          </w:p>
          <w:p w14:paraId="64A086D6" w14:textId="56748C2F" w:rsidR="008D1C5A" w:rsidRPr="002C4F8B" w:rsidRDefault="008D1C5A" w:rsidP="00AF4FF3">
            <w:pPr>
              <w:pStyle w:val="ListParagraph"/>
              <w:numPr>
                <w:ilvl w:val="0"/>
                <w:numId w:val="5"/>
              </w:numPr>
              <w:ind w:left="738" w:hanging="284"/>
              <w:rPr>
                <w:color w:val="444444"/>
              </w:rPr>
            </w:pPr>
            <w:r w:rsidRPr="002C4F8B">
              <w:rPr>
                <w:color w:val="444444"/>
              </w:rPr>
              <w:t>Training needs assessment for Radiation Protection Officers.</w:t>
            </w:r>
          </w:p>
          <w:p w14:paraId="68FDF673" w14:textId="26BE94C1" w:rsidR="008A6D3F" w:rsidRPr="002C4F8B" w:rsidRDefault="00C11D77" w:rsidP="00AF4FF3">
            <w:pPr>
              <w:pStyle w:val="ListParagraph"/>
              <w:numPr>
                <w:ilvl w:val="0"/>
                <w:numId w:val="5"/>
              </w:numPr>
              <w:ind w:left="738" w:hanging="284"/>
              <w:rPr>
                <w:b/>
                <w:color w:val="444444"/>
              </w:rPr>
            </w:pPr>
            <w:r w:rsidRPr="002C4F8B">
              <w:rPr>
                <w:color w:val="444444"/>
              </w:rPr>
              <w:t xml:space="preserve">Re-evaluation of the logic and assumptions used in the characterisation of radioactive waste. </w:t>
            </w:r>
          </w:p>
          <w:p w14:paraId="71E491BC" w14:textId="4999BA62" w:rsidR="008A6D3F" w:rsidRPr="002C4F8B" w:rsidRDefault="00C11D77" w:rsidP="008A6D3F">
            <w:pPr>
              <w:pStyle w:val="ListParagraph"/>
              <w:numPr>
                <w:ilvl w:val="0"/>
                <w:numId w:val="5"/>
              </w:numPr>
              <w:ind w:left="738" w:hanging="284"/>
              <w:rPr>
                <w:b/>
                <w:color w:val="444444"/>
              </w:rPr>
            </w:pPr>
            <w:r w:rsidRPr="002C4F8B">
              <w:rPr>
                <w:color w:val="444444"/>
              </w:rPr>
              <w:t xml:space="preserve">Review practices used for measuring radioactivity. </w:t>
            </w:r>
          </w:p>
          <w:p w14:paraId="68B7D214" w14:textId="77777777" w:rsidR="00681A05" w:rsidRPr="002C4F8B" w:rsidRDefault="00F6231B" w:rsidP="005B5E7C">
            <w:pPr>
              <w:spacing w:line="240" w:lineRule="auto"/>
              <w:jc w:val="both"/>
              <w:rPr>
                <w:color w:val="444444"/>
              </w:rPr>
            </w:pPr>
            <w:r w:rsidRPr="002C4F8B">
              <w:rPr>
                <w:color w:val="444444"/>
              </w:rPr>
              <w:t>It is expected that improvement actions</w:t>
            </w:r>
            <w:r w:rsidR="008A29E6" w:rsidRPr="002C4F8B">
              <w:rPr>
                <w:color w:val="444444"/>
              </w:rPr>
              <w:t xml:space="preserve"> will</w:t>
            </w:r>
            <w:r w:rsidRPr="002C4F8B">
              <w:rPr>
                <w:color w:val="444444"/>
              </w:rPr>
              <w:t xml:space="preserve"> be taken in a timely manner.</w:t>
            </w:r>
          </w:p>
          <w:p w14:paraId="6F0341F9" w14:textId="77777777" w:rsidR="005B5E7C" w:rsidRPr="00AF4FF3" w:rsidRDefault="005B5E7C" w:rsidP="005B5E7C">
            <w:pPr>
              <w:spacing w:line="240" w:lineRule="auto"/>
              <w:jc w:val="both"/>
              <w:rPr>
                <w:rFonts w:cs="Arial"/>
              </w:rPr>
            </w:pPr>
          </w:p>
        </w:tc>
        <w:bookmarkStart w:id="0" w:name="_GoBack"/>
        <w:bookmarkEnd w:id="0"/>
      </w:tr>
    </w:tbl>
    <w:p w14:paraId="21D817D5" w14:textId="77777777" w:rsidR="00F6231B" w:rsidRPr="00AF4FF3" w:rsidRDefault="00F6231B" w:rsidP="00F6231B">
      <w:pPr>
        <w:ind w:left="-426"/>
        <w:jc w:val="center"/>
        <w:rPr>
          <w:rStyle w:val="SubtleEmphasis"/>
          <w:color w:val="3F05D1"/>
        </w:rPr>
      </w:pPr>
    </w:p>
    <w:sectPr w:rsidR="00F6231B" w:rsidRPr="00AF4FF3" w:rsidSect="00EF13FB">
      <w:headerReference w:type="default" r:id="rId8"/>
      <w:footerReference w:type="default" r:id="rId9"/>
      <w:headerReference w:type="first" r:id="rId10"/>
      <w:footerReference w:type="first" r:id="rId11"/>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276C4" w14:textId="77777777" w:rsidR="00C52325" w:rsidRDefault="00C52325" w:rsidP="00C24160">
      <w:r>
        <w:separator/>
      </w:r>
    </w:p>
  </w:endnote>
  <w:endnote w:type="continuationSeparator" w:id="0">
    <w:p w14:paraId="59E55438" w14:textId="77777777" w:rsidR="00C52325" w:rsidRDefault="00C52325" w:rsidP="00C2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44444"/>
      </w:rPr>
      <w:id w:val="635534134"/>
      <w:docPartObj>
        <w:docPartGallery w:val="Page Numbers (Bottom of Page)"/>
        <w:docPartUnique/>
      </w:docPartObj>
    </w:sdtPr>
    <w:sdtEndPr/>
    <w:sdtContent>
      <w:sdt>
        <w:sdtPr>
          <w:rPr>
            <w:color w:val="444444"/>
          </w:rPr>
          <w:id w:val="-1705238520"/>
          <w:docPartObj>
            <w:docPartGallery w:val="Page Numbers (Top of Page)"/>
            <w:docPartUnique/>
          </w:docPartObj>
        </w:sdtPr>
        <w:sdtEndPr/>
        <w:sdtContent>
          <w:p w14:paraId="4536DF47" w14:textId="525A6978" w:rsidR="00CF1736" w:rsidRPr="001C5225" w:rsidRDefault="00CF1736" w:rsidP="002C4F8B">
            <w:pPr>
              <w:pStyle w:val="Footer"/>
              <w:tabs>
                <w:tab w:val="clear" w:pos="9026"/>
                <w:tab w:val="right" w:pos="9638"/>
              </w:tabs>
              <w:rPr>
                <w:bCs/>
                <w:color w:val="444444"/>
                <w:sz w:val="18"/>
                <w:szCs w:val="18"/>
              </w:rPr>
            </w:pPr>
            <w:r w:rsidRPr="001C5225">
              <w:rPr>
                <w:color w:val="444444"/>
                <w:sz w:val="18"/>
              </w:rPr>
              <w:t xml:space="preserve">REG-INS-FORM-280M v9 </w:t>
            </w:r>
            <w:r w:rsidRPr="001C5225">
              <w:rPr>
                <w:color w:val="444444"/>
                <w:sz w:val="18"/>
              </w:rPr>
              <w:tab/>
              <w:t xml:space="preserve">               November 2017</w:t>
            </w:r>
            <w:r w:rsidRPr="001C5225">
              <w:rPr>
                <w:color w:val="444444"/>
                <w:sz w:val="18"/>
              </w:rPr>
              <w:tab/>
            </w:r>
            <w:r w:rsidRPr="001C5225">
              <w:rPr>
                <w:color w:val="444444"/>
                <w:sz w:val="18"/>
                <w:szCs w:val="18"/>
              </w:rPr>
              <w:t xml:space="preserve">Page </w:t>
            </w:r>
            <w:r w:rsidRPr="001C5225">
              <w:rPr>
                <w:bCs/>
                <w:color w:val="444444"/>
                <w:sz w:val="18"/>
                <w:szCs w:val="18"/>
              </w:rPr>
              <w:fldChar w:fldCharType="begin"/>
            </w:r>
            <w:r w:rsidRPr="001C5225">
              <w:rPr>
                <w:bCs/>
                <w:color w:val="444444"/>
                <w:sz w:val="18"/>
                <w:szCs w:val="18"/>
              </w:rPr>
              <w:instrText xml:space="preserve"> PAGE </w:instrText>
            </w:r>
            <w:r w:rsidRPr="001C5225">
              <w:rPr>
                <w:bCs/>
                <w:color w:val="444444"/>
                <w:sz w:val="18"/>
                <w:szCs w:val="18"/>
              </w:rPr>
              <w:fldChar w:fldCharType="separate"/>
            </w:r>
            <w:r w:rsidR="000A52DD">
              <w:rPr>
                <w:bCs/>
                <w:noProof/>
                <w:color w:val="444444"/>
                <w:sz w:val="18"/>
                <w:szCs w:val="18"/>
              </w:rPr>
              <w:t>4</w:t>
            </w:r>
            <w:r w:rsidRPr="001C5225">
              <w:rPr>
                <w:bCs/>
                <w:color w:val="444444"/>
                <w:sz w:val="18"/>
                <w:szCs w:val="18"/>
              </w:rPr>
              <w:fldChar w:fldCharType="end"/>
            </w:r>
            <w:r w:rsidRPr="001C5225">
              <w:rPr>
                <w:color w:val="444444"/>
                <w:sz w:val="18"/>
                <w:szCs w:val="18"/>
              </w:rPr>
              <w:t xml:space="preserve"> of </w:t>
            </w:r>
            <w:r w:rsidRPr="001C5225">
              <w:rPr>
                <w:bCs/>
                <w:color w:val="444444"/>
                <w:sz w:val="18"/>
                <w:szCs w:val="18"/>
              </w:rPr>
              <w:fldChar w:fldCharType="begin"/>
            </w:r>
            <w:r w:rsidRPr="001C5225">
              <w:rPr>
                <w:bCs/>
                <w:color w:val="444444"/>
                <w:sz w:val="18"/>
                <w:szCs w:val="18"/>
              </w:rPr>
              <w:instrText xml:space="preserve"> NUMPAGES  </w:instrText>
            </w:r>
            <w:r w:rsidRPr="001C5225">
              <w:rPr>
                <w:bCs/>
                <w:color w:val="444444"/>
                <w:sz w:val="18"/>
                <w:szCs w:val="18"/>
              </w:rPr>
              <w:fldChar w:fldCharType="separate"/>
            </w:r>
            <w:r w:rsidR="000A52DD">
              <w:rPr>
                <w:bCs/>
                <w:noProof/>
                <w:color w:val="444444"/>
                <w:sz w:val="18"/>
                <w:szCs w:val="18"/>
              </w:rPr>
              <w:t>4</w:t>
            </w:r>
            <w:r w:rsidRPr="001C5225">
              <w:rPr>
                <w:bCs/>
                <w:color w:val="444444"/>
                <w:sz w:val="18"/>
                <w:szCs w:val="18"/>
              </w:rPr>
              <w:fldChar w:fldCharType="end"/>
            </w:r>
            <w:r w:rsidR="002C4F8B" w:rsidRPr="001C5225">
              <w:rPr>
                <w:noProof/>
                <w:color w:val="444444"/>
                <w:sz w:val="12"/>
              </w:rPr>
              <w:drawing>
                <wp:anchor distT="0" distB="0" distL="114300" distR="114300" simplePos="0" relativeHeight="251664896" behindDoc="0" locked="0" layoutInCell="1" allowOverlap="1" wp14:anchorId="722ED823" wp14:editId="52F1393C">
                  <wp:simplePos x="0" y="0"/>
                  <wp:positionH relativeFrom="margin">
                    <wp:align>right</wp:align>
                  </wp:positionH>
                  <wp:positionV relativeFrom="paragraph">
                    <wp:posOffset>476250</wp:posOffset>
                  </wp:positionV>
                  <wp:extent cx="6120000" cy="54000"/>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6ACB64CA" w14:textId="333AADDF" w:rsidR="00681A05" w:rsidRPr="000B6360" w:rsidRDefault="00CF1736" w:rsidP="00CF1736">
    <w:pPr>
      <w:pStyle w:val="Header"/>
      <w:spacing w:before="120"/>
      <w:jc w:val="center"/>
      <w:rPr>
        <w:color w:val="FF0000"/>
        <w:sz w:val="18"/>
      </w:rPr>
    </w:pPr>
    <w:r w:rsidRPr="000B6360">
      <w:rPr>
        <w:color w:val="FF0000"/>
        <w:sz w:val="18"/>
      </w:rPr>
      <w:t>UNCLASSIFIED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3A09" w14:textId="3FEBD39F" w:rsidR="0067700D" w:rsidRPr="001C5225" w:rsidRDefault="0067700D" w:rsidP="002C4F8B">
    <w:pPr>
      <w:pStyle w:val="Footer"/>
      <w:tabs>
        <w:tab w:val="clear" w:pos="4513"/>
        <w:tab w:val="clear" w:pos="9026"/>
        <w:tab w:val="left" w:pos="4253"/>
        <w:tab w:val="right" w:pos="9638"/>
      </w:tabs>
      <w:rPr>
        <w:color w:val="444444"/>
        <w:sz w:val="16"/>
      </w:rPr>
    </w:pPr>
    <w:r w:rsidRPr="001C5225">
      <w:rPr>
        <w:color w:val="444444"/>
        <w:sz w:val="16"/>
      </w:rPr>
      <w:t>REG-INS-FORM-280M</w:t>
    </w:r>
    <w:r w:rsidR="00200C0C" w:rsidRPr="001C5225">
      <w:rPr>
        <w:color w:val="444444"/>
        <w:sz w:val="16"/>
      </w:rPr>
      <w:t xml:space="preserve"> </w:t>
    </w:r>
    <w:r w:rsidRPr="001C5225">
      <w:rPr>
        <w:color w:val="444444"/>
        <w:sz w:val="16"/>
      </w:rPr>
      <w:t>v</w:t>
    </w:r>
    <w:r w:rsidR="00E549FC" w:rsidRPr="001C5225">
      <w:rPr>
        <w:color w:val="444444"/>
        <w:sz w:val="16"/>
      </w:rPr>
      <w:t>9</w:t>
    </w:r>
    <w:r w:rsidRPr="001C5225">
      <w:rPr>
        <w:color w:val="444444"/>
        <w:sz w:val="16"/>
      </w:rPr>
      <w:t xml:space="preserve"> </w:t>
    </w:r>
    <w:r w:rsidR="00240DE2" w:rsidRPr="001C5225">
      <w:rPr>
        <w:color w:val="444444"/>
        <w:sz w:val="16"/>
      </w:rPr>
      <w:tab/>
    </w:r>
    <w:r w:rsidR="00E549FC" w:rsidRPr="001C5225">
      <w:rPr>
        <w:color w:val="444444"/>
        <w:sz w:val="16"/>
      </w:rPr>
      <w:t>November</w:t>
    </w:r>
    <w:r w:rsidRPr="001C5225">
      <w:rPr>
        <w:color w:val="444444"/>
        <w:sz w:val="16"/>
      </w:rPr>
      <w:t xml:space="preserve"> 2017</w:t>
    </w:r>
    <w:r w:rsidRPr="001C5225">
      <w:rPr>
        <w:color w:val="444444"/>
        <w:sz w:val="16"/>
      </w:rPr>
      <w:tab/>
    </w:r>
    <w:r w:rsidR="00C01D25" w:rsidRPr="001C5225">
      <w:rPr>
        <w:color w:val="444444"/>
        <w:sz w:val="16"/>
        <w:szCs w:val="16"/>
      </w:rPr>
      <w:t xml:space="preserve">Page </w:t>
    </w:r>
    <w:r w:rsidR="00C01D25" w:rsidRPr="001C5225">
      <w:rPr>
        <w:bCs/>
        <w:color w:val="444444"/>
        <w:sz w:val="16"/>
        <w:szCs w:val="16"/>
      </w:rPr>
      <w:fldChar w:fldCharType="begin"/>
    </w:r>
    <w:r w:rsidR="00C01D25" w:rsidRPr="001C5225">
      <w:rPr>
        <w:bCs/>
        <w:color w:val="444444"/>
        <w:sz w:val="16"/>
        <w:szCs w:val="16"/>
      </w:rPr>
      <w:instrText xml:space="preserve"> PAGE </w:instrText>
    </w:r>
    <w:r w:rsidR="00C01D25" w:rsidRPr="001C5225">
      <w:rPr>
        <w:bCs/>
        <w:color w:val="444444"/>
        <w:sz w:val="16"/>
        <w:szCs w:val="16"/>
      </w:rPr>
      <w:fldChar w:fldCharType="separate"/>
    </w:r>
    <w:r w:rsidR="000A52DD">
      <w:rPr>
        <w:bCs/>
        <w:noProof/>
        <w:color w:val="444444"/>
        <w:sz w:val="16"/>
        <w:szCs w:val="16"/>
      </w:rPr>
      <w:t>1</w:t>
    </w:r>
    <w:r w:rsidR="00C01D25" w:rsidRPr="001C5225">
      <w:rPr>
        <w:bCs/>
        <w:color w:val="444444"/>
        <w:sz w:val="16"/>
        <w:szCs w:val="16"/>
      </w:rPr>
      <w:fldChar w:fldCharType="end"/>
    </w:r>
    <w:r w:rsidR="00C01D25" w:rsidRPr="001C5225">
      <w:rPr>
        <w:color w:val="444444"/>
        <w:sz w:val="16"/>
        <w:szCs w:val="16"/>
      </w:rPr>
      <w:t xml:space="preserve"> of </w:t>
    </w:r>
    <w:r w:rsidR="00C01D25" w:rsidRPr="001C5225">
      <w:rPr>
        <w:bCs/>
        <w:color w:val="444444"/>
        <w:sz w:val="16"/>
        <w:szCs w:val="16"/>
      </w:rPr>
      <w:fldChar w:fldCharType="begin"/>
    </w:r>
    <w:r w:rsidR="00C01D25" w:rsidRPr="001C5225">
      <w:rPr>
        <w:bCs/>
        <w:color w:val="444444"/>
        <w:sz w:val="16"/>
        <w:szCs w:val="16"/>
      </w:rPr>
      <w:instrText xml:space="preserve"> NUMPAGES  </w:instrText>
    </w:r>
    <w:r w:rsidR="00C01D25" w:rsidRPr="001C5225">
      <w:rPr>
        <w:bCs/>
        <w:color w:val="444444"/>
        <w:sz w:val="16"/>
        <w:szCs w:val="16"/>
      </w:rPr>
      <w:fldChar w:fldCharType="separate"/>
    </w:r>
    <w:r w:rsidR="000A52DD">
      <w:rPr>
        <w:bCs/>
        <w:noProof/>
        <w:color w:val="444444"/>
        <w:sz w:val="16"/>
        <w:szCs w:val="16"/>
      </w:rPr>
      <w:t>4</w:t>
    </w:r>
    <w:r w:rsidR="00C01D25" w:rsidRPr="001C5225">
      <w:rPr>
        <w:bCs/>
        <w:color w:val="444444"/>
        <w:sz w:val="16"/>
        <w:szCs w:val="16"/>
      </w:rPr>
      <w:fldChar w:fldCharType="end"/>
    </w:r>
  </w:p>
  <w:p w14:paraId="1C335B71" w14:textId="77777777" w:rsidR="00444AA3" w:rsidRPr="00E55BEA" w:rsidRDefault="00444AA3" w:rsidP="002C4F8B">
    <w:pPr>
      <w:pStyle w:val="Footer"/>
      <w:tabs>
        <w:tab w:val="clear" w:pos="4513"/>
        <w:tab w:val="clear" w:pos="9026"/>
        <w:tab w:val="left" w:pos="3686"/>
        <w:tab w:val="right" w:pos="9638"/>
      </w:tabs>
      <w:rPr>
        <w:sz w:val="16"/>
        <w:szCs w:val="18"/>
      </w:rPr>
    </w:pPr>
    <w:r w:rsidRPr="001C5225">
      <w:rPr>
        <w:noProof/>
        <w:color w:val="444444"/>
        <w:sz w:val="12"/>
      </w:rPr>
      <w:drawing>
        <wp:anchor distT="0" distB="0" distL="114300" distR="114300" simplePos="0" relativeHeight="251662848" behindDoc="0" locked="0" layoutInCell="1" allowOverlap="1" wp14:anchorId="02463992" wp14:editId="5B1B38A8">
          <wp:simplePos x="0" y="0"/>
          <wp:positionH relativeFrom="column">
            <wp:posOffset>0</wp:posOffset>
          </wp:positionH>
          <wp:positionV relativeFrom="paragraph">
            <wp:posOffset>64135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1C5225">
      <w:rPr>
        <w:color w:val="444444"/>
        <w:sz w:val="16"/>
      </w:rPr>
      <w:t>619 Lower Plenty Road, Yallambie VIC 3085</w:t>
    </w:r>
    <w:r w:rsidRPr="001C5225">
      <w:rPr>
        <w:color w:val="444444"/>
        <w:sz w:val="16"/>
      </w:rPr>
      <w:tab/>
      <w:t>38–40 Urunga Parade, Miranda NSW 2228</w:t>
    </w:r>
    <w:r w:rsidRPr="001C5225">
      <w:rPr>
        <w:color w:val="444444"/>
        <w:sz w:val="16"/>
      </w:rPr>
      <w:tab/>
      <w:t>info@arpansa.gov.au</w:t>
    </w:r>
    <w:r w:rsidRPr="001C5225">
      <w:rPr>
        <w:color w:val="444444"/>
        <w:sz w:val="16"/>
      </w:rPr>
      <w:br/>
    </w:r>
    <w:r w:rsidRPr="001C5225">
      <w:rPr>
        <w:color w:val="444444"/>
        <w:sz w:val="16"/>
        <w:szCs w:val="18"/>
      </w:rPr>
      <w:t>+61 3 9433 2211</w:t>
    </w:r>
    <w:r w:rsidRPr="001C5225">
      <w:rPr>
        <w:color w:val="444444"/>
        <w:sz w:val="16"/>
        <w:szCs w:val="18"/>
      </w:rPr>
      <w:tab/>
      <w:t>PO Box 655, Miranda</w:t>
    </w:r>
    <w:r w:rsidR="0067700D" w:rsidRPr="001C5225">
      <w:rPr>
        <w:color w:val="444444"/>
        <w:sz w:val="16"/>
        <w:szCs w:val="18"/>
      </w:rPr>
      <w:t xml:space="preserve"> NSW</w:t>
    </w:r>
    <w:r w:rsidRPr="001C5225">
      <w:rPr>
        <w:color w:val="444444"/>
        <w:sz w:val="16"/>
        <w:szCs w:val="18"/>
      </w:rPr>
      <w:t xml:space="preserve"> </w:t>
    </w:r>
    <w:r w:rsidR="00E42010" w:rsidRPr="001C5225">
      <w:rPr>
        <w:color w:val="444444"/>
        <w:sz w:val="16"/>
        <w:szCs w:val="18"/>
      </w:rPr>
      <w:t>1490</w:t>
    </w:r>
    <w:r w:rsidRPr="001C5225">
      <w:rPr>
        <w:color w:val="444444"/>
        <w:sz w:val="16"/>
        <w:szCs w:val="18"/>
      </w:rPr>
      <w:tab/>
      <w:t>arpansa.gov.au</w:t>
    </w:r>
    <w:r w:rsidRPr="00E55BEA">
      <w:rPr>
        <w:sz w:val="16"/>
        <w:szCs w:val="18"/>
      </w:rPr>
      <w:br/>
    </w:r>
    <w:r w:rsidRPr="00E55BEA">
      <w:rPr>
        <w:sz w:val="16"/>
        <w:szCs w:val="18"/>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DAB2F" w14:textId="77777777" w:rsidR="00C52325" w:rsidRDefault="00C52325" w:rsidP="00C24160">
      <w:r>
        <w:separator/>
      </w:r>
    </w:p>
  </w:footnote>
  <w:footnote w:type="continuationSeparator" w:id="0">
    <w:p w14:paraId="1535C1D0" w14:textId="77777777" w:rsidR="00C52325" w:rsidRDefault="00C52325" w:rsidP="00C24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9B63" w14:textId="77777777" w:rsidR="00681A05" w:rsidRPr="000B6360" w:rsidRDefault="00681A05" w:rsidP="000B6360">
    <w:pPr>
      <w:pStyle w:val="Header"/>
      <w:spacing w:before="0"/>
      <w:jc w:val="center"/>
      <w:rPr>
        <w:color w:val="FF0000"/>
        <w:sz w:val="18"/>
      </w:rPr>
    </w:pPr>
    <w:r w:rsidRPr="000B6360">
      <w:rPr>
        <w:color w:val="FF0000"/>
        <w:sz w:val="18"/>
      </w:rPr>
      <w:t>UNCLASSIFIED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E6AF1" w14:textId="52D0E4A7" w:rsidR="00CD208A" w:rsidRDefault="008E43E3" w:rsidP="00C24160">
    <w:pPr>
      <w:pStyle w:val="Header"/>
      <w:rPr>
        <w:noProof/>
      </w:rPr>
    </w:pPr>
    <w:r>
      <w:rPr>
        <w:noProof/>
      </w:rPr>
      <w:drawing>
        <wp:inline distT="0" distB="0" distL="0" distR="0" wp14:anchorId="32E0B376" wp14:editId="5CD87C84">
          <wp:extent cx="6120130" cy="731520"/>
          <wp:effectExtent l="0" t="0" r="0" b="0"/>
          <wp:docPr id="2" name="Picture 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BA4"/>
    <w:multiLevelType w:val="hybridMultilevel"/>
    <w:tmpl w:val="4656D830"/>
    <w:lvl w:ilvl="0" w:tplc="26D8786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E4DBF"/>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 w15:restartNumberingAfterBreak="0">
    <w:nsid w:val="36F2243C"/>
    <w:multiLevelType w:val="hybridMultilevel"/>
    <w:tmpl w:val="A8CAD25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5FE93366"/>
    <w:multiLevelType w:val="hybridMultilevel"/>
    <w:tmpl w:val="0EF8811A"/>
    <w:lvl w:ilvl="0" w:tplc="1FB26854">
      <w:start w:val="1"/>
      <w:numFmt w:val="decimal"/>
      <w:pStyle w:val="ListParagraph"/>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77FA08E7"/>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num w:numId="1">
    <w:abstractNumId w:val="0"/>
  </w:num>
  <w:num w:numId="2">
    <w:abstractNumId w:val="1"/>
  </w:num>
  <w:num w:numId="3">
    <w:abstractNumId w:val="4"/>
  </w:num>
  <w:num w:numId="4">
    <w:abstractNumId w:val="3"/>
  </w:num>
  <w:num w:numId="5">
    <w:abstractNumId w:val="3"/>
    <w:lvlOverride w:ilvl="0">
      <w:startOverride w:val="1"/>
    </w:lvlOverride>
  </w:num>
  <w:num w:numId="6">
    <w:abstractNumId w:val="3"/>
  </w:num>
  <w:num w:numId="7">
    <w:abstractNumId w:val="3"/>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25"/>
    <w:rsid w:val="00011423"/>
    <w:rsid w:val="00017D45"/>
    <w:rsid w:val="00040D7F"/>
    <w:rsid w:val="00051BA2"/>
    <w:rsid w:val="0005301E"/>
    <w:rsid w:val="00093F25"/>
    <w:rsid w:val="000A52DD"/>
    <w:rsid w:val="000B2188"/>
    <w:rsid w:val="000B6360"/>
    <w:rsid w:val="000C191B"/>
    <w:rsid w:val="000C23F0"/>
    <w:rsid w:val="000C6532"/>
    <w:rsid w:val="000C656B"/>
    <w:rsid w:val="000D5B5E"/>
    <w:rsid w:val="000E4229"/>
    <w:rsid w:val="000E44B6"/>
    <w:rsid w:val="000F2FD1"/>
    <w:rsid w:val="000F73FB"/>
    <w:rsid w:val="001071A4"/>
    <w:rsid w:val="00137526"/>
    <w:rsid w:val="001511CB"/>
    <w:rsid w:val="00155B4E"/>
    <w:rsid w:val="00155C42"/>
    <w:rsid w:val="00157C82"/>
    <w:rsid w:val="00167548"/>
    <w:rsid w:val="001753B4"/>
    <w:rsid w:val="00181303"/>
    <w:rsid w:val="00182C1B"/>
    <w:rsid w:val="00193411"/>
    <w:rsid w:val="00193685"/>
    <w:rsid w:val="00197595"/>
    <w:rsid w:val="001976A1"/>
    <w:rsid w:val="00197ECB"/>
    <w:rsid w:val="001A40BA"/>
    <w:rsid w:val="001A5945"/>
    <w:rsid w:val="001C5225"/>
    <w:rsid w:val="00200C0C"/>
    <w:rsid w:val="00207259"/>
    <w:rsid w:val="00216916"/>
    <w:rsid w:val="002177B4"/>
    <w:rsid w:val="002239EC"/>
    <w:rsid w:val="00226630"/>
    <w:rsid w:val="00240DE2"/>
    <w:rsid w:val="002421D3"/>
    <w:rsid w:val="0024698D"/>
    <w:rsid w:val="00253CBC"/>
    <w:rsid w:val="0025753D"/>
    <w:rsid w:val="00262A33"/>
    <w:rsid w:val="002742A6"/>
    <w:rsid w:val="00284B2E"/>
    <w:rsid w:val="00286DE4"/>
    <w:rsid w:val="002906C7"/>
    <w:rsid w:val="002A15CA"/>
    <w:rsid w:val="002B58E0"/>
    <w:rsid w:val="002B5E3D"/>
    <w:rsid w:val="002C4F8B"/>
    <w:rsid w:val="002D003D"/>
    <w:rsid w:val="002E14A2"/>
    <w:rsid w:val="002E1A84"/>
    <w:rsid w:val="002E4CC0"/>
    <w:rsid w:val="002F6CB5"/>
    <w:rsid w:val="00301A91"/>
    <w:rsid w:val="00335AD9"/>
    <w:rsid w:val="00335D84"/>
    <w:rsid w:val="00337761"/>
    <w:rsid w:val="00341D88"/>
    <w:rsid w:val="0035065F"/>
    <w:rsid w:val="00360DA9"/>
    <w:rsid w:val="0039015F"/>
    <w:rsid w:val="00392FF8"/>
    <w:rsid w:val="003A5582"/>
    <w:rsid w:val="003B4502"/>
    <w:rsid w:val="003C5DE6"/>
    <w:rsid w:val="003D2225"/>
    <w:rsid w:val="003F0AFD"/>
    <w:rsid w:val="00417E86"/>
    <w:rsid w:val="004316C2"/>
    <w:rsid w:val="004374EB"/>
    <w:rsid w:val="00443782"/>
    <w:rsid w:val="00444AA3"/>
    <w:rsid w:val="004468C0"/>
    <w:rsid w:val="00446E53"/>
    <w:rsid w:val="0044719E"/>
    <w:rsid w:val="004549E8"/>
    <w:rsid w:val="0047188D"/>
    <w:rsid w:val="004770D2"/>
    <w:rsid w:val="00477CD5"/>
    <w:rsid w:val="00490AA2"/>
    <w:rsid w:val="00490E4B"/>
    <w:rsid w:val="004973D5"/>
    <w:rsid w:val="00497EDB"/>
    <w:rsid w:val="004A0840"/>
    <w:rsid w:val="004B18EE"/>
    <w:rsid w:val="004D1298"/>
    <w:rsid w:val="004E38A2"/>
    <w:rsid w:val="004E4746"/>
    <w:rsid w:val="004F095C"/>
    <w:rsid w:val="00516794"/>
    <w:rsid w:val="005172A7"/>
    <w:rsid w:val="00520DC2"/>
    <w:rsid w:val="00521696"/>
    <w:rsid w:val="0052228C"/>
    <w:rsid w:val="00560896"/>
    <w:rsid w:val="00571487"/>
    <w:rsid w:val="00572826"/>
    <w:rsid w:val="00581F0B"/>
    <w:rsid w:val="00583DF4"/>
    <w:rsid w:val="00587CD4"/>
    <w:rsid w:val="005938BE"/>
    <w:rsid w:val="005B5E7C"/>
    <w:rsid w:val="005C2A9C"/>
    <w:rsid w:val="005D5C9C"/>
    <w:rsid w:val="005E7EEB"/>
    <w:rsid w:val="00601A15"/>
    <w:rsid w:val="0061767F"/>
    <w:rsid w:val="00625830"/>
    <w:rsid w:val="00631E6E"/>
    <w:rsid w:val="00642482"/>
    <w:rsid w:val="006618B7"/>
    <w:rsid w:val="00674FFC"/>
    <w:rsid w:val="0067700D"/>
    <w:rsid w:val="00681A05"/>
    <w:rsid w:val="006A1307"/>
    <w:rsid w:val="006A6169"/>
    <w:rsid w:val="006B5453"/>
    <w:rsid w:val="006E6AA4"/>
    <w:rsid w:val="00701BEF"/>
    <w:rsid w:val="007073CB"/>
    <w:rsid w:val="0071268F"/>
    <w:rsid w:val="0072387D"/>
    <w:rsid w:val="00745076"/>
    <w:rsid w:val="0075412A"/>
    <w:rsid w:val="0077539A"/>
    <w:rsid w:val="007917FA"/>
    <w:rsid w:val="007A5077"/>
    <w:rsid w:val="007A6CA7"/>
    <w:rsid w:val="007D0730"/>
    <w:rsid w:val="007E10ED"/>
    <w:rsid w:val="007F1F42"/>
    <w:rsid w:val="00801685"/>
    <w:rsid w:val="00802E40"/>
    <w:rsid w:val="008243FE"/>
    <w:rsid w:val="00830459"/>
    <w:rsid w:val="00834D07"/>
    <w:rsid w:val="00860DCF"/>
    <w:rsid w:val="0086366A"/>
    <w:rsid w:val="00863E7B"/>
    <w:rsid w:val="008703D1"/>
    <w:rsid w:val="008719A0"/>
    <w:rsid w:val="008902AB"/>
    <w:rsid w:val="00895D9E"/>
    <w:rsid w:val="008A29E6"/>
    <w:rsid w:val="008A6D3F"/>
    <w:rsid w:val="008B371F"/>
    <w:rsid w:val="008D1313"/>
    <w:rsid w:val="008D1C5A"/>
    <w:rsid w:val="008E43E3"/>
    <w:rsid w:val="0090377C"/>
    <w:rsid w:val="009075C1"/>
    <w:rsid w:val="00912911"/>
    <w:rsid w:val="009276D8"/>
    <w:rsid w:val="0093576E"/>
    <w:rsid w:val="009377B6"/>
    <w:rsid w:val="00946C45"/>
    <w:rsid w:val="00947FA8"/>
    <w:rsid w:val="00964A9A"/>
    <w:rsid w:val="00995397"/>
    <w:rsid w:val="009B240E"/>
    <w:rsid w:val="009C315D"/>
    <w:rsid w:val="009D1AE2"/>
    <w:rsid w:val="009F37F1"/>
    <w:rsid w:val="009F634B"/>
    <w:rsid w:val="00A100E1"/>
    <w:rsid w:val="00A114D3"/>
    <w:rsid w:val="00A2080D"/>
    <w:rsid w:val="00A24176"/>
    <w:rsid w:val="00A414F4"/>
    <w:rsid w:val="00A5493A"/>
    <w:rsid w:val="00A62CB4"/>
    <w:rsid w:val="00A66702"/>
    <w:rsid w:val="00A93B87"/>
    <w:rsid w:val="00A94EEB"/>
    <w:rsid w:val="00AA4A35"/>
    <w:rsid w:val="00AB289A"/>
    <w:rsid w:val="00AC746C"/>
    <w:rsid w:val="00AD55AD"/>
    <w:rsid w:val="00AD6BD5"/>
    <w:rsid w:val="00AE3E7E"/>
    <w:rsid w:val="00AF4FF3"/>
    <w:rsid w:val="00B00092"/>
    <w:rsid w:val="00B06FF1"/>
    <w:rsid w:val="00B17E16"/>
    <w:rsid w:val="00B33EF9"/>
    <w:rsid w:val="00B4483A"/>
    <w:rsid w:val="00B66F80"/>
    <w:rsid w:val="00B73D10"/>
    <w:rsid w:val="00B77B5A"/>
    <w:rsid w:val="00B93FFE"/>
    <w:rsid w:val="00BA2503"/>
    <w:rsid w:val="00BB74C8"/>
    <w:rsid w:val="00BC15E5"/>
    <w:rsid w:val="00BC71BB"/>
    <w:rsid w:val="00BD2EE3"/>
    <w:rsid w:val="00BD747E"/>
    <w:rsid w:val="00BF074E"/>
    <w:rsid w:val="00BF7A98"/>
    <w:rsid w:val="00C01D25"/>
    <w:rsid w:val="00C06F4C"/>
    <w:rsid w:val="00C11D77"/>
    <w:rsid w:val="00C13EB1"/>
    <w:rsid w:val="00C163B0"/>
    <w:rsid w:val="00C177B1"/>
    <w:rsid w:val="00C17B01"/>
    <w:rsid w:val="00C24160"/>
    <w:rsid w:val="00C26239"/>
    <w:rsid w:val="00C40253"/>
    <w:rsid w:val="00C52325"/>
    <w:rsid w:val="00C60550"/>
    <w:rsid w:val="00C62916"/>
    <w:rsid w:val="00C739BE"/>
    <w:rsid w:val="00C750D2"/>
    <w:rsid w:val="00C80A41"/>
    <w:rsid w:val="00C870C2"/>
    <w:rsid w:val="00C97F83"/>
    <w:rsid w:val="00CD208A"/>
    <w:rsid w:val="00CE038F"/>
    <w:rsid w:val="00CF1736"/>
    <w:rsid w:val="00CF1BE9"/>
    <w:rsid w:val="00D03D19"/>
    <w:rsid w:val="00D165DF"/>
    <w:rsid w:val="00D16C25"/>
    <w:rsid w:val="00D16EE3"/>
    <w:rsid w:val="00D178A5"/>
    <w:rsid w:val="00D209CF"/>
    <w:rsid w:val="00D20E39"/>
    <w:rsid w:val="00D3203F"/>
    <w:rsid w:val="00D37AEA"/>
    <w:rsid w:val="00D40DCF"/>
    <w:rsid w:val="00D47D9E"/>
    <w:rsid w:val="00D47F48"/>
    <w:rsid w:val="00D536E5"/>
    <w:rsid w:val="00D57F09"/>
    <w:rsid w:val="00D771E9"/>
    <w:rsid w:val="00D81010"/>
    <w:rsid w:val="00D82315"/>
    <w:rsid w:val="00D93269"/>
    <w:rsid w:val="00D93A4D"/>
    <w:rsid w:val="00D9552A"/>
    <w:rsid w:val="00D97BFD"/>
    <w:rsid w:val="00DB1D73"/>
    <w:rsid w:val="00DB4D6F"/>
    <w:rsid w:val="00DB622A"/>
    <w:rsid w:val="00DC09B8"/>
    <w:rsid w:val="00DC1EEC"/>
    <w:rsid w:val="00DD2DED"/>
    <w:rsid w:val="00DD41FB"/>
    <w:rsid w:val="00DD4A40"/>
    <w:rsid w:val="00DE1D73"/>
    <w:rsid w:val="00DE49AD"/>
    <w:rsid w:val="00E13280"/>
    <w:rsid w:val="00E245C1"/>
    <w:rsid w:val="00E33DB2"/>
    <w:rsid w:val="00E36938"/>
    <w:rsid w:val="00E42010"/>
    <w:rsid w:val="00E5453F"/>
    <w:rsid w:val="00E549FC"/>
    <w:rsid w:val="00E55BEA"/>
    <w:rsid w:val="00E72609"/>
    <w:rsid w:val="00E77DEB"/>
    <w:rsid w:val="00E806F5"/>
    <w:rsid w:val="00E82DBA"/>
    <w:rsid w:val="00E82F1F"/>
    <w:rsid w:val="00E96E9A"/>
    <w:rsid w:val="00EA4C2C"/>
    <w:rsid w:val="00EA7CA9"/>
    <w:rsid w:val="00EB36DD"/>
    <w:rsid w:val="00ED03D0"/>
    <w:rsid w:val="00ED43CA"/>
    <w:rsid w:val="00EF1219"/>
    <w:rsid w:val="00EF13FB"/>
    <w:rsid w:val="00F06840"/>
    <w:rsid w:val="00F10A4C"/>
    <w:rsid w:val="00F3606C"/>
    <w:rsid w:val="00F36384"/>
    <w:rsid w:val="00F470C8"/>
    <w:rsid w:val="00F52E35"/>
    <w:rsid w:val="00F61B39"/>
    <w:rsid w:val="00F6231B"/>
    <w:rsid w:val="00F80BBE"/>
    <w:rsid w:val="00F827B5"/>
    <w:rsid w:val="00F91A9B"/>
    <w:rsid w:val="00FA74F6"/>
    <w:rsid w:val="00FB01F3"/>
    <w:rsid w:val="00FB6EEF"/>
    <w:rsid w:val="00FC5CF4"/>
    <w:rsid w:val="00FD46E8"/>
    <w:rsid w:val="00FF5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520BF1F"/>
  <w15:docId w15:val="{16DA82BD-8A30-4AC6-A323-3247F450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B5E"/>
    <w:pPr>
      <w:spacing w:before="240" w:after="0"/>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AF4FF3"/>
    <w:pPr>
      <w:keepNext/>
      <w:keepLines/>
      <w:outlineLvl w:val="0"/>
    </w:pPr>
    <w:rPr>
      <w:rFonts w:eastAsiaTheme="majorEastAsia" w:cstheme="majorBidi"/>
      <w:b/>
      <w:bCs/>
      <w:color w:val="4E1A74"/>
      <w:szCs w:val="28"/>
    </w:rPr>
  </w:style>
  <w:style w:type="paragraph" w:styleId="Heading2">
    <w:name w:val="heading 2"/>
    <w:basedOn w:val="Normal"/>
    <w:next w:val="Normal"/>
    <w:link w:val="Heading2Char"/>
    <w:uiPriority w:val="9"/>
    <w:unhideWhenUsed/>
    <w:qFormat/>
    <w:rsid w:val="004770D2"/>
    <w:pPr>
      <w:keepNext/>
      <w:keepLines/>
      <w:spacing w:before="200"/>
      <w:outlineLvl w:val="1"/>
    </w:pPr>
    <w:rPr>
      <w:rFonts w:ascii="Calibri" w:eastAsiaTheme="majorEastAsia" w:hAnsi="Calibri" w:cstheme="majorBid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spacing w:line="264" w:lineRule="auto"/>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customStyle="1" w:styleId="TableGrid1">
    <w:name w:val="Table Grid1"/>
    <w:basedOn w:val="TableNormal"/>
    <w:next w:val="TableGrid"/>
    <w:uiPriority w:val="59"/>
    <w:rsid w:val="00681A05"/>
    <w:pPr>
      <w:spacing w:before="200"/>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681A05"/>
    <w:pPr>
      <w:spacing w:before="200" w:line="240" w:lineRule="auto"/>
    </w:pPr>
    <w:rPr>
      <w:sz w:val="20"/>
      <w:szCs w:val="20"/>
    </w:rPr>
  </w:style>
  <w:style w:type="character" w:customStyle="1" w:styleId="CommentTextChar">
    <w:name w:val="Comment Text Char"/>
    <w:basedOn w:val="DefaultParagraphFont"/>
    <w:link w:val="CommentText"/>
    <w:uiPriority w:val="99"/>
    <w:rsid w:val="00681A05"/>
    <w:rPr>
      <w:rFonts w:eastAsiaTheme="minorEastAsia"/>
      <w:sz w:val="20"/>
      <w:szCs w:val="20"/>
      <w:lang w:eastAsia="en-AU"/>
    </w:rPr>
  </w:style>
  <w:style w:type="table" w:styleId="TableGrid">
    <w:name w:val="Table Grid"/>
    <w:basedOn w:val="TableNormal"/>
    <w:uiPriority w:val="59"/>
    <w:rsid w:val="0068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4160"/>
    <w:pPr>
      <w:spacing w:before="120" w:after="120"/>
      <w:jc w:val="center"/>
    </w:pPr>
    <w:rPr>
      <w:b/>
      <w:color w:val="4E1A74"/>
      <w:spacing w:val="10"/>
      <w:kern w:val="28"/>
      <w:sz w:val="48"/>
      <w:szCs w:val="48"/>
      <w:lang w:val="en-US"/>
    </w:rPr>
  </w:style>
  <w:style w:type="character" w:customStyle="1" w:styleId="TitleChar">
    <w:name w:val="Title Char"/>
    <w:basedOn w:val="DefaultParagraphFont"/>
    <w:link w:val="Title"/>
    <w:uiPriority w:val="10"/>
    <w:rsid w:val="00C24160"/>
    <w:rPr>
      <w:rFonts w:eastAsiaTheme="minorEastAsia"/>
      <w:b/>
      <w:color w:val="4E1A74"/>
      <w:spacing w:val="10"/>
      <w:kern w:val="28"/>
      <w:sz w:val="48"/>
      <w:szCs w:val="48"/>
      <w:lang w:val="en-US"/>
    </w:rPr>
  </w:style>
  <w:style w:type="paragraph" w:styleId="ListParagraph">
    <w:name w:val="List Paragraph"/>
    <w:basedOn w:val="Normal"/>
    <w:uiPriority w:val="34"/>
    <w:qFormat/>
    <w:rsid w:val="004770D2"/>
    <w:pPr>
      <w:numPr>
        <w:numId w:val="4"/>
      </w:numPr>
      <w:spacing w:before="120"/>
    </w:pPr>
  </w:style>
  <w:style w:type="character" w:customStyle="1" w:styleId="Heading1Char">
    <w:name w:val="Heading 1 Char"/>
    <w:basedOn w:val="DefaultParagraphFont"/>
    <w:link w:val="Heading1"/>
    <w:uiPriority w:val="9"/>
    <w:rsid w:val="00AF4FF3"/>
    <w:rPr>
      <w:rFonts w:eastAsiaTheme="majorEastAsia" w:cstheme="majorBidi"/>
      <w:b/>
      <w:bCs/>
      <w:color w:val="4E1A74"/>
      <w:szCs w:val="28"/>
      <w:lang w:eastAsia="en-AU"/>
    </w:rPr>
  </w:style>
  <w:style w:type="character" w:customStyle="1" w:styleId="Heading2Char">
    <w:name w:val="Heading 2 Char"/>
    <w:basedOn w:val="DefaultParagraphFont"/>
    <w:link w:val="Heading2"/>
    <w:uiPriority w:val="9"/>
    <w:rsid w:val="004770D2"/>
    <w:rPr>
      <w:rFonts w:ascii="Calibri" w:eastAsiaTheme="majorEastAsia" w:hAnsi="Calibri" w:cstheme="majorBidi"/>
      <w:b/>
      <w:bCs/>
      <w:i/>
      <w:color w:val="262626" w:themeColor="text1" w:themeTint="D9"/>
      <w:sz w:val="20"/>
      <w:szCs w:val="20"/>
      <w:lang w:eastAsia="en-AU"/>
    </w:rPr>
  </w:style>
  <w:style w:type="paragraph" w:customStyle="1" w:styleId="H11">
    <w:name w:val="H1(1)"/>
    <w:basedOn w:val="Normal"/>
    <w:rsid w:val="00ED43CA"/>
    <w:pPr>
      <w:spacing w:before="200" w:after="200"/>
    </w:pPr>
    <w:rPr>
      <w:rFonts w:asciiTheme="majorHAnsi" w:hAnsiTheme="majorHAnsi"/>
      <w:b/>
      <w:color w:val="365F91" w:themeColor="accent1" w:themeShade="BF"/>
      <w:sz w:val="28"/>
      <w:szCs w:val="28"/>
    </w:rPr>
  </w:style>
  <w:style w:type="paragraph" w:customStyle="1" w:styleId="Heading3list">
    <w:name w:val="Heading3list"/>
    <w:basedOn w:val="Normal"/>
    <w:rsid w:val="00F6231B"/>
    <w:pPr>
      <w:spacing w:before="200" w:after="200"/>
    </w:pPr>
    <w:rPr>
      <w:rFonts w:asciiTheme="majorHAnsi" w:hAnsiTheme="majorHAnsi"/>
      <w:b/>
      <w:color w:val="548DD4" w:themeColor="text2" w:themeTint="99"/>
      <w:sz w:val="24"/>
      <w:szCs w:val="24"/>
    </w:rPr>
  </w:style>
  <w:style w:type="character" w:styleId="Emphasis">
    <w:name w:val="Emphasis"/>
    <w:uiPriority w:val="20"/>
    <w:qFormat/>
    <w:rsid w:val="00F6231B"/>
    <w:rPr>
      <w:caps/>
      <w:color w:val="243F60" w:themeColor="accent1" w:themeShade="7F"/>
      <w:spacing w:val="5"/>
    </w:rPr>
  </w:style>
  <w:style w:type="table" w:customStyle="1" w:styleId="LightShading-Accent11">
    <w:name w:val="Light Shading - Accent 11"/>
    <w:basedOn w:val="TableNormal"/>
    <w:uiPriority w:val="60"/>
    <w:rsid w:val="00F6231B"/>
    <w:pPr>
      <w:spacing w:before="20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F6231B"/>
    <w:rPr>
      <w:i/>
      <w:iCs/>
      <w:color w:val="243F60" w:themeColor="accent1" w:themeShade="7F"/>
    </w:rPr>
  </w:style>
  <w:style w:type="table" w:styleId="LightShading-Accent4">
    <w:name w:val="Light Shading Accent 4"/>
    <w:basedOn w:val="TableNormal"/>
    <w:uiPriority w:val="60"/>
    <w:rsid w:val="00FA74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laceholderText">
    <w:name w:val="Placeholder Text"/>
    <w:basedOn w:val="DefaultParagraphFont"/>
    <w:uiPriority w:val="99"/>
    <w:semiHidden/>
    <w:rsid w:val="004770D2"/>
    <w:rPr>
      <w:color w:val="808080"/>
    </w:rPr>
  </w:style>
  <w:style w:type="character" w:styleId="CommentReference">
    <w:name w:val="annotation reference"/>
    <w:basedOn w:val="DefaultParagraphFont"/>
    <w:uiPriority w:val="99"/>
    <w:semiHidden/>
    <w:unhideWhenUsed/>
    <w:rsid w:val="00DE1D73"/>
    <w:rPr>
      <w:sz w:val="16"/>
      <w:szCs w:val="16"/>
    </w:rPr>
  </w:style>
  <w:style w:type="paragraph" w:styleId="CommentSubject">
    <w:name w:val="annotation subject"/>
    <w:basedOn w:val="CommentText"/>
    <w:next w:val="CommentText"/>
    <w:link w:val="CommentSubjectChar"/>
    <w:uiPriority w:val="99"/>
    <w:semiHidden/>
    <w:unhideWhenUsed/>
    <w:rsid w:val="00DE1D73"/>
    <w:pPr>
      <w:spacing w:before="240"/>
    </w:pPr>
    <w:rPr>
      <w:b/>
      <w:bCs/>
    </w:rPr>
  </w:style>
  <w:style w:type="character" w:customStyle="1" w:styleId="CommentSubjectChar">
    <w:name w:val="Comment Subject Char"/>
    <w:basedOn w:val="CommentTextChar"/>
    <w:link w:val="CommentSubject"/>
    <w:uiPriority w:val="99"/>
    <w:semiHidden/>
    <w:rsid w:val="00DE1D73"/>
    <w:rPr>
      <w:rFonts w:eastAsiaTheme="minorEastAsia"/>
      <w:b/>
      <w:bCs/>
      <w:color w:val="262626" w:themeColor="text1" w:themeTint="D9"/>
      <w:sz w:val="20"/>
      <w:szCs w:val="20"/>
      <w:lang w:eastAsia="en-AU"/>
    </w:rPr>
  </w:style>
  <w:style w:type="paragraph" w:styleId="Revision">
    <w:name w:val="Revision"/>
    <w:hidden/>
    <w:uiPriority w:val="99"/>
    <w:semiHidden/>
    <w:rsid w:val="00BF7A98"/>
    <w:pPr>
      <w:spacing w:after="0" w:line="240" w:lineRule="auto"/>
    </w:pPr>
    <w:rPr>
      <w:rFonts w:eastAsiaTheme="minorEastAsia"/>
      <w:color w:val="262626" w:themeColor="text1" w:themeTint="D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cora\AppData\Local\Hewlett-Packard\HP%20TRIM\TEMP\HPTRIM.13480\R11%2012275%20%20REPORT%20TEMPLATE%20%20Inspection%20Report%20v9%20November%202017%20REG-INS-FORM-280M(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C5CF47C608425B9DE3AC6ADD164940"/>
        <w:category>
          <w:name w:val="General"/>
          <w:gallery w:val="placeholder"/>
        </w:category>
        <w:types>
          <w:type w:val="bbPlcHdr"/>
        </w:types>
        <w:behaviors>
          <w:behavior w:val="content"/>
        </w:behaviors>
        <w:guid w:val="{83D5D7C0-57B3-4B67-B906-A48E6612AB05}"/>
      </w:docPartPr>
      <w:docPartBody>
        <w:p w:rsidR="00640A4E" w:rsidRDefault="00640A4E">
          <w:pPr>
            <w:pStyle w:val="7EC5CF47C608425B9DE3AC6ADD164940"/>
          </w:pPr>
          <w:r w:rsidRPr="00755264">
            <w:rPr>
              <w:rStyle w:val="PlaceholderText"/>
            </w:rPr>
            <w:t>[Keywords]</w:t>
          </w:r>
        </w:p>
      </w:docPartBody>
    </w:docPart>
    <w:docPart>
      <w:docPartPr>
        <w:name w:val="88C532E57D584A7E9A7FE327D1EA7252"/>
        <w:category>
          <w:name w:val="General"/>
          <w:gallery w:val="placeholder"/>
        </w:category>
        <w:types>
          <w:type w:val="bbPlcHdr"/>
        </w:types>
        <w:behaviors>
          <w:behavior w:val="content"/>
        </w:behaviors>
        <w:guid w:val="{262E08A0-F32D-472A-BEDF-DC4A8AA805AF}"/>
      </w:docPartPr>
      <w:docPartBody>
        <w:p w:rsidR="00640A4E" w:rsidRDefault="00640A4E">
          <w:pPr>
            <w:pStyle w:val="88C532E57D584A7E9A7FE327D1EA7252"/>
          </w:pPr>
          <w:r w:rsidRPr="0075526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4E"/>
    <w:rsid w:val="00640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C5CF47C608425B9DE3AC6ADD164940">
    <w:name w:val="7EC5CF47C608425B9DE3AC6ADD164940"/>
  </w:style>
  <w:style w:type="paragraph" w:customStyle="1" w:styleId="88C532E57D584A7E9A7FE327D1EA7252">
    <w:name w:val="88C532E57D584A7E9A7FE327D1EA7252"/>
  </w:style>
  <w:style w:type="paragraph" w:customStyle="1" w:styleId="386302EBAB54469CB28E41E338388C1F">
    <w:name w:val="386302EBAB54469CB28E41E338388C1F"/>
  </w:style>
  <w:style w:type="paragraph" w:customStyle="1" w:styleId="33DDEF4DAE454F31B0FC5BC9A95133FE">
    <w:name w:val="33DDEF4DAE454F31B0FC5BC9A95133FE"/>
  </w:style>
  <w:style w:type="paragraph" w:customStyle="1" w:styleId="57A032E97F7A440FA49E97A056885E40">
    <w:name w:val="57A032E97F7A440FA49E97A056885E40"/>
  </w:style>
  <w:style w:type="paragraph" w:customStyle="1" w:styleId="A33321D3567F494BB2E7361E8374EC53">
    <w:name w:val="A33321D3567F494BB2E7361E8374EC53"/>
  </w:style>
  <w:style w:type="paragraph" w:customStyle="1" w:styleId="D50580EA350440F2A52CF30A06A9366D">
    <w:name w:val="D50580EA350440F2A52CF30A06A9366D"/>
  </w:style>
  <w:style w:type="paragraph" w:customStyle="1" w:styleId="17160085F2B8453B8839CF62EDBAECF8">
    <w:name w:val="17160085F2B8453B8839CF62EDBAE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790BAE4-BA0E-4873-A76C-FA1E79F3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R11 12275  REPORT TEMPLATE  Inspection Report v9 November 2017 REG-INS-FORM-280M(2).DOTX</Template>
  <TotalTime>5</TotalTime>
  <Pages>4</Pages>
  <Words>1442</Words>
  <Characters>8048</Characters>
  <Application>Microsoft Office Word</Application>
  <DocSecurity>0</DocSecurity>
  <Lines>129</Lines>
  <Paragraphs>59</Paragraphs>
  <ScaleCrop>false</ScaleCrop>
  <HeadingPairs>
    <vt:vector size="2" baseType="variant">
      <vt:variant>
        <vt:lpstr>Title</vt:lpstr>
      </vt:variant>
      <vt:variant>
        <vt:i4>1</vt:i4>
      </vt:variant>
    </vt:vector>
  </HeadingPairs>
  <TitlesOfParts>
    <vt:vector size="1" baseType="lpstr">
      <vt:lpstr>Defence</vt:lpstr>
    </vt:vector>
  </TitlesOfParts>
  <Company>ARPANSA</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dc:title>
  <dc:subject>ARPANSA Inspection Reports</dc:subject>
  <dc:creator/>
  <cp:keywords>S0042</cp:keywords>
  <cp:lastModifiedBy>Thomas Sammut</cp:lastModifiedBy>
  <cp:revision>5</cp:revision>
  <cp:lastPrinted>2018-04-13T03:29:00Z</cp:lastPrinted>
  <dcterms:created xsi:type="dcterms:W3CDTF">2018-04-19T06:53:00Z</dcterms:created>
  <dcterms:modified xsi:type="dcterms:W3CDTF">2018-04-19T06:58:00Z</dcterms:modified>
</cp:coreProperties>
</file>