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F39CD1" w14:textId="77777777" w:rsidR="003D2646" w:rsidRDefault="002449F3" w:rsidP="0035687D">
      <w:pPr>
        <w:pStyle w:val="Title"/>
      </w:pPr>
      <w:r>
        <w:t>Inspection r</w:t>
      </w:r>
      <w:r w:rsidR="0035687D">
        <w:t>eport</w:t>
      </w:r>
    </w:p>
    <w:tbl>
      <w:tblPr>
        <w:tblStyle w:val="TableGrid"/>
        <w:tblW w:w="0" w:type="auto"/>
        <w:tblLook w:val="04A0" w:firstRow="1" w:lastRow="0" w:firstColumn="1" w:lastColumn="0" w:noHBand="0" w:noVBand="1"/>
      </w:tblPr>
      <w:tblGrid>
        <w:gridCol w:w="4814"/>
        <w:gridCol w:w="4814"/>
      </w:tblGrid>
      <w:tr w:rsidR="0035687D" w14:paraId="4212EC48" w14:textId="77777777" w:rsidTr="007A14CE">
        <w:tc>
          <w:tcPr>
            <w:tcW w:w="4814" w:type="dxa"/>
            <w:vAlign w:val="center"/>
          </w:tcPr>
          <w:p w14:paraId="33D39DD9" w14:textId="722B6A2A" w:rsidR="0035687D" w:rsidRDefault="002449F3" w:rsidP="000A06A0">
            <w:pPr>
              <w:spacing w:before="120" w:after="120"/>
            </w:pPr>
            <w:r>
              <w:rPr>
                <w:b/>
                <w:color w:val="4E1A74" w:themeColor="text2"/>
              </w:rPr>
              <w:t>Licence h</w:t>
            </w:r>
            <w:r w:rsidR="0035687D" w:rsidRPr="007A14CE">
              <w:rPr>
                <w:b/>
                <w:color w:val="4E1A74" w:themeColor="text2"/>
              </w:rPr>
              <w:t>older:</w:t>
            </w:r>
            <w:r w:rsidR="0035687D" w:rsidRPr="007A14CE">
              <w:rPr>
                <w:color w:val="4E1A74" w:themeColor="text2"/>
              </w:rPr>
              <w:t xml:space="preserve"> </w:t>
            </w:r>
            <w:r w:rsidR="000E04B4" w:rsidRPr="00B97FAB">
              <w:rPr>
                <w:color w:val="444448" w:themeColor="accent4"/>
              </w:rPr>
              <w:t>Department of Defence and Australian Defence Force (Defence)</w:t>
            </w:r>
          </w:p>
        </w:tc>
        <w:tc>
          <w:tcPr>
            <w:tcW w:w="4814" w:type="dxa"/>
            <w:vAlign w:val="center"/>
          </w:tcPr>
          <w:p w14:paraId="585B4FD8" w14:textId="77777777" w:rsidR="0035687D" w:rsidRDefault="0035687D" w:rsidP="00883534">
            <w:pPr>
              <w:spacing w:before="120" w:after="120"/>
            </w:pPr>
            <w:r w:rsidRPr="007A14CE">
              <w:rPr>
                <w:b/>
                <w:bCs/>
                <w:color w:val="4E1A74" w:themeColor="text2"/>
              </w:rPr>
              <w:t>Licence number:</w:t>
            </w:r>
            <w:r w:rsidRPr="007A14CE">
              <w:rPr>
                <w:b/>
                <w:color w:val="4E1A74" w:themeColor="text2"/>
              </w:rPr>
              <w:t xml:space="preserve"> </w:t>
            </w:r>
            <w:sdt>
              <w:sdtPr>
                <w:alias w:val="Licence Number"/>
                <w:tag w:val=""/>
                <w:id w:val="-1058091660"/>
                <w:placeholder>
                  <w:docPart w:val="ED62B0F7C4FC4ECE9CE851DED11070C7"/>
                </w:placeholder>
                <w:dataBinding w:prefixMappings="xmlns:ns0='http://purl.org/dc/elements/1.1/' xmlns:ns1='http://schemas.openxmlformats.org/package/2006/metadata/core-properties' " w:xpath="/ns1:coreProperties[1]/ns1:keywords[1]" w:storeItemID="{6C3C8BC8-F283-45AE-878A-BAB7291924A1}"/>
                <w:text/>
              </w:sdtPr>
              <w:sdtEndPr/>
              <w:sdtContent>
                <w:r w:rsidR="009116DA">
                  <w:t>S0042</w:t>
                </w:r>
              </w:sdtContent>
            </w:sdt>
          </w:p>
        </w:tc>
      </w:tr>
      <w:tr w:rsidR="00CE0F50" w14:paraId="395E9EEE" w14:textId="77777777" w:rsidTr="007A14CE">
        <w:tc>
          <w:tcPr>
            <w:tcW w:w="4814" w:type="dxa"/>
            <w:vMerge w:val="restart"/>
            <w:vAlign w:val="center"/>
          </w:tcPr>
          <w:p w14:paraId="6AFF65B0" w14:textId="5CC4B20A" w:rsidR="00CE0F50" w:rsidRPr="00883534" w:rsidRDefault="00CE0F50" w:rsidP="00B97FAB">
            <w:pPr>
              <w:pStyle w:val="Heading2"/>
              <w:spacing w:before="120" w:after="120"/>
              <w:outlineLvl w:val="1"/>
              <w:rPr>
                <w:rFonts w:asciiTheme="minorHAnsi" w:eastAsiaTheme="minorHAnsi" w:hAnsiTheme="minorHAnsi" w:cstheme="minorBidi"/>
                <w:b w:val="0"/>
                <w:bCs w:val="0"/>
                <w:color w:val="auto"/>
                <w:sz w:val="22"/>
                <w:szCs w:val="22"/>
              </w:rPr>
            </w:pPr>
            <w:r w:rsidRPr="007A14CE">
              <w:rPr>
                <w:rFonts w:asciiTheme="minorHAnsi" w:eastAsiaTheme="minorHAnsi" w:hAnsiTheme="minorHAnsi" w:cstheme="minorBidi"/>
                <w:bCs w:val="0"/>
                <w:color w:val="4E1A74" w:themeColor="text2"/>
                <w:sz w:val="22"/>
                <w:szCs w:val="22"/>
              </w:rPr>
              <w:t>Location inspected:</w:t>
            </w:r>
            <w:r w:rsidR="00883534">
              <w:rPr>
                <w:b w:val="0"/>
              </w:rPr>
              <w:t xml:space="preserve"> </w:t>
            </w:r>
            <w:r w:rsidR="00883534" w:rsidRPr="00B97FAB">
              <w:rPr>
                <w:b w:val="0"/>
                <w:color w:val="444448" w:themeColor="accent4"/>
                <w:sz w:val="22"/>
              </w:rPr>
              <w:t>A Defence Base in Victoria</w:t>
            </w:r>
          </w:p>
        </w:tc>
        <w:tc>
          <w:tcPr>
            <w:tcW w:w="4814" w:type="dxa"/>
            <w:vAlign w:val="center"/>
          </w:tcPr>
          <w:p w14:paraId="62ED017A" w14:textId="319856A4" w:rsidR="00CE0F50" w:rsidRDefault="00CE0F50" w:rsidP="00B97FAB">
            <w:pPr>
              <w:spacing w:before="120" w:after="120"/>
            </w:pPr>
            <w:r w:rsidRPr="007A14CE">
              <w:rPr>
                <w:b/>
                <w:bCs/>
                <w:color w:val="4E1A74" w:themeColor="text2"/>
              </w:rPr>
              <w:t>Date/s of inspection:</w:t>
            </w:r>
            <w:r w:rsidR="007A14CE">
              <w:t xml:space="preserve"> </w:t>
            </w:r>
            <w:r w:rsidR="00883534" w:rsidRPr="00883534">
              <w:t>27</w:t>
            </w:r>
            <w:r w:rsidR="00B97FAB">
              <w:t xml:space="preserve"> September 2</w:t>
            </w:r>
            <w:r w:rsidR="00883534" w:rsidRPr="00883534">
              <w:t>018</w:t>
            </w:r>
          </w:p>
        </w:tc>
      </w:tr>
      <w:tr w:rsidR="00CE0F50" w14:paraId="798D9572" w14:textId="77777777" w:rsidTr="007A14CE">
        <w:tc>
          <w:tcPr>
            <w:tcW w:w="4814" w:type="dxa"/>
            <w:vMerge/>
            <w:vAlign w:val="center"/>
          </w:tcPr>
          <w:p w14:paraId="7E03E2BB" w14:textId="77777777" w:rsidR="00CE0F50" w:rsidRPr="0035687D" w:rsidRDefault="00CE0F50" w:rsidP="007A14CE">
            <w:pPr>
              <w:pStyle w:val="Heading2"/>
              <w:spacing w:before="120" w:after="120"/>
              <w:outlineLvl w:val="1"/>
            </w:pPr>
          </w:p>
        </w:tc>
        <w:tc>
          <w:tcPr>
            <w:tcW w:w="4814" w:type="dxa"/>
            <w:vAlign w:val="center"/>
          </w:tcPr>
          <w:p w14:paraId="761E0AB4" w14:textId="77777777" w:rsidR="00CE0F50" w:rsidRDefault="00CE0F50" w:rsidP="000D4CD5">
            <w:pPr>
              <w:spacing w:before="120" w:after="120"/>
            </w:pPr>
            <w:r w:rsidRPr="007A14CE">
              <w:rPr>
                <w:b/>
                <w:color w:val="4E1A74" w:themeColor="text2"/>
              </w:rPr>
              <w:t xml:space="preserve">Report </w:t>
            </w:r>
            <w:r w:rsidR="002449F3">
              <w:rPr>
                <w:b/>
                <w:color w:val="4E1A74" w:themeColor="text2"/>
              </w:rPr>
              <w:t>n</w:t>
            </w:r>
            <w:r w:rsidRPr="007A14CE">
              <w:rPr>
                <w:b/>
                <w:color w:val="4E1A74" w:themeColor="text2"/>
              </w:rPr>
              <w:t>o:</w:t>
            </w:r>
            <w:r w:rsidR="007A14CE" w:rsidRPr="007A14CE">
              <w:rPr>
                <w:color w:val="4E1A74" w:themeColor="text2"/>
              </w:rPr>
              <w:t xml:space="preserve"> </w:t>
            </w:r>
            <w:r w:rsidR="000D4CD5">
              <w:t>R18/12176</w:t>
            </w:r>
          </w:p>
        </w:tc>
      </w:tr>
      <w:tr w:rsidR="0035687D" w14:paraId="04B0F6D5" w14:textId="77777777" w:rsidTr="00546925">
        <w:tc>
          <w:tcPr>
            <w:tcW w:w="9628" w:type="dxa"/>
            <w:gridSpan w:val="2"/>
          </w:tcPr>
          <w:p w14:paraId="08AF57C0" w14:textId="77777777" w:rsidR="00506A30" w:rsidRPr="00B97FAB" w:rsidRDefault="00506A30" w:rsidP="00506A30">
            <w:pPr>
              <w:rPr>
                <w:b/>
                <w:color w:val="444448" w:themeColor="accent4"/>
              </w:rPr>
            </w:pPr>
            <w:r w:rsidRPr="00B97FAB">
              <w:rPr>
                <w:color w:val="444448" w:themeColor="accent4"/>
              </w:rPr>
              <w:t xml:space="preserve">An inspection was conducted as part of ARPANSA’s baseline inspection program to assess compliance with the </w:t>
            </w:r>
            <w:r w:rsidRPr="00B97FAB">
              <w:rPr>
                <w:i/>
                <w:color w:val="444448" w:themeColor="accent4"/>
              </w:rPr>
              <w:t>Australian Radiation Protection and Nuclear Safety Act 1998</w:t>
            </w:r>
            <w:r w:rsidRPr="00B97FAB">
              <w:rPr>
                <w:color w:val="444448" w:themeColor="accent4"/>
              </w:rPr>
              <w:t xml:space="preserve"> (the Act), the </w:t>
            </w:r>
            <w:r w:rsidRPr="00B97FAB">
              <w:rPr>
                <w:i/>
                <w:color w:val="444448" w:themeColor="accent4"/>
              </w:rPr>
              <w:t xml:space="preserve">Australian Radiation Protection and Nuclear Safety Regulations 1999 </w:t>
            </w:r>
            <w:r w:rsidRPr="00B97FAB">
              <w:rPr>
                <w:color w:val="444448" w:themeColor="accent4"/>
              </w:rPr>
              <w:t xml:space="preserve">(the Regulations), and conditions of Source Licence </w:t>
            </w:r>
            <w:sdt>
              <w:sdtPr>
                <w:rPr>
                  <w:color w:val="444448" w:themeColor="accent4"/>
                </w:rPr>
                <w:alias w:val="Licence Number"/>
                <w:tag w:val=""/>
                <w:id w:val="-1852640385"/>
                <w:placeholder>
                  <w:docPart w:val="157E0A8D4AC846918591C8B1ADB45B90"/>
                </w:placeholder>
                <w:dataBinding w:prefixMappings="xmlns:ns0='http://purl.org/dc/elements/1.1/' xmlns:ns1='http://schemas.openxmlformats.org/package/2006/metadata/core-properties' " w:xpath="/ns1:coreProperties[1]/ns1:keywords[1]" w:storeItemID="{6C3C8BC8-F283-45AE-878A-BAB7291924A1}"/>
                <w:text/>
              </w:sdtPr>
              <w:sdtEndPr/>
              <w:sdtContent>
                <w:r w:rsidRPr="00B97FAB">
                  <w:rPr>
                    <w:color w:val="444448" w:themeColor="accent4"/>
                  </w:rPr>
                  <w:t>S0042</w:t>
                </w:r>
              </w:sdtContent>
            </w:sdt>
            <w:r w:rsidRPr="00B97FAB">
              <w:rPr>
                <w:color w:val="444448" w:themeColor="accent4"/>
              </w:rPr>
              <w:t xml:space="preserve">. </w:t>
            </w:r>
          </w:p>
          <w:p w14:paraId="49C62682" w14:textId="77777777" w:rsidR="00506A30" w:rsidRPr="00B97FAB" w:rsidRDefault="00506A30" w:rsidP="00506A30">
            <w:pPr>
              <w:rPr>
                <w:color w:val="444448" w:themeColor="accent4"/>
              </w:rPr>
            </w:pPr>
            <w:r w:rsidRPr="00B97FAB">
              <w:rPr>
                <w:color w:val="444448" w:themeColor="accent4"/>
              </w:rPr>
              <w:t xml:space="preserve">The scope of the inspection included an assessment of Defence’s performance against the Source Performance Objectives and Criteria (PO&amp;Cs). The inspection consisted of a review of records, interviews, and a physical inspection of sources. </w:t>
            </w:r>
          </w:p>
          <w:p w14:paraId="51C02730" w14:textId="77777777" w:rsidR="00506A30" w:rsidRPr="00AF4FF3" w:rsidRDefault="00506A30" w:rsidP="00506A30">
            <w:pPr>
              <w:pStyle w:val="Heading1"/>
              <w:outlineLvl w:val="0"/>
            </w:pPr>
            <w:r w:rsidRPr="00AF4FF3">
              <w:t>Background</w:t>
            </w:r>
          </w:p>
          <w:p w14:paraId="53AC2DBC" w14:textId="6A56B0D5" w:rsidR="00506A30" w:rsidRPr="00AF4FF3" w:rsidRDefault="00506A30" w:rsidP="00506A30">
            <w:r>
              <w:t>Defence require</w:t>
            </w:r>
            <w:r w:rsidR="003A08B0">
              <w:t>s</w:t>
            </w:r>
            <w:r>
              <w:t xml:space="preserve"> the capability to perform integrity inspections and maintain aircraft in order to ensure their airworthiness. As part of this maintenance, non-destructive testing (NDT) sources are employed which will allow for the detection of </w:t>
            </w:r>
            <w:r w:rsidR="003A08B0">
              <w:t>internal, surface or subsurface</w:t>
            </w:r>
            <w:r>
              <w:t xml:space="preserve"> discontinuities and fatigue throughout the structure via the use of industrial radiographic methods.</w:t>
            </w:r>
            <w:r w:rsidR="00B97FAB">
              <w:t xml:space="preserve"> </w:t>
            </w:r>
            <w:r>
              <w:t>This allows images to be generated so that issues may be resolved prior to failure.</w:t>
            </w:r>
          </w:p>
          <w:p w14:paraId="0F636236" w14:textId="77777777" w:rsidR="00506A30" w:rsidRPr="00B97FAB" w:rsidRDefault="00506A30" w:rsidP="00506A30">
            <w:pPr>
              <w:rPr>
                <w:color w:val="444448" w:themeColor="accent4"/>
              </w:rPr>
            </w:pPr>
            <w:r w:rsidRPr="00B97FAB">
              <w:rPr>
                <w:color w:val="444448" w:themeColor="accent4"/>
              </w:rPr>
              <w:t xml:space="preserve">The main codes and standards applicable to these sources are: </w:t>
            </w:r>
          </w:p>
          <w:p w14:paraId="72BB6E15" w14:textId="6F470A87" w:rsidR="00506A30" w:rsidRPr="00B97FAB" w:rsidRDefault="00506A30" w:rsidP="00506A30">
            <w:pPr>
              <w:pStyle w:val="ListParagraph"/>
              <w:numPr>
                <w:ilvl w:val="0"/>
                <w:numId w:val="18"/>
              </w:numPr>
              <w:rPr>
                <w:color w:val="444448" w:themeColor="accent4"/>
              </w:rPr>
            </w:pPr>
            <w:r w:rsidRPr="00B97FAB">
              <w:rPr>
                <w:i/>
                <w:color w:val="444448" w:themeColor="accent4"/>
              </w:rPr>
              <w:t>Code for Radiation Protection in Planned Exposure Situations</w:t>
            </w:r>
            <w:r w:rsidRPr="00B97FAB">
              <w:rPr>
                <w:color w:val="444448" w:themeColor="accent4"/>
              </w:rPr>
              <w:t xml:space="preserve"> (RPS C-1)</w:t>
            </w:r>
          </w:p>
          <w:p w14:paraId="1B7B0BE0" w14:textId="77777777" w:rsidR="00506A30" w:rsidRPr="00B97FAB" w:rsidRDefault="00506A30" w:rsidP="00506A30">
            <w:pPr>
              <w:pStyle w:val="ListParagraph"/>
              <w:numPr>
                <w:ilvl w:val="0"/>
                <w:numId w:val="18"/>
              </w:numPr>
              <w:rPr>
                <w:color w:val="444448" w:themeColor="accent4"/>
              </w:rPr>
            </w:pPr>
            <w:r w:rsidRPr="00B97FAB">
              <w:rPr>
                <w:i/>
                <w:color w:val="444448" w:themeColor="accent4"/>
              </w:rPr>
              <w:t>Code of Practice for the safe use of Industrial Radiography Equipment</w:t>
            </w:r>
            <w:r w:rsidRPr="00B97FAB">
              <w:rPr>
                <w:color w:val="444448" w:themeColor="accent4"/>
              </w:rPr>
              <w:t xml:space="preserve"> (RHS 31)</w:t>
            </w:r>
          </w:p>
          <w:p w14:paraId="5A8347BF" w14:textId="256A0D3D" w:rsidR="00506A30" w:rsidRPr="00B97FAB" w:rsidRDefault="00506A30" w:rsidP="00506A30">
            <w:pPr>
              <w:pStyle w:val="ListParagraph"/>
              <w:numPr>
                <w:ilvl w:val="0"/>
                <w:numId w:val="18"/>
              </w:numPr>
              <w:rPr>
                <w:color w:val="444448" w:themeColor="accent4"/>
              </w:rPr>
            </w:pPr>
            <w:r w:rsidRPr="00B97FAB">
              <w:rPr>
                <w:color w:val="444448" w:themeColor="accent4"/>
              </w:rPr>
              <w:t xml:space="preserve">Australian Standard </w:t>
            </w:r>
            <w:r w:rsidRPr="00B97FAB">
              <w:rPr>
                <w:i/>
                <w:color w:val="444448" w:themeColor="accent4"/>
              </w:rPr>
              <w:t>Safety in Laborato</w:t>
            </w:r>
            <w:r w:rsidR="0099063F" w:rsidRPr="00B97FAB">
              <w:rPr>
                <w:i/>
                <w:color w:val="444448" w:themeColor="accent4"/>
              </w:rPr>
              <w:t xml:space="preserve">ries: Ionizing Radiations </w:t>
            </w:r>
            <w:r w:rsidR="0099063F" w:rsidRPr="00B97FAB">
              <w:rPr>
                <w:color w:val="444448" w:themeColor="accent4"/>
              </w:rPr>
              <w:t>AS 2243.4</w:t>
            </w:r>
            <w:r w:rsidR="00F768C6" w:rsidRPr="00B97FAB">
              <w:rPr>
                <w:color w:val="444448" w:themeColor="accent4"/>
              </w:rPr>
              <w:t xml:space="preserve"> (1998)</w:t>
            </w:r>
          </w:p>
          <w:p w14:paraId="79644D24" w14:textId="77777777" w:rsidR="00506A30" w:rsidRPr="00AF4FF3" w:rsidRDefault="00506A30" w:rsidP="00506A30">
            <w:pPr>
              <w:pStyle w:val="Heading1"/>
              <w:outlineLvl w:val="0"/>
              <w:rPr>
                <w:rFonts w:asciiTheme="majorHAnsi" w:hAnsiTheme="majorHAnsi"/>
                <w:color w:val="AF6FE0" w:themeColor="accent1" w:themeShade="BF"/>
              </w:rPr>
            </w:pPr>
            <w:r w:rsidRPr="00AF4FF3">
              <w:t>Observations</w:t>
            </w:r>
          </w:p>
          <w:p w14:paraId="17F0475B" w14:textId="77777777" w:rsidR="00506A30" w:rsidRPr="00AF4FF3" w:rsidRDefault="00506A30" w:rsidP="00506A30">
            <w:pPr>
              <w:pStyle w:val="Heading2"/>
              <w:outlineLvl w:val="1"/>
            </w:pPr>
            <w:r>
              <w:t>Performance Reporting and Verification</w:t>
            </w:r>
            <w:r w:rsidRPr="00AF4FF3">
              <w:t xml:space="preserve"> </w:t>
            </w:r>
          </w:p>
          <w:p w14:paraId="77EE2979" w14:textId="4AFFA05B" w:rsidR="00506A30" w:rsidRPr="00B97FAB" w:rsidRDefault="00506A30" w:rsidP="00506A30">
            <w:pPr>
              <w:rPr>
                <w:color w:val="444448" w:themeColor="accent4"/>
              </w:rPr>
            </w:pPr>
            <w:r w:rsidRPr="00B97FAB">
              <w:rPr>
                <w:color w:val="444448" w:themeColor="accent4"/>
              </w:rPr>
              <w:t>It is a requirement that Defence submit reports to ARPANSA which outline various matters relating to their use of radiation and other radiation safety matters. Defence produce</w:t>
            </w:r>
            <w:r w:rsidR="0099063F" w:rsidRPr="00B97FAB">
              <w:rPr>
                <w:color w:val="444448" w:themeColor="accent4"/>
              </w:rPr>
              <w:t>s</w:t>
            </w:r>
            <w:r w:rsidRPr="00B97FAB">
              <w:rPr>
                <w:color w:val="444448" w:themeColor="accent4"/>
              </w:rPr>
              <w:t xml:space="preserve"> these reports quarterly, in a timely manner, and as such there has been no recent radiation incidents at the site.</w:t>
            </w:r>
          </w:p>
          <w:p w14:paraId="06BA08BD" w14:textId="77777777" w:rsidR="00506A30" w:rsidRDefault="00506A30" w:rsidP="00506A30"/>
          <w:p w14:paraId="29EDDEDA" w14:textId="77777777" w:rsidR="00506A30" w:rsidRDefault="00506A30" w:rsidP="00506A30">
            <w:pPr>
              <w:pStyle w:val="Heading2"/>
              <w:outlineLvl w:val="1"/>
            </w:pPr>
            <w:r>
              <w:lastRenderedPageBreak/>
              <w:t>Configuration Management</w:t>
            </w:r>
          </w:p>
          <w:p w14:paraId="258B20C5" w14:textId="1AA96421" w:rsidR="00506A30" w:rsidRPr="00B97FAB" w:rsidRDefault="00506A30" w:rsidP="00506A30">
            <w:pPr>
              <w:rPr>
                <w:color w:val="444448" w:themeColor="accent4"/>
              </w:rPr>
            </w:pPr>
            <w:r w:rsidRPr="00B97FAB">
              <w:rPr>
                <w:color w:val="444448" w:themeColor="accent4"/>
              </w:rPr>
              <w:t>Radiography takes place in either a specifically designed enclosed site (manufactured to suit a 300</w:t>
            </w:r>
            <w:r w:rsidR="00B97FAB">
              <w:rPr>
                <w:color w:val="444448" w:themeColor="accent4"/>
              </w:rPr>
              <w:t xml:space="preserve"> </w:t>
            </w:r>
            <w:r w:rsidRPr="00B97FAB">
              <w:rPr>
                <w:color w:val="444448" w:themeColor="accent4"/>
              </w:rPr>
              <w:t>kV unit) or an open site. Hard copies of annual surveys of the Enclosed Site were shown to inspectors during the physical inspection. Dose rates presented for surveys conducted in 2016 highlight consistently low doses well below the 25</w:t>
            </w:r>
            <w:r w:rsidR="00B97FAB">
              <w:rPr>
                <w:color w:val="444448" w:themeColor="accent4"/>
              </w:rPr>
              <w:t xml:space="preserve"> </w:t>
            </w:r>
            <w:r w:rsidRPr="00B97FAB">
              <w:rPr>
                <w:color w:val="444448" w:themeColor="accent4"/>
              </w:rPr>
              <w:t>µ</w:t>
            </w:r>
            <w:proofErr w:type="spellStart"/>
            <w:r w:rsidRPr="00B97FAB">
              <w:rPr>
                <w:color w:val="444448" w:themeColor="accent4"/>
              </w:rPr>
              <w:t>Sv</w:t>
            </w:r>
            <w:proofErr w:type="spellEnd"/>
            <w:r w:rsidRPr="00B97FAB">
              <w:rPr>
                <w:color w:val="444448" w:themeColor="accent4"/>
              </w:rPr>
              <w:t xml:space="preserve">/h limit as prescribed by RHS 31. However the surveys do not specify the radiation monitor used to perform the survey. </w:t>
            </w:r>
          </w:p>
          <w:p w14:paraId="6574FBA8" w14:textId="77777777" w:rsidR="00506A30" w:rsidRPr="00B97FAB" w:rsidRDefault="00506A30" w:rsidP="00506A30">
            <w:pPr>
              <w:rPr>
                <w:color w:val="444448" w:themeColor="accent4"/>
              </w:rPr>
            </w:pPr>
            <w:r w:rsidRPr="00B97FAB">
              <w:rPr>
                <w:color w:val="444448" w:themeColor="accent4"/>
              </w:rPr>
              <w:t>The open site appeared to have been surveyed once. The open site surveys do not include a survey point to measure the ambient dose rates at the operator’s position. Currently there is only one operator available. Open site requirements dictate the need for two operators. As such, no open site radiography is performed unless a second person (either Defence personnel or contractor) can be made available. Currently, approximately one exposure per year is being conducted in an open site.</w:t>
            </w:r>
          </w:p>
          <w:p w14:paraId="53E750EB" w14:textId="77777777" w:rsidR="00506A30" w:rsidRPr="00B97FAB" w:rsidRDefault="00506A30" w:rsidP="00506A30">
            <w:pPr>
              <w:rPr>
                <w:color w:val="444448" w:themeColor="accent4"/>
              </w:rPr>
            </w:pPr>
            <w:r w:rsidRPr="00B97FAB">
              <w:rPr>
                <w:color w:val="444448" w:themeColor="accent4"/>
              </w:rPr>
              <w:t xml:space="preserve">The specified rating of the enclosed site in the Radiation Safety Plan (RSP) is inconsistent with the exposures that are performed during annual surveys. Defence should reconsider their shielding rating or alternatively, reconsider their method to validate annual surveys. </w:t>
            </w:r>
          </w:p>
          <w:p w14:paraId="6C182EFF" w14:textId="771CFA83" w:rsidR="00506A30" w:rsidRPr="00B97FAB" w:rsidRDefault="00506A30" w:rsidP="00506A30">
            <w:pPr>
              <w:rPr>
                <w:color w:val="444448" w:themeColor="accent4"/>
              </w:rPr>
            </w:pPr>
            <w:r w:rsidRPr="00B97FAB">
              <w:rPr>
                <w:color w:val="444448" w:themeColor="accent4"/>
              </w:rPr>
              <w:t>T</w:t>
            </w:r>
            <w:r w:rsidR="00B97FAB">
              <w:rPr>
                <w:color w:val="444448" w:themeColor="accent4"/>
              </w:rPr>
              <w:t>he X</w:t>
            </w:r>
            <w:r w:rsidRPr="00B97FAB">
              <w:rPr>
                <w:color w:val="444448" w:themeColor="accent4"/>
              </w:rPr>
              <w:t>-ray beam, in the enclosed site, is generally fired in a vertical fashion (either directed into the ground or up into the air). However, there is a possibility that the beam may need to be fired horizontally and if this occurs the beam will be aimed into a shielded wall. Though the majority of all exposures will have the beam directed into the ground, there is no formalised arrangements to initiate a risk assessment (and therefor an additional survey) if the exposure were to take place horizontally.</w:t>
            </w:r>
          </w:p>
          <w:p w14:paraId="76CFCE7D" w14:textId="77777777" w:rsidR="00506A30" w:rsidRPr="00B97FAB" w:rsidRDefault="00506A30" w:rsidP="00506A30">
            <w:pPr>
              <w:rPr>
                <w:color w:val="444448" w:themeColor="accent4"/>
              </w:rPr>
            </w:pPr>
            <w:r w:rsidRPr="00B97FAB">
              <w:rPr>
                <w:color w:val="444448" w:themeColor="accent4"/>
              </w:rPr>
              <w:t>The unit also has multiple obsolete pieces of equipment which are not currently in use. However there is no plan in place to manage these items for potential repair and return to service or ultimate disposal. Inspectors did not observe any equipment labels indicating that items were unserviceable as required by their NDT quality manual.</w:t>
            </w:r>
          </w:p>
          <w:p w14:paraId="1D319A4E" w14:textId="77777777" w:rsidR="00506A30" w:rsidRPr="00B97FAB" w:rsidRDefault="00506A30" w:rsidP="00506A30">
            <w:pPr>
              <w:rPr>
                <w:color w:val="444448" w:themeColor="accent4"/>
              </w:rPr>
            </w:pPr>
            <w:r w:rsidRPr="00B97FAB">
              <w:rPr>
                <w:color w:val="444448" w:themeColor="accent4"/>
              </w:rPr>
              <w:t xml:space="preserve">RHS 31 requires that a Radiation Source Movement Record Book is kept so that an up-to-date record of the location of all sources is always available. While the record book is available, it is currently not fully being used for its intended purpose </w:t>
            </w:r>
          </w:p>
          <w:p w14:paraId="12F976C8" w14:textId="19CC4EEA" w:rsidR="00506A30" w:rsidRDefault="00506A30" w:rsidP="00506A30">
            <w:pPr>
              <w:pStyle w:val="Heading2"/>
              <w:outlineLvl w:val="1"/>
            </w:pPr>
            <w:r>
              <w:t xml:space="preserve">Inspection, </w:t>
            </w:r>
            <w:r w:rsidR="00B97FAB">
              <w:t>t</w:t>
            </w:r>
            <w:r>
              <w:t xml:space="preserve">esting and </w:t>
            </w:r>
            <w:r w:rsidR="00B97FAB">
              <w:t>m</w:t>
            </w:r>
            <w:r>
              <w:t>aintenance</w:t>
            </w:r>
          </w:p>
          <w:p w14:paraId="074EA556" w14:textId="26A7BBE2" w:rsidR="00506A30" w:rsidRPr="00B97FAB" w:rsidRDefault="00506A30" w:rsidP="00506A30">
            <w:pPr>
              <w:rPr>
                <w:color w:val="444448" w:themeColor="accent4"/>
              </w:rPr>
            </w:pPr>
            <w:r w:rsidRPr="00B97FAB">
              <w:rPr>
                <w:color w:val="444448" w:themeColor="accent4"/>
              </w:rPr>
              <w:t>On</w:t>
            </w:r>
            <w:r w:rsidR="00B97FAB">
              <w:rPr>
                <w:color w:val="444448" w:themeColor="accent4"/>
              </w:rPr>
              <w:t>-</w:t>
            </w:r>
            <w:r w:rsidRPr="00B97FAB">
              <w:rPr>
                <w:color w:val="444448" w:themeColor="accent4"/>
              </w:rPr>
              <w:t xml:space="preserve">site, Defence has multiple components to perform industrial radiography. The main two components are the control panel and the tube head. The RSP states that repairs may only be conducted by those who are appropriately qualified and approved to do so. The only inspection which takes place on the equipment is conducted by a contractor and occurs with annual periodicity and is largely visual in nature with the exception of the application of lubricant. Section 7.3.7 of RHS 31 requires periodic inspection to ensure all interlocks, shutters and control mechanisms operate effectively and that no components are unacceptably worn or damaged. The visual inspection methodology may be insufficient to ensure adherence to the requirements of RHS 31. The equipment is not actually technically serviced by the contractor and the only record of the maintenance is in the form of an invoice. Section 10.1.2 of RHS 31 requires the maintenance of records of inspection reports and details of repairs of x-ray units. The level of detail contained in the contractor’s invoice may not meet these requirements. </w:t>
            </w:r>
          </w:p>
          <w:p w14:paraId="6F297D13" w14:textId="77777777" w:rsidR="00506A30" w:rsidRPr="00B97FAB" w:rsidRDefault="00506A30" w:rsidP="00506A30">
            <w:pPr>
              <w:rPr>
                <w:color w:val="444448" w:themeColor="accent4"/>
              </w:rPr>
            </w:pPr>
            <w:r w:rsidRPr="00B97FAB">
              <w:rPr>
                <w:color w:val="444448" w:themeColor="accent4"/>
              </w:rPr>
              <w:t>Inspectors were supplied with copies of the quality manual for NDT as well as the base radiation safety management plan with both documents identifying the requirements for maintenance. The documentation establishes a requirement for a maintenance schedule with a series of documents which covers routine inspection and testing along with corresponding records. Currently no maintenance schedule or strategy exists.</w:t>
            </w:r>
          </w:p>
          <w:p w14:paraId="25B041E2" w14:textId="77777777" w:rsidR="00506A30" w:rsidRDefault="00506A30" w:rsidP="00506A30">
            <w:pPr>
              <w:pStyle w:val="Heading2"/>
              <w:outlineLvl w:val="1"/>
            </w:pPr>
            <w:r>
              <w:lastRenderedPageBreak/>
              <w:t>Training</w:t>
            </w:r>
          </w:p>
          <w:p w14:paraId="75DC37DE" w14:textId="6BF0E6A6" w:rsidR="00506A30" w:rsidRPr="00B97FAB" w:rsidRDefault="00506A30" w:rsidP="00506A30">
            <w:pPr>
              <w:rPr>
                <w:color w:val="444448" w:themeColor="accent4"/>
              </w:rPr>
            </w:pPr>
            <w:r w:rsidRPr="00B97FAB">
              <w:rPr>
                <w:color w:val="444448" w:themeColor="accent4"/>
              </w:rPr>
              <w:t xml:space="preserve">Currently there is only one NDT operator available to perform industrial radiography. All training requirements have been met as the operator has completed the qualification to become a Defence Ionising Radiation Safety Officer (DIRPO), </w:t>
            </w:r>
            <w:r w:rsidR="0099063F" w:rsidRPr="00B97FAB">
              <w:rPr>
                <w:color w:val="444448" w:themeColor="accent4"/>
              </w:rPr>
              <w:t xml:space="preserve">and </w:t>
            </w:r>
            <w:r w:rsidRPr="00B97FAB">
              <w:rPr>
                <w:color w:val="444448" w:themeColor="accent4"/>
              </w:rPr>
              <w:t>has recently been recertified as a level 3 NDT technician and has completed the annual radiation safety training. Any other personnel, whether from within Defence or a contractor, must be certified to perform radiography and have their radiation safety</w:t>
            </w:r>
            <w:r w:rsidR="0099063F" w:rsidRPr="00B97FAB">
              <w:rPr>
                <w:color w:val="444448" w:themeColor="accent4"/>
              </w:rPr>
              <w:t xml:space="preserve"> training completed before they a</w:t>
            </w:r>
            <w:r w:rsidRPr="00B97FAB">
              <w:rPr>
                <w:color w:val="444448" w:themeColor="accent4"/>
              </w:rPr>
              <w:t>re able to conduct any work involving the use of radiation. All personnel who have been involved are certified as being at either level 2 or 3 with the revalidation period being 1 year and 5 years respectively. The inspectors found that the training arrangements were satisfactory.</w:t>
            </w:r>
          </w:p>
          <w:p w14:paraId="1C582567" w14:textId="0A409DDB" w:rsidR="00506A30" w:rsidRDefault="00506A30" w:rsidP="00506A30">
            <w:pPr>
              <w:pStyle w:val="Heading2"/>
              <w:outlineLvl w:val="1"/>
            </w:pPr>
            <w:r>
              <w:t xml:space="preserve">Event </w:t>
            </w:r>
            <w:r w:rsidR="00B97FAB">
              <w:t>p</w:t>
            </w:r>
            <w:r>
              <w:t>rotection</w:t>
            </w:r>
          </w:p>
          <w:p w14:paraId="7C9FADAA" w14:textId="77777777" w:rsidR="00506A30" w:rsidRPr="00B97FAB" w:rsidRDefault="00506A30" w:rsidP="00506A30">
            <w:pPr>
              <w:rPr>
                <w:color w:val="444448" w:themeColor="accent4"/>
              </w:rPr>
            </w:pPr>
            <w:r w:rsidRPr="00B97FAB">
              <w:rPr>
                <w:color w:val="444448" w:themeColor="accent4"/>
              </w:rPr>
              <w:t>For ionising apparatus, specific radiation safety arrangements required due to potential external events were not considered credible. The inspectors were satisfied with this assessment.</w:t>
            </w:r>
          </w:p>
          <w:p w14:paraId="14D65D61" w14:textId="77777777" w:rsidR="00506A30" w:rsidRPr="00B97FAB" w:rsidRDefault="00506A30" w:rsidP="00506A30">
            <w:pPr>
              <w:pStyle w:val="Heading2"/>
              <w:outlineLvl w:val="1"/>
            </w:pPr>
            <w:r w:rsidRPr="00B97FAB">
              <w:t>Security</w:t>
            </w:r>
          </w:p>
          <w:p w14:paraId="7EC90736" w14:textId="77777777" w:rsidR="00506A30" w:rsidRPr="00B97FAB" w:rsidRDefault="00506A30" w:rsidP="00506A30">
            <w:pPr>
              <w:rPr>
                <w:color w:val="444448" w:themeColor="accent4"/>
              </w:rPr>
            </w:pPr>
            <w:r w:rsidRPr="00B97FAB">
              <w:rPr>
                <w:color w:val="444448" w:themeColor="accent4"/>
              </w:rPr>
              <w:t>Security arrangements in place for Defence at the site, including access controls specifically for the dealing being inspected, were considered to be appropriate.</w:t>
            </w:r>
          </w:p>
          <w:p w14:paraId="01268C92" w14:textId="2F91F8FA" w:rsidR="00506A30" w:rsidRDefault="00506A30" w:rsidP="00506A30">
            <w:pPr>
              <w:pStyle w:val="Heading2"/>
              <w:outlineLvl w:val="1"/>
            </w:pPr>
            <w:r>
              <w:t xml:space="preserve">Radiation </w:t>
            </w:r>
            <w:r w:rsidR="00B97FAB">
              <w:t>p</w:t>
            </w:r>
            <w:r>
              <w:t>rotection</w:t>
            </w:r>
          </w:p>
          <w:p w14:paraId="3EEB6A85" w14:textId="77777777" w:rsidR="00506A30" w:rsidRPr="00B97FAB" w:rsidRDefault="00506A30" w:rsidP="00506A30">
            <w:pPr>
              <w:rPr>
                <w:color w:val="444448" w:themeColor="accent4"/>
              </w:rPr>
            </w:pPr>
            <w:r w:rsidRPr="00B97FAB">
              <w:rPr>
                <w:color w:val="444448" w:themeColor="accent4"/>
              </w:rPr>
              <w:t>The division being inspected currently has two RSPs. One which deals with conducting radiography in an enclosed site and the other at an open site. Within the open site RSP, a statement considers that both partially enclosed and enclosed sites are considered the same as an open site. As all three of these sites have different requirements, inspectors highlighted that Defence’s definition or understanding was inconsistent with RHS 31.</w:t>
            </w:r>
          </w:p>
          <w:p w14:paraId="686253F8" w14:textId="77777777" w:rsidR="00506A30" w:rsidRPr="00B97FAB" w:rsidRDefault="00506A30" w:rsidP="00506A30">
            <w:pPr>
              <w:rPr>
                <w:color w:val="444448" w:themeColor="accent4"/>
              </w:rPr>
            </w:pPr>
            <w:r w:rsidRPr="00B97FAB">
              <w:rPr>
                <w:color w:val="444448" w:themeColor="accent4"/>
              </w:rPr>
              <w:t>Other inconsistencies within the documentation were highlighted including the description of action levels for reporting and the inclusion of key procedures which are applied to ensure the safety of the facility and the equipment. Defence should consider the appropriateness of maintaining two separate RSPs.</w:t>
            </w:r>
          </w:p>
          <w:p w14:paraId="1F3C4CBA" w14:textId="47F22000" w:rsidR="00506A30" w:rsidRPr="00B97FAB" w:rsidRDefault="00506A30" w:rsidP="00506A30">
            <w:pPr>
              <w:rPr>
                <w:color w:val="444448" w:themeColor="accent4"/>
              </w:rPr>
            </w:pPr>
            <w:r w:rsidRPr="00B97FAB">
              <w:rPr>
                <w:color w:val="444448" w:themeColor="accent4"/>
              </w:rPr>
              <w:t>AS 2243.4</w:t>
            </w:r>
            <w:r w:rsidR="00CF70FA" w:rsidRPr="00B97FAB">
              <w:rPr>
                <w:color w:val="444448" w:themeColor="accent4"/>
              </w:rPr>
              <w:t xml:space="preserve"> </w:t>
            </w:r>
            <w:r w:rsidR="00F768C6" w:rsidRPr="00B97FAB">
              <w:rPr>
                <w:color w:val="444448" w:themeColor="accent4"/>
              </w:rPr>
              <w:t xml:space="preserve">(1998) </w:t>
            </w:r>
            <w:r w:rsidRPr="00B97FAB">
              <w:rPr>
                <w:color w:val="444448" w:themeColor="accent4"/>
              </w:rPr>
              <w:t xml:space="preserve">requires that calibration of all monitoring instruments be performed at annual intervals and be traceable to a national standard. Various radiation monitoring instruments were available and have been calibrated by the same contractor who performs the visual inspections of the NDT equipment. However, no evidence was provided that these calibrations were traceable to the Australian standard. </w:t>
            </w:r>
          </w:p>
          <w:p w14:paraId="67584A2B" w14:textId="5EA5A39D" w:rsidR="00506A30" w:rsidRDefault="00B97FAB" w:rsidP="00506A30">
            <w:pPr>
              <w:pStyle w:val="Heading2"/>
              <w:outlineLvl w:val="1"/>
            </w:pPr>
            <w:r>
              <w:t>Emergency p</w:t>
            </w:r>
            <w:r w:rsidR="00506A30">
              <w:t xml:space="preserve">reparedness and </w:t>
            </w:r>
            <w:r>
              <w:t>r</w:t>
            </w:r>
            <w:r w:rsidR="00506A30">
              <w:t>esponse</w:t>
            </w:r>
          </w:p>
          <w:p w14:paraId="41224237" w14:textId="77777777" w:rsidR="00506A30" w:rsidRPr="00B97FAB" w:rsidRDefault="00506A30" w:rsidP="00506A30">
            <w:pPr>
              <w:rPr>
                <w:color w:val="444448" w:themeColor="accent4"/>
              </w:rPr>
            </w:pPr>
            <w:r w:rsidRPr="00B97FAB">
              <w:rPr>
                <w:color w:val="444448" w:themeColor="accent4"/>
              </w:rPr>
              <w:t>Both RSPs include emergency procedures that are specific to either being in an enclosed site or an open site. However, they only detail how to turn the equipment off and a standard 5-step procedure to make the area safe. However, no notification arrangements were described should there be an accidental exposure to workers or the public.</w:t>
            </w:r>
          </w:p>
          <w:p w14:paraId="7DF9BDAB" w14:textId="77777777" w:rsidR="00B97FAB" w:rsidRDefault="00B97FAB" w:rsidP="00506A30">
            <w:pPr>
              <w:pStyle w:val="Heading1"/>
              <w:outlineLvl w:val="0"/>
            </w:pPr>
          </w:p>
          <w:p w14:paraId="34535DA6" w14:textId="77777777" w:rsidR="00B97FAB" w:rsidRDefault="00B97FAB" w:rsidP="00506A30">
            <w:pPr>
              <w:pStyle w:val="Heading1"/>
              <w:outlineLvl w:val="0"/>
            </w:pPr>
          </w:p>
          <w:p w14:paraId="5A5315B7" w14:textId="595F33CE" w:rsidR="00506A30" w:rsidRPr="00AF4FF3" w:rsidRDefault="00506A30" w:rsidP="00506A30">
            <w:pPr>
              <w:pStyle w:val="Heading1"/>
              <w:outlineLvl w:val="0"/>
            </w:pPr>
            <w:r w:rsidRPr="00AF4FF3">
              <w:lastRenderedPageBreak/>
              <w:t>Findings</w:t>
            </w:r>
          </w:p>
          <w:p w14:paraId="4074F03C" w14:textId="77777777" w:rsidR="00506A30" w:rsidRPr="00B97FAB" w:rsidRDefault="00506A30" w:rsidP="00506A30">
            <w:pPr>
              <w:pStyle w:val="Heading3list"/>
              <w:spacing w:line="240" w:lineRule="auto"/>
              <w:rPr>
                <w:rFonts w:asciiTheme="minorHAnsi" w:hAnsiTheme="minorHAnsi"/>
                <w:b w:val="0"/>
                <w:color w:val="444448" w:themeColor="accent4"/>
                <w:sz w:val="22"/>
                <w:szCs w:val="22"/>
              </w:rPr>
            </w:pPr>
            <w:r w:rsidRPr="00B97FAB">
              <w:rPr>
                <w:rFonts w:asciiTheme="minorHAnsi" w:hAnsiTheme="minorHAnsi"/>
                <w:b w:val="0"/>
                <w:color w:val="444448" w:themeColor="accent4"/>
                <w:sz w:val="22"/>
                <w:szCs w:val="22"/>
              </w:rPr>
              <w:t xml:space="preserve">The inspection revealed the following </w:t>
            </w:r>
            <w:r w:rsidRPr="00B97FAB">
              <w:rPr>
                <w:rFonts w:asciiTheme="minorHAnsi" w:hAnsiTheme="minorHAnsi"/>
                <w:color w:val="444448" w:themeColor="accent4"/>
                <w:sz w:val="22"/>
                <w:szCs w:val="22"/>
              </w:rPr>
              <w:t>potential non-compliance:</w:t>
            </w:r>
          </w:p>
          <w:p w14:paraId="61311712" w14:textId="67F08527" w:rsidR="00506A30" w:rsidRPr="00B97FAB" w:rsidRDefault="00506A30" w:rsidP="00506A30">
            <w:pPr>
              <w:pStyle w:val="Footer"/>
              <w:numPr>
                <w:ilvl w:val="0"/>
                <w:numId w:val="14"/>
              </w:numPr>
              <w:spacing w:line="276" w:lineRule="auto"/>
              <w:rPr>
                <w:color w:val="444448" w:themeColor="accent4"/>
              </w:rPr>
            </w:pPr>
            <w:r w:rsidRPr="00B97FAB">
              <w:rPr>
                <w:color w:val="444448" w:themeColor="accent4"/>
              </w:rPr>
              <w:t xml:space="preserve">Australian Standard </w:t>
            </w:r>
            <w:r w:rsidRPr="00B97FAB">
              <w:rPr>
                <w:i/>
                <w:color w:val="444448" w:themeColor="accent4"/>
              </w:rPr>
              <w:t>Safety in Laborato</w:t>
            </w:r>
            <w:r w:rsidR="00CF70FA" w:rsidRPr="00B97FAB">
              <w:rPr>
                <w:i/>
                <w:color w:val="444448" w:themeColor="accent4"/>
              </w:rPr>
              <w:t>ries: Ionizing Radiations</w:t>
            </w:r>
            <w:r w:rsidR="00CF70FA" w:rsidRPr="00B97FAB">
              <w:rPr>
                <w:color w:val="444448" w:themeColor="accent4"/>
              </w:rPr>
              <w:t xml:space="preserve"> </w:t>
            </w:r>
            <w:r w:rsidR="00B97FAB">
              <w:rPr>
                <w:color w:val="444448" w:themeColor="accent4"/>
              </w:rPr>
              <w:t>(</w:t>
            </w:r>
            <w:r w:rsidR="00CF70FA" w:rsidRPr="00B97FAB">
              <w:rPr>
                <w:color w:val="444448" w:themeColor="accent4"/>
              </w:rPr>
              <w:t>AS 2243.4</w:t>
            </w:r>
            <w:r w:rsidR="00B97FAB">
              <w:rPr>
                <w:color w:val="444448" w:themeColor="accent4"/>
              </w:rPr>
              <w:t>:</w:t>
            </w:r>
            <w:r w:rsidR="00F768C6" w:rsidRPr="00B97FAB">
              <w:rPr>
                <w:color w:val="444448" w:themeColor="accent4"/>
              </w:rPr>
              <w:t xml:space="preserve">1998) </w:t>
            </w:r>
            <w:r w:rsidRPr="00B97FAB">
              <w:rPr>
                <w:color w:val="444448" w:themeColor="accent4"/>
              </w:rPr>
              <w:t>– the licence holder is required to calibrate their radiation monitoring instruments at annual intervals and be traceable to a nation</w:t>
            </w:r>
            <w:r w:rsidR="00CF70FA" w:rsidRPr="00B97FAB">
              <w:rPr>
                <w:color w:val="444448" w:themeColor="accent4"/>
              </w:rPr>
              <w:t>al</w:t>
            </w:r>
            <w:r w:rsidRPr="00B97FAB">
              <w:rPr>
                <w:color w:val="444448" w:themeColor="accent4"/>
              </w:rPr>
              <w:t xml:space="preserve"> standard.</w:t>
            </w:r>
          </w:p>
          <w:p w14:paraId="334EEF3F" w14:textId="77777777" w:rsidR="00506A30" w:rsidRPr="00B97FAB" w:rsidRDefault="00506A30" w:rsidP="00506A30">
            <w:pPr>
              <w:rPr>
                <w:b/>
                <w:color w:val="444448" w:themeColor="accent4"/>
              </w:rPr>
            </w:pPr>
            <w:r w:rsidRPr="00B97FAB">
              <w:rPr>
                <w:color w:val="444448" w:themeColor="accent4"/>
              </w:rPr>
              <w:t xml:space="preserve">The inspection revealed the following </w:t>
            </w:r>
            <w:r w:rsidRPr="00B97FAB">
              <w:rPr>
                <w:b/>
                <w:color w:val="444448" w:themeColor="accent4"/>
              </w:rPr>
              <w:t>areas for improvement</w:t>
            </w:r>
            <w:r w:rsidRPr="00B97FAB">
              <w:rPr>
                <w:color w:val="444448" w:themeColor="accent4"/>
              </w:rPr>
              <w:t>:</w:t>
            </w:r>
            <w:r w:rsidRPr="00B97FAB">
              <w:rPr>
                <w:color w:val="444448" w:themeColor="accent4"/>
              </w:rPr>
              <w:br/>
            </w:r>
          </w:p>
          <w:p w14:paraId="763D1854" w14:textId="630D96C4" w:rsidR="00506A30" w:rsidRPr="00B97FAB" w:rsidRDefault="00A311EE" w:rsidP="00506A30">
            <w:pPr>
              <w:pStyle w:val="Footer"/>
              <w:numPr>
                <w:ilvl w:val="0"/>
                <w:numId w:val="14"/>
              </w:numPr>
              <w:spacing w:line="276" w:lineRule="auto"/>
              <w:rPr>
                <w:color w:val="444448" w:themeColor="accent4"/>
              </w:rPr>
            </w:pPr>
            <w:r>
              <w:rPr>
                <w:color w:val="444448" w:themeColor="accent4"/>
              </w:rPr>
              <w:t>p</w:t>
            </w:r>
            <w:r w:rsidR="00506A30" w:rsidRPr="00B97FAB">
              <w:rPr>
                <w:color w:val="444448" w:themeColor="accent4"/>
              </w:rPr>
              <w:t>ractices surrounding performing and recording surveys</w:t>
            </w:r>
          </w:p>
          <w:p w14:paraId="20DB438E" w14:textId="5E5F7C91" w:rsidR="00506A30" w:rsidRPr="00B97FAB" w:rsidRDefault="00A311EE" w:rsidP="00506A30">
            <w:pPr>
              <w:pStyle w:val="Footer"/>
              <w:numPr>
                <w:ilvl w:val="0"/>
                <w:numId w:val="14"/>
              </w:numPr>
              <w:spacing w:line="276" w:lineRule="auto"/>
              <w:rPr>
                <w:color w:val="444448" w:themeColor="accent4"/>
              </w:rPr>
            </w:pPr>
            <w:r>
              <w:rPr>
                <w:color w:val="444448" w:themeColor="accent4"/>
              </w:rPr>
              <w:t>i</w:t>
            </w:r>
            <w:r w:rsidR="00506A30" w:rsidRPr="00B97FAB">
              <w:rPr>
                <w:color w:val="444448" w:themeColor="accent4"/>
              </w:rPr>
              <w:t>nconsistency within documentation and structured periodic reviews</w:t>
            </w:r>
          </w:p>
          <w:p w14:paraId="16BB6DF0" w14:textId="57A80093" w:rsidR="00506A30" w:rsidRPr="00B97FAB" w:rsidRDefault="00A311EE" w:rsidP="00506A30">
            <w:pPr>
              <w:pStyle w:val="Footer"/>
              <w:numPr>
                <w:ilvl w:val="0"/>
                <w:numId w:val="14"/>
              </w:numPr>
              <w:spacing w:line="276" w:lineRule="auto"/>
              <w:rPr>
                <w:color w:val="444448" w:themeColor="accent4"/>
              </w:rPr>
            </w:pPr>
            <w:r>
              <w:rPr>
                <w:color w:val="444448" w:themeColor="accent4"/>
              </w:rPr>
              <w:t>i</w:t>
            </w:r>
            <w:r w:rsidR="00506A30" w:rsidRPr="00B97FAB">
              <w:rPr>
                <w:color w:val="444448" w:themeColor="accent4"/>
              </w:rPr>
              <w:t>mplementation of the annual maintenance strategy</w:t>
            </w:r>
          </w:p>
          <w:p w14:paraId="2F755160" w14:textId="6ACEF7CD" w:rsidR="00506A30" w:rsidRPr="00B97FAB" w:rsidRDefault="00A311EE" w:rsidP="00506A30">
            <w:pPr>
              <w:pStyle w:val="Footer"/>
              <w:numPr>
                <w:ilvl w:val="0"/>
                <w:numId w:val="14"/>
              </w:numPr>
              <w:spacing w:line="276" w:lineRule="auto"/>
              <w:rPr>
                <w:color w:val="444448" w:themeColor="accent4"/>
              </w:rPr>
            </w:pPr>
            <w:r>
              <w:rPr>
                <w:color w:val="444448" w:themeColor="accent4"/>
              </w:rPr>
              <w:t>u</w:t>
            </w:r>
            <w:r w:rsidR="00506A30" w:rsidRPr="00B97FAB">
              <w:rPr>
                <w:color w:val="444448" w:themeColor="accent4"/>
              </w:rPr>
              <w:t>se of the Radiation Source Movement Record Book</w:t>
            </w:r>
          </w:p>
          <w:p w14:paraId="42BFAAC3" w14:textId="5FAFEBAF" w:rsidR="00506A30" w:rsidRPr="00B97FAB" w:rsidRDefault="00A311EE" w:rsidP="00506A30">
            <w:pPr>
              <w:pStyle w:val="Footer"/>
              <w:numPr>
                <w:ilvl w:val="0"/>
                <w:numId w:val="14"/>
              </w:numPr>
              <w:spacing w:line="276" w:lineRule="auto"/>
              <w:rPr>
                <w:color w:val="444448" w:themeColor="accent4"/>
              </w:rPr>
            </w:pPr>
            <w:r>
              <w:rPr>
                <w:color w:val="444448" w:themeColor="accent4"/>
              </w:rPr>
              <w:t>d</w:t>
            </w:r>
            <w:bookmarkStart w:id="0" w:name="_GoBack"/>
            <w:bookmarkEnd w:id="0"/>
            <w:r w:rsidR="00506A30" w:rsidRPr="00B97FAB">
              <w:rPr>
                <w:color w:val="444448" w:themeColor="accent4"/>
              </w:rPr>
              <w:t>evelopment of accident/incident notification arrangements.</w:t>
            </w:r>
          </w:p>
          <w:p w14:paraId="4E06E157" w14:textId="77777777" w:rsidR="00506A30" w:rsidRPr="00B97FAB" w:rsidRDefault="00506A30" w:rsidP="00506A30">
            <w:pPr>
              <w:rPr>
                <w:color w:val="444448" w:themeColor="accent4"/>
              </w:rPr>
            </w:pPr>
            <w:r w:rsidRPr="00B97FAB">
              <w:rPr>
                <w:color w:val="444448" w:themeColor="accent4"/>
              </w:rPr>
              <w:t>It is expected that improvement actions be taken in a timely manner.</w:t>
            </w:r>
          </w:p>
          <w:p w14:paraId="455FBBB5" w14:textId="77777777" w:rsidR="0035687D" w:rsidRPr="0035687D" w:rsidRDefault="0035687D" w:rsidP="00996CD7">
            <w:pPr>
              <w:pStyle w:val="Footer"/>
              <w:spacing w:line="276" w:lineRule="auto"/>
              <w:ind w:left="1440"/>
            </w:pPr>
          </w:p>
        </w:tc>
      </w:tr>
    </w:tbl>
    <w:p w14:paraId="13FA0852" w14:textId="6C8C3E9B" w:rsidR="0035687D" w:rsidRPr="004F71E7" w:rsidRDefault="0035687D" w:rsidP="0035687D">
      <w:pPr>
        <w:spacing w:before="0"/>
        <w:ind w:left="-567" w:right="-341"/>
        <w:jc w:val="center"/>
        <w:rPr>
          <w:rFonts w:cs="Arial"/>
          <w:i/>
          <w:color w:val="auto"/>
          <w:sz w:val="18"/>
          <w:szCs w:val="18"/>
        </w:rPr>
      </w:pPr>
      <w:r w:rsidRPr="004F71E7">
        <w:rPr>
          <w:rFonts w:cs="Arial"/>
          <w:i/>
          <w:color w:val="auto"/>
          <w:sz w:val="18"/>
          <w:szCs w:val="18"/>
        </w:rPr>
        <w:lastRenderedPageBreak/>
        <w:t>In response to any potential non-compliance, the licence holder must carry out its resp</w:t>
      </w:r>
      <w:r w:rsidR="00CF70FA">
        <w:rPr>
          <w:rFonts w:cs="Arial"/>
          <w:i/>
          <w:color w:val="auto"/>
          <w:sz w:val="18"/>
          <w:szCs w:val="18"/>
        </w:rPr>
        <w:t>onsibilities under Section 57</w:t>
      </w:r>
    </w:p>
    <w:p w14:paraId="7A1DFB71" w14:textId="77777777" w:rsidR="0035687D" w:rsidRPr="00AF4FF3" w:rsidRDefault="0035687D" w:rsidP="0035687D">
      <w:pPr>
        <w:spacing w:before="0"/>
        <w:ind w:left="-709" w:right="-766"/>
        <w:jc w:val="center"/>
        <w:rPr>
          <w:rStyle w:val="Emphasis"/>
          <w:rFonts w:cs="Arial"/>
          <w:bCs/>
          <w:color w:val="4E1A74"/>
          <w:sz w:val="18"/>
          <w:szCs w:val="18"/>
        </w:rPr>
      </w:pPr>
      <w:r w:rsidRPr="00AF4FF3">
        <w:rPr>
          <w:rStyle w:val="Emphasis"/>
          <w:rFonts w:cs="Arial"/>
          <w:bCs/>
          <w:color w:val="4E1A74"/>
          <w:sz w:val="18"/>
          <w:szCs w:val="18"/>
        </w:rPr>
        <w:t>This report will be published on the ARPANSA website</w:t>
      </w:r>
    </w:p>
    <w:p w14:paraId="6B440D18" w14:textId="77777777" w:rsidR="0035687D" w:rsidRDefault="0035687D" w:rsidP="0035687D"/>
    <w:p w14:paraId="2CB7330D" w14:textId="77777777" w:rsidR="0035687D" w:rsidRDefault="0035687D" w:rsidP="0035687D"/>
    <w:sectPr w:rsidR="0035687D" w:rsidSect="002356D6">
      <w:headerReference w:type="default" r:id="rId8"/>
      <w:footerReference w:type="default" r:id="rId9"/>
      <w:headerReference w:type="first" r:id="rId10"/>
      <w:footerReference w:type="first" r:id="rId11"/>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98B45" w14:textId="77777777" w:rsidR="00090D8F" w:rsidRDefault="00090D8F" w:rsidP="00037687">
      <w:r>
        <w:separator/>
      </w:r>
    </w:p>
  </w:endnote>
  <w:endnote w:type="continuationSeparator" w:id="0">
    <w:p w14:paraId="7FF126D3" w14:textId="77777777" w:rsidR="00090D8F" w:rsidRDefault="00090D8F" w:rsidP="0003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23989" w14:textId="423CB67C" w:rsidR="00090D8F" w:rsidRPr="00FF6AB9" w:rsidRDefault="00090D8F" w:rsidP="007D153D">
    <w:pPr>
      <w:pStyle w:val="Footer"/>
      <w:tabs>
        <w:tab w:val="clear" w:pos="4513"/>
        <w:tab w:val="clear" w:pos="9026"/>
        <w:tab w:val="center" w:pos="4820"/>
        <w:tab w:val="right" w:pos="9639"/>
      </w:tabs>
      <w:spacing w:before="120" w:line="264" w:lineRule="auto"/>
      <w:rPr>
        <w:sz w:val="18"/>
      </w:rPr>
    </w:pPr>
    <w:r w:rsidRPr="00FF6AB9">
      <w:rPr>
        <w:noProof/>
        <w:sz w:val="18"/>
        <w:lang w:eastAsia="en-AU"/>
      </w:rPr>
      <w:drawing>
        <wp:anchor distT="0" distB="0" distL="114300" distR="114300" simplePos="0" relativeHeight="251663360" behindDoc="0" locked="0" layoutInCell="1" allowOverlap="1" wp14:anchorId="13FA5C17" wp14:editId="06AB914F">
          <wp:simplePos x="0" y="0"/>
          <wp:positionH relativeFrom="column">
            <wp:posOffset>0</wp:posOffset>
          </wp:positionH>
          <wp:positionV relativeFrom="paragraph">
            <wp:posOffset>175895</wp:posOffset>
          </wp:positionV>
          <wp:extent cx="6120000" cy="54000"/>
          <wp:effectExtent l="0" t="0" r="0" b="3175"/>
          <wp:wrapTopAndBottom/>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00B567CE">
      <w:rPr>
        <w:sz w:val="18"/>
      </w:rPr>
      <w:t>Inspection Report</w:t>
    </w:r>
    <w:r w:rsidRPr="00FF6AB9">
      <w:rPr>
        <w:sz w:val="18"/>
      </w:rPr>
      <w:tab/>
    </w:r>
    <w:r>
      <w:rPr>
        <w:sz w:val="18"/>
      </w:rPr>
      <w:t>April 2018</w:t>
    </w:r>
    <w:r w:rsidRPr="00FF6AB9">
      <w:rPr>
        <w:sz w:val="18"/>
      </w:rPr>
      <w:tab/>
    </w:r>
    <w:r w:rsidRPr="00FF6AB9">
      <w:rPr>
        <w:sz w:val="18"/>
      </w:rPr>
      <w:fldChar w:fldCharType="begin"/>
    </w:r>
    <w:r w:rsidRPr="00FF6AB9">
      <w:rPr>
        <w:sz w:val="18"/>
      </w:rPr>
      <w:instrText xml:space="preserve"> PAGE  \* Arabic  \* MERGEFORMAT </w:instrText>
    </w:r>
    <w:r w:rsidRPr="00FF6AB9">
      <w:rPr>
        <w:sz w:val="18"/>
      </w:rPr>
      <w:fldChar w:fldCharType="separate"/>
    </w:r>
    <w:r w:rsidR="00A311EE">
      <w:rPr>
        <w:noProof/>
        <w:sz w:val="18"/>
      </w:rPr>
      <w:t>4</w:t>
    </w:r>
    <w:r w:rsidRPr="00FF6AB9">
      <w:rPr>
        <w:sz w:val="18"/>
      </w:rPr>
      <w:fldChar w:fldCharType="end"/>
    </w:r>
    <w:r w:rsidRPr="00FF6AB9">
      <w:rPr>
        <w:sz w:val="18"/>
      </w:rPr>
      <w:t xml:space="preserve"> of </w:t>
    </w:r>
    <w:r w:rsidRPr="00FF6AB9">
      <w:rPr>
        <w:sz w:val="18"/>
      </w:rPr>
      <w:fldChar w:fldCharType="begin"/>
    </w:r>
    <w:r w:rsidRPr="00FF6AB9">
      <w:rPr>
        <w:sz w:val="18"/>
      </w:rPr>
      <w:instrText xml:space="preserve"> NUMPAGES  \* Arabic  \* MERGEFORMAT </w:instrText>
    </w:r>
    <w:r w:rsidRPr="00FF6AB9">
      <w:rPr>
        <w:sz w:val="18"/>
      </w:rPr>
      <w:fldChar w:fldCharType="separate"/>
    </w:r>
    <w:r w:rsidR="00A311EE">
      <w:rPr>
        <w:noProof/>
        <w:sz w:val="18"/>
      </w:rPr>
      <w:t>4</w:t>
    </w:r>
    <w:r w:rsidRPr="00FF6AB9">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80A2D" w14:textId="1F40C921" w:rsidR="00090D8F" w:rsidRDefault="00090D8F" w:rsidP="0041148A">
    <w:pPr>
      <w:tabs>
        <w:tab w:val="left" w:pos="4253"/>
        <w:tab w:val="right" w:pos="9639"/>
      </w:tabs>
      <w:spacing w:before="120" w:line="240" w:lineRule="auto"/>
      <w:rPr>
        <w:sz w:val="16"/>
      </w:rPr>
    </w:pPr>
    <w:r>
      <w:rPr>
        <w:sz w:val="16"/>
      </w:rPr>
      <w:t>REG-INS-FORM-280M-v9.1</w:t>
    </w:r>
    <w:r>
      <w:rPr>
        <w:sz w:val="16"/>
      </w:rPr>
      <w:tab/>
      <w:t>April 2018</w:t>
    </w:r>
    <w:r>
      <w:rPr>
        <w:sz w:val="16"/>
      </w:rPr>
      <w:tab/>
    </w:r>
    <w:r w:rsidRPr="008243FE">
      <w:rPr>
        <w:bCs/>
        <w:sz w:val="16"/>
      </w:rPr>
      <w:fldChar w:fldCharType="begin"/>
    </w:r>
    <w:r w:rsidRPr="008243FE">
      <w:rPr>
        <w:bCs/>
        <w:sz w:val="16"/>
      </w:rPr>
      <w:instrText xml:space="preserve"> PAGE  \* Arabic  \* MERGEFORMAT </w:instrText>
    </w:r>
    <w:r w:rsidRPr="008243FE">
      <w:rPr>
        <w:bCs/>
        <w:sz w:val="16"/>
      </w:rPr>
      <w:fldChar w:fldCharType="separate"/>
    </w:r>
    <w:r w:rsidR="00A311EE">
      <w:rPr>
        <w:bCs/>
        <w:noProof/>
        <w:sz w:val="16"/>
      </w:rPr>
      <w:t>1</w:t>
    </w:r>
    <w:r w:rsidRPr="008243FE">
      <w:rPr>
        <w:bCs/>
        <w:sz w:val="16"/>
      </w:rPr>
      <w:fldChar w:fldCharType="end"/>
    </w:r>
    <w:r w:rsidRPr="0067700D">
      <w:rPr>
        <w:sz w:val="16"/>
      </w:rPr>
      <w:t xml:space="preserve"> of </w:t>
    </w:r>
    <w:r w:rsidRPr="008243FE">
      <w:rPr>
        <w:bCs/>
        <w:sz w:val="16"/>
      </w:rPr>
      <w:fldChar w:fldCharType="begin"/>
    </w:r>
    <w:r w:rsidRPr="008243FE">
      <w:rPr>
        <w:bCs/>
        <w:sz w:val="16"/>
      </w:rPr>
      <w:instrText xml:space="preserve"> NUMPAGES  \* Arabic  \* MERGEFORMAT </w:instrText>
    </w:r>
    <w:r w:rsidRPr="008243FE">
      <w:rPr>
        <w:bCs/>
        <w:sz w:val="16"/>
      </w:rPr>
      <w:fldChar w:fldCharType="separate"/>
    </w:r>
    <w:r w:rsidR="00A311EE">
      <w:rPr>
        <w:bCs/>
        <w:noProof/>
        <w:sz w:val="16"/>
      </w:rPr>
      <w:t>4</w:t>
    </w:r>
    <w:r w:rsidRPr="008243FE">
      <w:rPr>
        <w:bCs/>
        <w:sz w:val="16"/>
      </w:rPr>
      <w:fldChar w:fldCharType="end"/>
    </w:r>
  </w:p>
  <w:p w14:paraId="62FB335E" w14:textId="77777777" w:rsidR="00090D8F" w:rsidRPr="002356D6" w:rsidRDefault="00090D8F" w:rsidP="007D153D">
    <w:pPr>
      <w:tabs>
        <w:tab w:val="left" w:pos="4253"/>
        <w:tab w:val="right" w:pos="9639"/>
      </w:tabs>
      <w:spacing w:before="120"/>
      <w:rPr>
        <w:sz w:val="16"/>
      </w:rPr>
    </w:pPr>
    <w:r w:rsidRPr="002356D6">
      <w:rPr>
        <w:noProof/>
        <w:sz w:val="16"/>
        <w:lang w:eastAsia="en-AU"/>
      </w:rPr>
      <w:drawing>
        <wp:anchor distT="0" distB="0" distL="114300" distR="114300" simplePos="0" relativeHeight="251661312" behindDoc="0" locked="0" layoutInCell="1" allowOverlap="1" wp14:anchorId="18EE4B7E" wp14:editId="08D2ECC1">
          <wp:simplePos x="0" y="0"/>
          <wp:positionH relativeFrom="column">
            <wp:posOffset>0</wp:posOffset>
          </wp:positionH>
          <wp:positionV relativeFrom="paragraph">
            <wp:posOffset>161290</wp:posOffset>
          </wp:positionV>
          <wp:extent cx="6120000" cy="54000"/>
          <wp:effectExtent l="0" t="0" r="0" b="3175"/>
          <wp:wrapTopAndBottom/>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Pr="002356D6">
      <w:rPr>
        <w:sz w:val="16"/>
      </w:rPr>
      <w:t>619 Lower Plenty Road, Yallambie VIC 3085</w:t>
    </w:r>
    <w:r w:rsidRPr="002356D6">
      <w:rPr>
        <w:sz w:val="16"/>
      </w:rPr>
      <w:tab/>
      <w:t>38–40 Urunga Parade, Miranda NSW 2228</w:t>
    </w:r>
    <w:r w:rsidRPr="002356D6">
      <w:rPr>
        <w:sz w:val="16"/>
      </w:rPr>
      <w:tab/>
      <w:t>info@arpansa.gov.au</w:t>
    </w:r>
    <w:r w:rsidRPr="002356D6">
      <w:rPr>
        <w:sz w:val="16"/>
      </w:rPr>
      <w:br/>
      <w:t>+61 3 94</w:t>
    </w:r>
    <w:r>
      <w:rPr>
        <w:sz w:val="16"/>
      </w:rPr>
      <w:t>33 2211</w:t>
    </w:r>
    <w:r>
      <w:rPr>
        <w:sz w:val="16"/>
      </w:rPr>
      <w:tab/>
      <w:t>PO Box 655, Miranda NSW 1490</w:t>
    </w:r>
    <w:r w:rsidRPr="002356D6">
      <w:rPr>
        <w:sz w:val="16"/>
      </w:rPr>
      <w:tab/>
      <w:t>arpansa.gov.au</w:t>
    </w:r>
    <w:r w:rsidRPr="002356D6">
      <w:rPr>
        <w:sz w:val="16"/>
      </w:rPr>
      <w:br/>
    </w:r>
    <w:r w:rsidRPr="002356D6">
      <w:rPr>
        <w:sz w:val="16"/>
      </w:rPr>
      <w:tab/>
      <w:t>+61 2 9541 8333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F8CB7" w14:textId="77777777" w:rsidR="00090D8F" w:rsidRDefault="00090D8F" w:rsidP="00037687">
      <w:r>
        <w:separator/>
      </w:r>
    </w:p>
  </w:footnote>
  <w:footnote w:type="continuationSeparator" w:id="0">
    <w:p w14:paraId="30F55AA3" w14:textId="77777777" w:rsidR="00090D8F" w:rsidRDefault="00090D8F" w:rsidP="00037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C6C3C" w14:textId="77777777" w:rsidR="00090D8F" w:rsidRPr="000B6360" w:rsidRDefault="00090D8F" w:rsidP="0035687D">
    <w:pPr>
      <w:pStyle w:val="Header"/>
      <w:jc w:val="center"/>
      <w:rPr>
        <w:color w:val="FF0000"/>
        <w:sz w:val="18"/>
      </w:rPr>
    </w:pPr>
    <w:r w:rsidRPr="000B6360">
      <w:rPr>
        <w:color w:val="FF0000"/>
        <w:sz w:val="18"/>
      </w:rPr>
      <w:t>UNCLASSIFIED</w:t>
    </w:r>
  </w:p>
  <w:p w14:paraId="0D7136A1" w14:textId="77777777" w:rsidR="00090D8F" w:rsidRDefault="00090D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D6D80" w14:textId="77777777" w:rsidR="00090D8F" w:rsidRDefault="00090D8F">
    <w:pPr>
      <w:pStyle w:val="Header"/>
    </w:pPr>
  </w:p>
  <w:p w14:paraId="350E92F4" w14:textId="77777777" w:rsidR="00090D8F" w:rsidRDefault="00090D8F">
    <w:pPr>
      <w:pStyle w:val="Header"/>
    </w:pPr>
    <w:r>
      <w:rPr>
        <w:noProof/>
        <w:lang w:eastAsia="en-AU"/>
      </w:rPr>
      <w:drawing>
        <wp:inline distT="0" distB="0" distL="0" distR="0" wp14:anchorId="7EF24AF4" wp14:editId="303268E1">
          <wp:extent cx="6120384" cy="731520"/>
          <wp:effectExtent l="0" t="0" r="0" b="0"/>
          <wp:docPr id="1" name="Picture 1" descr="ARPANSA logo and brand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384"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6CF3"/>
    <w:multiLevelType w:val="hybridMultilevel"/>
    <w:tmpl w:val="D372373E"/>
    <w:lvl w:ilvl="0" w:tplc="D16808AE">
      <w:start w:val="1"/>
      <w:numFmt w:val="bullet"/>
      <w:lvlText w:val="–"/>
      <w:lvlJc w:val="left"/>
      <w:pPr>
        <w:ind w:left="851" w:hanging="284"/>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AE291F"/>
    <w:multiLevelType w:val="hybridMultilevel"/>
    <w:tmpl w:val="A6C44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EA6E5A"/>
    <w:multiLevelType w:val="multilevel"/>
    <w:tmpl w:val="5B8A12AC"/>
    <w:lvl w:ilvl="0">
      <w:start w:val="1"/>
      <w:numFmt w:val="bullet"/>
      <w:lvlText w:val=""/>
      <w:lvlJc w:val="left"/>
      <w:pPr>
        <w:ind w:left="397" w:hanging="397"/>
      </w:pPr>
      <w:rPr>
        <w:rFonts w:ascii="Symbol" w:hAnsi="Symbol" w:hint="default"/>
      </w:rPr>
    </w:lvl>
    <w:lvl w:ilvl="1">
      <w:start w:val="1"/>
      <w:numFmt w:val="bullet"/>
      <w:lvlText w:val="–"/>
      <w:lvlJc w:val="left"/>
      <w:pPr>
        <w:ind w:left="397" w:firstLine="0"/>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3" w15:restartNumberingAfterBreak="0">
    <w:nsid w:val="29F90347"/>
    <w:multiLevelType w:val="hybridMultilevel"/>
    <w:tmpl w:val="B9E40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8763989"/>
    <w:multiLevelType w:val="hybridMultilevel"/>
    <w:tmpl w:val="016CE1F4"/>
    <w:lvl w:ilvl="0" w:tplc="DFB81DB4">
      <w:start w:val="1"/>
      <w:numFmt w:val="bullet"/>
      <w:pStyle w:val="ListParagraph"/>
      <w:lvlText w:val=""/>
      <w:lvlJc w:val="left"/>
      <w:pPr>
        <w:ind w:left="360" w:hanging="360"/>
      </w:pPr>
      <w:rPr>
        <w:rFonts w:ascii="Symbol" w:hAnsi="Symbol" w:hint="default"/>
      </w:rPr>
    </w:lvl>
    <w:lvl w:ilvl="1" w:tplc="D16808AE">
      <w:start w:val="1"/>
      <w:numFmt w:val="bullet"/>
      <w:lvlText w:val="–"/>
      <w:lvlJc w:val="left"/>
      <w:pPr>
        <w:ind w:left="851" w:hanging="284"/>
      </w:pPr>
      <w:rPr>
        <w:rFonts w:ascii="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8F55488"/>
    <w:multiLevelType w:val="hybridMultilevel"/>
    <w:tmpl w:val="8C425E06"/>
    <w:lvl w:ilvl="0" w:tplc="E9282266">
      <w:start w:val="1"/>
      <w:numFmt w:val="bullet"/>
      <w:lvlText w:val=""/>
      <w:lvlJc w:val="left"/>
      <w:pPr>
        <w:ind w:left="360" w:hanging="360"/>
      </w:pPr>
      <w:rPr>
        <w:rFonts w:ascii="Symbol" w:hAnsi="Symbol" w:hint="default"/>
      </w:rPr>
    </w:lvl>
    <w:lvl w:ilvl="1" w:tplc="DB783390">
      <w:start w:val="1"/>
      <w:numFmt w:val="bullet"/>
      <w:lvlText w:val="o"/>
      <w:lvlJc w:val="left"/>
      <w:pPr>
        <w:ind w:left="851" w:hanging="284"/>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A713109"/>
    <w:multiLevelType w:val="hybridMultilevel"/>
    <w:tmpl w:val="1BFE4A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8C56B5A"/>
    <w:multiLevelType w:val="hybridMultilevel"/>
    <w:tmpl w:val="6E706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2F7925"/>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9" w15:restartNumberingAfterBreak="0">
    <w:nsid w:val="4D53370F"/>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0" w15:restartNumberingAfterBreak="0">
    <w:nsid w:val="559D40BD"/>
    <w:multiLevelType w:val="multilevel"/>
    <w:tmpl w:val="E8B4BE72"/>
    <w:styleLink w:val="List0"/>
    <w:lvl w:ilvl="0">
      <w:start w:val="1"/>
      <w:numFmt w:val="decimal"/>
      <w:lvlText w:val="%1."/>
      <w:lvlJc w:val="left"/>
      <w:pPr>
        <w:tabs>
          <w:tab w:val="num" w:pos="692"/>
        </w:tabs>
        <w:ind w:left="692" w:hanging="332"/>
      </w:pPr>
      <w:rPr>
        <w:rFonts w:ascii="Cambria" w:eastAsia="Times New Roman" w:hAnsi="Cambria" w:cs="Cambria"/>
        <w:position w:val="0"/>
        <w:sz w:val="28"/>
        <w:szCs w:val="28"/>
      </w:rPr>
    </w:lvl>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 w:ilvl="3">
      <w:start w:val="1"/>
      <w:numFmt w:val="decimal"/>
      <w:lvlText w:val="%4."/>
      <w:lvlJc w:val="left"/>
      <w:pPr>
        <w:tabs>
          <w:tab w:val="num" w:pos="2880"/>
        </w:tabs>
        <w:ind w:left="2880" w:hanging="360"/>
      </w:pPr>
      <w:rPr>
        <w:rFonts w:ascii="Cambria" w:eastAsia="Times New Roman" w:hAnsi="Cambria" w:cs="Cambria"/>
        <w:position w:val="0"/>
        <w:sz w:val="24"/>
        <w:szCs w:val="24"/>
      </w:rPr>
    </w:lvl>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 w:ilvl="6">
      <w:start w:val="1"/>
      <w:numFmt w:val="decimal"/>
      <w:lvlText w:val="%7."/>
      <w:lvlJc w:val="left"/>
      <w:pPr>
        <w:tabs>
          <w:tab w:val="num" w:pos="5040"/>
        </w:tabs>
        <w:ind w:left="5040" w:hanging="360"/>
      </w:pPr>
      <w:rPr>
        <w:rFonts w:ascii="Cambria" w:eastAsia="Times New Roman" w:hAnsi="Cambria" w:cs="Cambria"/>
        <w:position w:val="0"/>
        <w:sz w:val="24"/>
        <w:szCs w:val="24"/>
      </w:rPr>
    </w:lvl>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 w:ilvl="8">
      <w:start w:val="1"/>
      <w:numFmt w:val="lowerRoman"/>
      <w:lvlText w:val="%9."/>
      <w:lvlJc w:val="left"/>
      <w:pPr>
        <w:tabs>
          <w:tab w:val="num" w:pos="6480"/>
        </w:tabs>
        <w:ind w:left="6480" w:hanging="296"/>
      </w:pPr>
      <w:rPr>
        <w:rFonts w:ascii="Cambria" w:eastAsia="Times New Roman" w:hAnsi="Cambria" w:cs="Cambria"/>
        <w:position w:val="0"/>
        <w:sz w:val="24"/>
        <w:szCs w:val="24"/>
      </w:rPr>
    </w:lvl>
  </w:abstractNum>
  <w:abstractNum w:abstractNumId="11" w15:restartNumberingAfterBreak="0">
    <w:nsid w:val="5FE93366"/>
    <w:multiLevelType w:val="hybridMultilevel"/>
    <w:tmpl w:val="0EF8811A"/>
    <w:lvl w:ilvl="0" w:tplc="1FB26854">
      <w:start w:val="1"/>
      <w:numFmt w:val="decimal"/>
      <w:lvlText w:val="%1."/>
      <w:lvlJc w:val="left"/>
      <w:pPr>
        <w:ind w:left="1440" w:hanging="360"/>
      </w:pPr>
      <w:rPr>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70511DA4"/>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num w:numId="1">
    <w:abstractNumId w:val="1"/>
  </w:num>
  <w:num w:numId="2">
    <w:abstractNumId w:val="5"/>
  </w:num>
  <w:num w:numId="3">
    <w:abstractNumId w:val="7"/>
  </w:num>
  <w:num w:numId="4">
    <w:abstractNumId w:val="4"/>
  </w:num>
  <w:num w:numId="5">
    <w:abstractNumId w:val="6"/>
  </w:num>
  <w:num w:numId="6">
    <w:abstractNumId w:val="10"/>
    <w:lvlOverride w:ilvl="0">
      <w:lvl w:ilvl="0">
        <w:start w:val="1"/>
        <w:numFmt w:val="decimal"/>
        <w:lvlText w:val="%1."/>
        <w:lvlJc w:val="left"/>
        <w:pPr>
          <w:tabs>
            <w:tab w:val="num" w:pos="692"/>
          </w:tabs>
          <w:ind w:left="692" w:hanging="332"/>
        </w:pPr>
        <w:rPr>
          <w:rFonts w:ascii="Cambria" w:eastAsia="Times New Roman" w:hAnsi="Cambria" w:cs="Cambria"/>
          <w:position w:val="0"/>
          <w:sz w:val="26"/>
          <w:szCs w:val="26"/>
        </w:rPr>
      </w:lvl>
    </w:lvlOverride>
    <w:lvlOverride w:ilvl="1">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Override>
    <w:lvlOverride w:ilvl="2">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Override>
    <w:lvlOverride w:ilvl="3">
      <w:lvl w:ilvl="3">
        <w:start w:val="1"/>
        <w:numFmt w:val="decimal"/>
        <w:lvlText w:val="%4."/>
        <w:lvlJc w:val="left"/>
        <w:pPr>
          <w:tabs>
            <w:tab w:val="num" w:pos="2880"/>
          </w:tabs>
          <w:ind w:left="2880" w:hanging="360"/>
        </w:pPr>
        <w:rPr>
          <w:rFonts w:ascii="Cambria" w:eastAsia="Times New Roman" w:hAnsi="Cambria" w:cs="Cambria"/>
          <w:position w:val="0"/>
          <w:sz w:val="24"/>
          <w:szCs w:val="24"/>
        </w:rPr>
      </w:lvl>
    </w:lvlOverride>
    <w:lvlOverride w:ilvl="4">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Override>
    <w:lvlOverride w:ilvl="5">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Override>
    <w:lvlOverride w:ilvl="6">
      <w:lvl w:ilvl="6">
        <w:start w:val="1"/>
        <w:numFmt w:val="decimal"/>
        <w:lvlText w:val="%7."/>
        <w:lvlJc w:val="left"/>
        <w:pPr>
          <w:tabs>
            <w:tab w:val="num" w:pos="5040"/>
          </w:tabs>
          <w:ind w:left="5040" w:hanging="360"/>
        </w:pPr>
        <w:rPr>
          <w:rFonts w:ascii="Cambria" w:eastAsia="Times New Roman" w:hAnsi="Cambria" w:cs="Cambria"/>
          <w:position w:val="0"/>
          <w:sz w:val="24"/>
          <w:szCs w:val="24"/>
        </w:rPr>
      </w:lvl>
    </w:lvlOverride>
    <w:lvlOverride w:ilvl="7">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Override>
    <w:lvlOverride w:ilvl="8">
      <w:lvl w:ilvl="8">
        <w:start w:val="1"/>
        <w:numFmt w:val="lowerRoman"/>
        <w:lvlText w:val="%9."/>
        <w:lvlJc w:val="left"/>
        <w:pPr>
          <w:tabs>
            <w:tab w:val="num" w:pos="6480"/>
          </w:tabs>
          <w:ind w:left="6480" w:hanging="296"/>
        </w:pPr>
        <w:rPr>
          <w:rFonts w:ascii="Cambria" w:eastAsia="Times New Roman" w:hAnsi="Cambria" w:cs="Cambria"/>
          <w:position w:val="0"/>
          <w:sz w:val="24"/>
          <w:szCs w:val="24"/>
        </w:rPr>
      </w:lvl>
    </w:lvlOverride>
  </w:num>
  <w:num w:numId="7">
    <w:abstractNumId w:val="10"/>
  </w:num>
  <w:num w:numId="8">
    <w:abstractNumId w:val="0"/>
  </w:num>
  <w:num w:numId="9">
    <w:abstractNumId w:val="12"/>
  </w:num>
  <w:num w:numId="10">
    <w:abstractNumId w:val="2"/>
  </w:num>
  <w:num w:numId="11">
    <w:abstractNumId w:val="8"/>
  </w:num>
  <w:num w:numId="12">
    <w:abstractNumId w:val="9"/>
  </w:num>
  <w:num w:numId="13">
    <w:abstractNumId w:val="11"/>
  </w:num>
  <w:num w:numId="14">
    <w:abstractNumId w:val="11"/>
    <w:lvlOverride w:ilvl="0">
      <w:startOverride w:val="1"/>
    </w:lvlOverride>
  </w:num>
  <w:num w:numId="15">
    <w:abstractNumId w:val="11"/>
    <w:lvlOverride w:ilvl="0">
      <w:startOverride w:val="1"/>
    </w:lvlOverride>
  </w:num>
  <w:num w:numId="16">
    <w:abstractNumId w:val="11"/>
    <w:lvlOverride w:ilvl="0">
      <w:startOverride w:val="1"/>
    </w:lvlOverride>
  </w:num>
  <w:num w:numId="17">
    <w:abstractNumId w:val="11"/>
    <w:lvlOverride w:ilvl="0">
      <w:startOverride w:val="1"/>
    </w:lvlOverride>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805"/>
    <w:rsid w:val="00002B55"/>
    <w:rsid w:val="000052D6"/>
    <w:rsid w:val="000257F5"/>
    <w:rsid w:val="00037687"/>
    <w:rsid w:val="0005065D"/>
    <w:rsid w:val="00054890"/>
    <w:rsid w:val="00054BA9"/>
    <w:rsid w:val="0006551D"/>
    <w:rsid w:val="00066B27"/>
    <w:rsid w:val="00066B75"/>
    <w:rsid w:val="00082E26"/>
    <w:rsid w:val="00090D8F"/>
    <w:rsid w:val="000917AA"/>
    <w:rsid w:val="000A06A0"/>
    <w:rsid w:val="000D27C8"/>
    <w:rsid w:val="000D4CD5"/>
    <w:rsid w:val="000D5667"/>
    <w:rsid w:val="000E04B4"/>
    <w:rsid w:val="000E08FD"/>
    <w:rsid w:val="000E1BA1"/>
    <w:rsid w:val="000E3CE0"/>
    <w:rsid w:val="000F3AB1"/>
    <w:rsid w:val="000F73FB"/>
    <w:rsid w:val="0010348D"/>
    <w:rsid w:val="00106708"/>
    <w:rsid w:val="00110567"/>
    <w:rsid w:val="001257E7"/>
    <w:rsid w:val="001301EC"/>
    <w:rsid w:val="001418E6"/>
    <w:rsid w:val="0014771C"/>
    <w:rsid w:val="001903E9"/>
    <w:rsid w:val="00192A8D"/>
    <w:rsid w:val="00196220"/>
    <w:rsid w:val="001A11CB"/>
    <w:rsid w:val="001A1B72"/>
    <w:rsid w:val="001B069A"/>
    <w:rsid w:val="001C1366"/>
    <w:rsid w:val="001E6042"/>
    <w:rsid w:val="001E6ABB"/>
    <w:rsid w:val="001F5B95"/>
    <w:rsid w:val="00211B48"/>
    <w:rsid w:val="00215E40"/>
    <w:rsid w:val="002356D6"/>
    <w:rsid w:val="002449F3"/>
    <w:rsid w:val="0025573F"/>
    <w:rsid w:val="0026471A"/>
    <w:rsid w:val="00281DA2"/>
    <w:rsid w:val="00285545"/>
    <w:rsid w:val="002C2D8C"/>
    <w:rsid w:val="002D2F31"/>
    <w:rsid w:val="003014F6"/>
    <w:rsid w:val="00317314"/>
    <w:rsid w:val="00327077"/>
    <w:rsid w:val="003321CB"/>
    <w:rsid w:val="0035687D"/>
    <w:rsid w:val="0036518D"/>
    <w:rsid w:val="00370113"/>
    <w:rsid w:val="00380EE9"/>
    <w:rsid w:val="00390E55"/>
    <w:rsid w:val="003939E0"/>
    <w:rsid w:val="003A08B0"/>
    <w:rsid w:val="003B0414"/>
    <w:rsid w:val="003B0D78"/>
    <w:rsid w:val="003C0DA8"/>
    <w:rsid w:val="003D2646"/>
    <w:rsid w:val="003D265D"/>
    <w:rsid w:val="003E4442"/>
    <w:rsid w:val="003F4BB3"/>
    <w:rsid w:val="0040014B"/>
    <w:rsid w:val="0041148A"/>
    <w:rsid w:val="00412CF8"/>
    <w:rsid w:val="0041670D"/>
    <w:rsid w:val="00426649"/>
    <w:rsid w:val="00434381"/>
    <w:rsid w:val="004347BD"/>
    <w:rsid w:val="004359C3"/>
    <w:rsid w:val="004577AE"/>
    <w:rsid w:val="00466164"/>
    <w:rsid w:val="0049674B"/>
    <w:rsid w:val="004B574C"/>
    <w:rsid w:val="004E4746"/>
    <w:rsid w:val="004F5912"/>
    <w:rsid w:val="004F5A69"/>
    <w:rsid w:val="004F71E7"/>
    <w:rsid w:val="005066AC"/>
    <w:rsid w:val="00506A30"/>
    <w:rsid w:val="00527081"/>
    <w:rsid w:val="00530480"/>
    <w:rsid w:val="00537A50"/>
    <w:rsid w:val="00542474"/>
    <w:rsid w:val="0054455D"/>
    <w:rsid w:val="00546925"/>
    <w:rsid w:val="00561136"/>
    <w:rsid w:val="00570B3E"/>
    <w:rsid w:val="00570B6F"/>
    <w:rsid w:val="0058187B"/>
    <w:rsid w:val="00584167"/>
    <w:rsid w:val="00586DAE"/>
    <w:rsid w:val="005B28E2"/>
    <w:rsid w:val="005B4ABD"/>
    <w:rsid w:val="005E1F53"/>
    <w:rsid w:val="006011C5"/>
    <w:rsid w:val="00610CF5"/>
    <w:rsid w:val="00621F3A"/>
    <w:rsid w:val="006303FC"/>
    <w:rsid w:val="00654580"/>
    <w:rsid w:val="00675E49"/>
    <w:rsid w:val="006866C6"/>
    <w:rsid w:val="006948B0"/>
    <w:rsid w:val="006A62FE"/>
    <w:rsid w:val="006A75F0"/>
    <w:rsid w:val="006D65BF"/>
    <w:rsid w:val="006E1097"/>
    <w:rsid w:val="006E3D72"/>
    <w:rsid w:val="006E59E8"/>
    <w:rsid w:val="00751131"/>
    <w:rsid w:val="00751428"/>
    <w:rsid w:val="0075727A"/>
    <w:rsid w:val="007820A2"/>
    <w:rsid w:val="00787C08"/>
    <w:rsid w:val="00792F38"/>
    <w:rsid w:val="007A0993"/>
    <w:rsid w:val="007A14CE"/>
    <w:rsid w:val="007A3C18"/>
    <w:rsid w:val="007A6250"/>
    <w:rsid w:val="007A70EC"/>
    <w:rsid w:val="007C5385"/>
    <w:rsid w:val="007D153D"/>
    <w:rsid w:val="007D376E"/>
    <w:rsid w:val="007F2A07"/>
    <w:rsid w:val="0083264F"/>
    <w:rsid w:val="0083547A"/>
    <w:rsid w:val="008359EC"/>
    <w:rsid w:val="00841065"/>
    <w:rsid w:val="00870C7C"/>
    <w:rsid w:val="008815A0"/>
    <w:rsid w:val="00883534"/>
    <w:rsid w:val="0088544F"/>
    <w:rsid w:val="008B0E7E"/>
    <w:rsid w:val="008C2927"/>
    <w:rsid w:val="008C33A7"/>
    <w:rsid w:val="008E1705"/>
    <w:rsid w:val="008F6FFF"/>
    <w:rsid w:val="009116DA"/>
    <w:rsid w:val="00930805"/>
    <w:rsid w:val="00944CAC"/>
    <w:rsid w:val="0094711F"/>
    <w:rsid w:val="00962843"/>
    <w:rsid w:val="00962950"/>
    <w:rsid w:val="00985B21"/>
    <w:rsid w:val="00987824"/>
    <w:rsid w:val="0099063F"/>
    <w:rsid w:val="00996CD7"/>
    <w:rsid w:val="00997DB8"/>
    <w:rsid w:val="009A299B"/>
    <w:rsid w:val="009A7F99"/>
    <w:rsid w:val="009F3F6D"/>
    <w:rsid w:val="00A11301"/>
    <w:rsid w:val="00A214FF"/>
    <w:rsid w:val="00A311EE"/>
    <w:rsid w:val="00A65811"/>
    <w:rsid w:val="00A67E69"/>
    <w:rsid w:val="00A83CE3"/>
    <w:rsid w:val="00A847BC"/>
    <w:rsid w:val="00A8520D"/>
    <w:rsid w:val="00A86273"/>
    <w:rsid w:val="00AB6DA9"/>
    <w:rsid w:val="00AC17CC"/>
    <w:rsid w:val="00AD2D61"/>
    <w:rsid w:val="00AD63FC"/>
    <w:rsid w:val="00B033BF"/>
    <w:rsid w:val="00B24723"/>
    <w:rsid w:val="00B26DC3"/>
    <w:rsid w:val="00B46C79"/>
    <w:rsid w:val="00B54750"/>
    <w:rsid w:val="00B567CE"/>
    <w:rsid w:val="00B67259"/>
    <w:rsid w:val="00B81CC5"/>
    <w:rsid w:val="00B97FAB"/>
    <w:rsid w:val="00BA0F58"/>
    <w:rsid w:val="00BA2507"/>
    <w:rsid w:val="00BB067C"/>
    <w:rsid w:val="00BC3A5D"/>
    <w:rsid w:val="00BE0B05"/>
    <w:rsid w:val="00BE37D3"/>
    <w:rsid w:val="00BE6683"/>
    <w:rsid w:val="00C026FE"/>
    <w:rsid w:val="00C10525"/>
    <w:rsid w:val="00C42806"/>
    <w:rsid w:val="00C621C2"/>
    <w:rsid w:val="00C721DD"/>
    <w:rsid w:val="00C736C7"/>
    <w:rsid w:val="00C81FFC"/>
    <w:rsid w:val="00C90747"/>
    <w:rsid w:val="00C964BB"/>
    <w:rsid w:val="00CA321D"/>
    <w:rsid w:val="00CB1519"/>
    <w:rsid w:val="00CC0C7D"/>
    <w:rsid w:val="00CC1541"/>
    <w:rsid w:val="00CD2D0C"/>
    <w:rsid w:val="00CD49CA"/>
    <w:rsid w:val="00CE0F50"/>
    <w:rsid w:val="00CE7852"/>
    <w:rsid w:val="00CF70FA"/>
    <w:rsid w:val="00D22F8B"/>
    <w:rsid w:val="00D24A37"/>
    <w:rsid w:val="00D33C69"/>
    <w:rsid w:val="00D54BC9"/>
    <w:rsid w:val="00D70D97"/>
    <w:rsid w:val="00D770E7"/>
    <w:rsid w:val="00D87798"/>
    <w:rsid w:val="00DB7C7F"/>
    <w:rsid w:val="00DD362A"/>
    <w:rsid w:val="00DE4D18"/>
    <w:rsid w:val="00E23ECD"/>
    <w:rsid w:val="00E25BD4"/>
    <w:rsid w:val="00E32A56"/>
    <w:rsid w:val="00E54D3A"/>
    <w:rsid w:val="00EA040F"/>
    <w:rsid w:val="00EE7D25"/>
    <w:rsid w:val="00F04680"/>
    <w:rsid w:val="00F04E9D"/>
    <w:rsid w:val="00F11B6B"/>
    <w:rsid w:val="00F30B42"/>
    <w:rsid w:val="00F372A5"/>
    <w:rsid w:val="00F43B7A"/>
    <w:rsid w:val="00F43D73"/>
    <w:rsid w:val="00F55644"/>
    <w:rsid w:val="00F72984"/>
    <w:rsid w:val="00F768C6"/>
    <w:rsid w:val="00F76C8C"/>
    <w:rsid w:val="00F81B19"/>
    <w:rsid w:val="00F87EA5"/>
    <w:rsid w:val="00F90C39"/>
    <w:rsid w:val="00F919B6"/>
    <w:rsid w:val="00FA766C"/>
    <w:rsid w:val="00FF6A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2623C62"/>
  <w15:docId w15:val="{55E9B9D3-4A09-47F7-9D91-800E22902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44444"/>
        <w:sz w:val="22"/>
        <w:szCs w:val="22"/>
        <w:lang w:val="en-AU" w:eastAsia="en-US" w:bidi="ar-SA"/>
      </w:rPr>
    </w:rPrDefault>
    <w:pPrDefault>
      <w:pPr>
        <w:spacing w:before="24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E26"/>
  </w:style>
  <w:style w:type="paragraph" w:styleId="Heading1">
    <w:name w:val="heading 1"/>
    <w:basedOn w:val="Normal"/>
    <w:next w:val="Normal"/>
    <w:link w:val="Heading1Char"/>
    <w:uiPriority w:val="9"/>
    <w:qFormat/>
    <w:rsid w:val="00082E26"/>
    <w:pPr>
      <w:keepNext/>
      <w:keepLines/>
      <w:spacing w:before="480"/>
      <w:outlineLvl w:val="0"/>
    </w:pPr>
    <w:rPr>
      <w:rFonts w:ascii="Calibri" w:eastAsiaTheme="majorEastAsia" w:hAnsi="Calibri" w:cstheme="majorBidi"/>
      <w:b/>
      <w:bCs/>
      <w:color w:val="4E1A74"/>
      <w:sz w:val="32"/>
      <w:szCs w:val="28"/>
    </w:rPr>
  </w:style>
  <w:style w:type="paragraph" w:styleId="Heading2">
    <w:name w:val="heading 2"/>
    <w:basedOn w:val="Normal"/>
    <w:next w:val="Normal"/>
    <w:link w:val="Heading2Char"/>
    <w:uiPriority w:val="9"/>
    <w:unhideWhenUsed/>
    <w:qFormat/>
    <w:rsid w:val="00082E26"/>
    <w:pPr>
      <w:keepNext/>
      <w:keepLines/>
      <w:outlineLvl w:val="1"/>
    </w:pPr>
    <w:rPr>
      <w:rFonts w:ascii="Calibri" w:eastAsiaTheme="majorEastAsia" w:hAnsi="Calibri" w:cstheme="majorBidi"/>
      <w:b/>
      <w:bCs/>
      <w:color w:val="4E1A74"/>
      <w:sz w:val="26"/>
      <w:szCs w:val="26"/>
    </w:rPr>
  </w:style>
  <w:style w:type="paragraph" w:styleId="Heading3">
    <w:name w:val="heading 3"/>
    <w:basedOn w:val="Normal"/>
    <w:next w:val="Normal"/>
    <w:link w:val="Heading3Char"/>
    <w:uiPriority w:val="9"/>
    <w:unhideWhenUsed/>
    <w:qFormat/>
    <w:rsid w:val="00082E26"/>
    <w:pPr>
      <w:keepNext/>
      <w:keepLines/>
      <w:outlineLvl w:val="2"/>
    </w:pPr>
    <w:rPr>
      <w:rFonts w:eastAsiaTheme="majorEastAsia" w:cstheme="majorBidi"/>
      <w:b/>
      <w:bCs/>
      <w:i/>
      <w:color w:val="4E1A74"/>
      <w:sz w:val="24"/>
    </w:rPr>
  </w:style>
  <w:style w:type="paragraph" w:styleId="Heading4">
    <w:name w:val="heading 4"/>
    <w:basedOn w:val="Normal"/>
    <w:next w:val="Normal"/>
    <w:link w:val="Heading4Char"/>
    <w:uiPriority w:val="9"/>
    <w:unhideWhenUsed/>
    <w:qFormat/>
    <w:rsid w:val="003D265D"/>
    <w:pPr>
      <w:keepNext/>
      <w:keepLines/>
      <w:spacing w:before="200"/>
      <w:outlineLvl w:val="3"/>
    </w:pPr>
    <w:rPr>
      <w:rFonts w:ascii="Calibri" w:eastAsiaTheme="majorEastAsia" w:hAnsi="Calibr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20D"/>
    <w:pPr>
      <w:numPr>
        <w:numId w:val="4"/>
      </w:numPr>
      <w:spacing w:before="120"/>
    </w:pPr>
  </w:style>
  <w:style w:type="character" w:customStyle="1" w:styleId="Heading1Char">
    <w:name w:val="Heading 1 Char"/>
    <w:basedOn w:val="DefaultParagraphFont"/>
    <w:link w:val="Heading1"/>
    <w:uiPriority w:val="9"/>
    <w:rsid w:val="00082E26"/>
    <w:rPr>
      <w:rFonts w:ascii="Calibri" w:eastAsiaTheme="majorEastAsia" w:hAnsi="Calibri" w:cstheme="majorBidi"/>
      <w:b/>
      <w:bCs/>
      <w:color w:val="4E1A74"/>
      <w:sz w:val="32"/>
      <w:szCs w:val="28"/>
    </w:rPr>
  </w:style>
  <w:style w:type="character" w:customStyle="1" w:styleId="Heading2Char">
    <w:name w:val="Heading 2 Char"/>
    <w:basedOn w:val="DefaultParagraphFont"/>
    <w:link w:val="Heading2"/>
    <w:uiPriority w:val="9"/>
    <w:rsid w:val="00082E26"/>
    <w:rPr>
      <w:rFonts w:ascii="Calibri" w:eastAsiaTheme="majorEastAsia" w:hAnsi="Calibri" w:cstheme="majorBidi"/>
      <w:b/>
      <w:bCs/>
      <w:color w:val="4E1A74"/>
      <w:sz w:val="26"/>
      <w:szCs w:val="26"/>
    </w:rPr>
  </w:style>
  <w:style w:type="paragraph" w:styleId="Title">
    <w:name w:val="Title"/>
    <w:basedOn w:val="Normal"/>
    <w:next w:val="Normal"/>
    <w:link w:val="TitleChar"/>
    <w:uiPriority w:val="10"/>
    <w:qFormat/>
    <w:rsid w:val="00082E26"/>
    <w:pPr>
      <w:spacing w:before="360" w:line="240" w:lineRule="auto"/>
      <w:contextualSpacing/>
      <w:jc w:val="center"/>
    </w:pPr>
    <w:rPr>
      <w:rFonts w:ascii="Calibri" w:eastAsiaTheme="majorEastAsia" w:hAnsi="Calibri" w:cstheme="majorBidi"/>
      <w:b/>
      <w:color w:val="4E1A74"/>
      <w:spacing w:val="5"/>
      <w:kern w:val="28"/>
      <w:sz w:val="52"/>
      <w:szCs w:val="52"/>
    </w:rPr>
  </w:style>
  <w:style w:type="character" w:customStyle="1" w:styleId="TitleChar">
    <w:name w:val="Title Char"/>
    <w:basedOn w:val="DefaultParagraphFont"/>
    <w:link w:val="Title"/>
    <w:uiPriority w:val="10"/>
    <w:rsid w:val="00082E26"/>
    <w:rPr>
      <w:rFonts w:ascii="Calibri" w:eastAsiaTheme="majorEastAsia" w:hAnsi="Calibri" w:cstheme="majorBidi"/>
      <w:b/>
      <w:color w:val="4E1A74"/>
      <w:spacing w:val="5"/>
      <w:kern w:val="28"/>
      <w:sz w:val="52"/>
      <w:szCs w:val="52"/>
    </w:rPr>
  </w:style>
  <w:style w:type="paragraph" w:styleId="Subtitle">
    <w:name w:val="Subtitle"/>
    <w:basedOn w:val="Normal"/>
    <w:next w:val="Normal"/>
    <w:link w:val="SubtitleChar"/>
    <w:uiPriority w:val="11"/>
    <w:qFormat/>
    <w:rsid w:val="00D70D97"/>
    <w:pPr>
      <w:numPr>
        <w:ilvl w:val="1"/>
      </w:numPr>
    </w:pPr>
    <w:rPr>
      <w:rFonts w:ascii="Calibri" w:eastAsiaTheme="majorEastAsia" w:hAnsi="Calibri" w:cstheme="majorBidi"/>
      <w:i/>
      <w:iCs/>
      <w:color w:val="4E1A74"/>
      <w:spacing w:val="15"/>
      <w:sz w:val="24"/>
      <w:szCs w:val="24"/>
    </w:rPr>
  </w:style>
  <w:style w:type="character" w:customStyle="1" w:styleId="SubtitleChar">
    <w:name w:val="Subtitle Char"/>
    <w:basedOn w:val="DefaultParagraphFont"/>
    <w:link w:val="Subtitle"/>
    <w:uiPriority w:val="11"/>
    <w:rsid w:val="00D70D97"/>
    <w:rPr>
      <w:rFonts w:ascii="Calibri" w:eastAsiaTheme="majorEastAsia" w:hAnsi="Calibri" w:cstheme="majorBidi"/>
      <w:i/>
      <w:iCs/>
      <w:color w:val="4E1A74"/>
      <w:spacing w:val="15"/>
      <w:sz w:val="24"/>
      <w:szCs w:val="24"/>
    </w:rPr>
  </w:style>
  <w:style w:type="paragraph" w:styleId="FootnoteText">
    <w:name w:val="footnote text"/>
    <w:basedOn w:val="Normal"/>
    <w:link w:val="FootnoteTextChar"/>
    <w:uiPriority w:val="99"/>
    <w:qFormat/>
    <w:rsid w:val="00570B3E"/>
    <w:pPr>
      <w:spacing w:before="60" w:line="240" w:lineRule="auto"/>
      <w:ind w:left="284" w:hanging="284"/>
    </w:pPr>
    <w:rPr>
      <w:sz w:val="18"/>
      <w:szCs w:val="20"/>
    </w:rPr>
  </w:style>
  <w:style w:type="character" w:customStyle="1" w:styleId="FootnoteTextChar">
    <w:name w:val="Footnote Text Char"/>
    <w:basedOn w:val="DefaultParagraphFont"/>
    <w:link w:val="FootnoteText"/>
    <w:uiPriority w:val="99"/>
    <w:rsid w:val="00570B3E"/>
    <w:rPr>
      <w:color w:val="444448"/>
      <w:sz w:val="18"/>
      <w:szCs w:val="20"/>
    </w:rPr>
  </w:style>
  <w:style w:type="character" w:styleId="FootnoteReference">
    <w:name w:val="footnote reference"/>
    <w:basedOn w:val="DefaultParagraphFont"/>
    <w:uiPriority w:val="99"/>
    <w:semiHidden/>
    <w:unhideWhenUsed/>
    <w:rsid w:val="00AB6DA9"/>
    <w:rPr>
      <w:vertAlign w:val="superscript"/>
    </w:rPr>
  </w:style>
  <w:style w:type="character" w:styleId="Hyperlink">
    <w:name w:val="Hyperlink"/>
    <w:basedOn w:val="DefaultParagraphFont"/>
    <w:uiPriority w:val="99"/>
    <w:unhideWhenUsed/>
    <w:rsid w:val="00D70D97"/>
    <w:rPr>
      <w:color w:val="4E1A74" w:themeColor="hyperlink"/>
      <w:u w:val="single"/>
    </w:rPr>
  </w:style>
  <w:style w:type="character" w:styleId="FollowedHyperlink">
    <w:name w:val="FollowedHyperlink"/>
    <w:basedOn w:val="DefaultParagraphFont"/>
    <w:uiPriority w:val="99"/>
    <w:semiHidden/>
    <w:unhideWhenUsed/>
    <w:rsid w:val="00D70D97"/>
    <w:rPr>
      <w:color w:val="800080" w:themeColor="followedHyperlink"/>
      <w:u w:val="single"/>
    </w:rPr>
  </w:style>
  <w:style w:type="paragraph" w:styleId="Header">
    <w:name w:val="header"/>
    <w:basedOn w:val="Normal"/>
    <w:link w:val="HeaderChar"/>
    <w:uiPriority w:val="99"/>
    <w:unhideWhenUsed/>
    <w:rsid w:val="0003768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37687"/>
    <w:rPr>
      <w:color w:val="22508C" w:themeColor="text1" w:themeTint="D9"/>
    </w:rPr>
  </w:style>
  <w:style w:type="paragraph" w:styleId="Footer">
    <w:name w:val="footer"/>
    <w:basedOn w:val="Normal"/>
    <w:link w:val="FooterChar"/>
    <w:unhideWhenUsed/>
    <w:rsid w:val="00037687"/>
    <w:pPr>
      <w:tabs>
        <w:tab w:val="center" w:pos="4513"/>
        <w:tab w:val="right" w:pos="9026"/>
      </w:tabs>
      <w:spacing w:before="0" w:line="240" w:lineRule="auto"/>
    </w:pPr>
  </w:style>
  <w:style w:type="character" w:customStyle="1" w:styleId="FooterChar">
    <w:name w:val="Footer Char"/>
    <w:basedOn w:val="DefaultParagraphFont"/>
    <w:link w:val="Footer"/>
    <w:rsid w:val="00037687"/>
    <w:rPr>
      <w:color w:val="22508C" w:themeColor="text1" w:themeTint="D9"/>
    </w:rPr>
  </w:style>
  <w:style w:type="character" w:styleId="SubtleEmphasis">
    <w:name w:val="Subtle Emphasis"/>
    <w:basedOn w:val="DefaultParagraphFont"/>
    <w:uiPriority w:val="19"/>
    <w:qFormat/>
    <w:rsid w:val="00FF6AB9"/>
    <w:rPr>
      <w:color w:val="DBBEF0"/>
    </w:rPr>
  </w:style>
  <w:style w:type="character" w:customStyle="1" w:styleId="Heading3Char">
    <w:name w:val="Heading 3 Char"/>
    <w:basedOn w:val="DefaultParagraphFont"/>
    <w:link w:val="Heading3"/>
    <w:uiPriority w:val="9"/>
    <w:rsid w:val="00082E26"/>
    <w:rPr>
      <w:rFonts w:eastAsiaTheme="majorEastAsia" w:cstheme="majorBidi"/>
      <w:b/>
      <w:bCs/>
      <w:i/>
      <w:color w:val="4E1A74"/>
      <w:sz w:val="24"/>
    </w:rPr>
  </w:style>
  <w:style w:type="paragraph" w:styleId="BalloonText">
    <w:name w:val="Balloon Text"/>
    <w:basedOn w:val="Normal"/>
    <w:link w:val="BalloonTextChar"/>
    <w:uiPriority w:val="99"/>
    <w:semiHidden/>
    <w:unhideWhenUsed/>
    <w:rsid w:val="002356D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6D6"/>
    <w:rPr>
      <w:rFonts w:ascii="Tahoma" w:hAnsi="Tahoma" w:cs="Tahoma"/>
      <w:color w:val="444448"/>
      <w:sz w:val="16"/>
      <w:szCs w:val="16"/>
    </w:rPr>
  </w:style>
  <w:style w:type="paragraph" w:styleId="Caption">
    <w:name w:val="caption"/>
    <w:basedOn w:val="Normal"/>
    <w:next w:val="Normal"/>
    <w:uiPriority w:val="35"/>
    <w:qFormat/>
    <w:rsid w:val="0054455D"/>
    <w:pPr>
      <w:spacing w:before="120" w:line="240" w:lineRule="auto"/>
    </w:pPr>
    <w:rPr>
      <w:b/>
      <w:bCs/>
      <w:color w:val="4E1A74"/>
      <w:sz w:val="20"/>
      <w:szCs w:val="18"/>
    </w:rPr>
  </w:style>
  <w:style w:type="character" w:customStyle="1" w:styleId="Heading4Char">
    <w:name w:val="Heading 4 Char"/>
    <w:basedOn w:val="DefaultParagraphFont"/>
    <w:link w:val="Heading4"/>
    <w:uiPriority w:val="9"/>
    <w:rsid w:val="003D265D"/>
    <w:rPr>
      <w:rFonts w:ascii="Calibri" w:eastAsiaTheme="majorEastAsia" w:hAnsi="Calibri" w:cstheme="majorBidi"/>
      <w:b/>
      <w:bCs/>
      <w:i/>
      <w:iCs/>
    </w:rPr>
  </w:style>
  <w:style w:type="paragraph" w:styleId="TOCHeading">
    <w:name w:val="TOC Heading"/>
    <w:basedOn w:val="Heading1"/>
    <w:next w:val="Normal"/>
    <w:uiPriority w:val="39"/>
    <w:qFormat/>
    <w:rsid w:val="00675E49"/>
    <w:pPr>
      <w:spacing w:line="276" w:lineRule="auto"/>
      <w:outlineLvl w:val="9"/>
    </w:pPr>
    <w:rPr>
      <w:b w:val="0"/>
      <w:sz w:val="28"/>
      <w:lang w:val="en-US" w:eastAsia="ja-JP"/>
    </w:rPr>
  </w:style>
  <w:style w:type="paragraph" w:styleId="TOC1">
    <w:name w:val="toc 1"/>
    <w:basedOn w:val="Normal"/>
    <w:next w:val="Normal"/>
    <w:autoRedefine/>
    <w:uiPriority w:val="39"/>
    <w:unhideWhenUsed/>
    <w:rsid w:val="00066B27"/>
    <w:pPr>
      <w:tabs>
        <w:tab w:val="right" w:leader="dot" w:pos="9628"/>
      </w:tabs>
    </w:pPr>
    <w:rPr>
      <w:b/>
      <w:color w:val="4E1A74"/>
    </w:rPr>
  </w:style>
  <w:style w:type="paragraph" w:styleId="TOC2">
    <w:name w:val="toc 2"/>
    <w:basedOn w:val="Normal"/>
    <w:next w:val="Normal"/>
    <w:autoRedefine/>
    <w:uiPriority w:val="39"/>
    <w:unhideWhenUsed/>
    <w:rsid w:val="00675E49"/>
    <w:pPr>
      <w:tabs>
        <w:tab w:val="right" w:leader="dot" w:pos="9628"/>
      </w:tabs>
      <w:spacing w:before="120"/>
      <w:ind w:left="567" w:hanging="567"/>
    </w:pPr>
    <w:rPr>
      <w:noProof/>
    </w:rPr>
  </w:style>
  <w:style w:type="paragraph" w:styleId="TOC3">
    <w:name w:val="toc 3"/>
    <w:basedOn w:val="Normal"/>
    <w:next w:val="Normal"/>
    <w:autoRedefine/>
    <w:uiPriority w:val="39"/>
    <w:unhideWhenUsed/>
    <w:rsid w:val="00675E49"/>
    <w:pPr>
      <w:tabs>
        <w:tab w:val="right" w:leader="dot" w:pos="9628"/>
      </w:tabs>
      <w:spacing w:before="60" w:after="100"/>
      <w:ind w:left="1134" w:hanging="567"/>
    </w:pPr>
    <w:rPr>
      <w:i/>
      <w:noProof/>
    </w:rPr>
  </w:style>
  <w:style w:type="character" w:customStyle="1" w:styleId="Normalbold">
    <w:name w:val="Normal (bold)"/>
    <w:basedOn w:val="DefaultParagraphFont"/>
    <w:uiPriority w:val="1"/>
    <w:qFormat/>
    <w:rsid w:val="00F87EA5"/>
    <w:rPr>
      <w:b/>
    </w:rPr>
  </w:style>
  <w:style w:type="table" w:styleId="TableGrid">
    <w:name w:val="Table Grid"/>
    <w:basedOn w:val="TableNormal"/>
    <w:uiPriority w:val="59"/>
    <w:rsid w:val="00F87E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ARPANSA">
    <w:name w:val="Generic ARPANSA"/>
    <w:basedOn w:val="TableNormal"/>
    <w:uiPriority w:val="99"/>
    <w:rsid w:val="00586DAE"/>
    <w:pPr>
      <w:spacing w:before="60" w:after="60" w:line="240" w:lineRule="auto"/>
      <w:jc w:val="center"/>
    </w:pPr>
    <w:tblPr>
      <w:tblStyleRowBandSize w:val="1"/>
      <w:tblInd w:w="108"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customStyle="1" w:styleId="GenericARPANSA2">
    <w:name w:val="Generic ARPANSA 2"/>
    <w:basedOn w:val="GenericARPANSA"/>
    <w:uiPriority w:val="99"/>
    <w:rsid w:val="004577AE"/>
    <w:pPr>
      <w:spacing w:before="0"/>
    </w:pPr>
    <w:tbl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numbering" w:customStyle="1" w:styleId="List0">
    <w:name w:val="List 0"/>
    <w:rsid w:val="00E54D3A"/>
    <w:pPr>
      <w:numPr>
        <w:numId w:val="7"/>
      </w:numPr>
    </w:pPr>
  </w:style>
  <w:style w:type="table" w:styleId="TableSimple1">
    <w:name w:val="Table Simple 1"/>
    <w:basedOn w:val="TableNormal"/>
    <w:uiPriority w:val="99"/>
    <w:semiHidden/>
    <w:unhideWhenUsed/>
    <w:rsid w:val="00F87E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Shading">
    <w:name w:val="Light Shading"/>
    <w:basedOn w:val="TableNormal"/>
    <w:uiPriority w:val="60"/>
    <w:rsid w:val="00F30B42"/>
    <w:pPr>
      <w:spacing w:line="240" w:lineRule="auto"/>
    </w:pPr>
    <w:rPr>
      <w:color w:val="112845" w:themeColor="text1" w:themeShade="BF"/>
    </w:rPr>
    <w:tblPr>
      <w:tblStyleRowBandSize w:val="1"/>
      <w:tblStyleColBandSize w:val="1"/>
      <w:tblBorders>
        <w:top w:val="single" w:sz="8" w:space="0" w:color="17365D" w:themeColor="text1"/>
        <w:bottom w:val="single" w:sz="8" w:space="0" w:color="17365D" w:themeColor="text1"/>
      </w:tblBorders>
    </w:tblPr>
    <w:tblStylePr w:type="fir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la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AEB" w:themeFill="text1" w:themeFillTint="3F"/>
      </w:tcPr>
    </w:tblStylePr>
    <w:tblStylePr w:type="band1Horz">
      <w:tblPr/>
      <w:tcPr>
        <w:tcBorders>
          <w:left w:val="nil"/>
          <w:right w:val="nil"/>
          <w:insideH w:val="nil"/>
          <w:insideV w:val="nil"/>
        </w:tcBorders>
        <w:shd w:val="clear" w:color="auto" w:fill="B0CAEB" w:themeFill="text1" w:themeFillTint="3F"/>
      </w:tcPr>
    </w:tblStylePr>
  </w:style>
  <w:style w:type="table" w:styleId="LightShading-Accent1">
    <w:name w:val="Light Shading Accent 1"/>
    <w:basedOn w:val="TableNormal"/>
    <w:uiPriority w:val="60"/>
    <w:rsid w:val="00F30B42"/>
    <w:pPr>
      <w:spacing w:line="240" w:lineRule="auto"/>
    </w:pPr>
    <w:rPr>
      <w:color w:val="AF6FE0" w:themeColor="accent1" w:themeShade="BF"/>
    </w:rPr>
    <w:tblPr>
      <w:tblStyleRowBandSize w:val="1"/>
      <w:tblStyleColBandSize w:val="1"/>
      <w:tblBorders>
        <w:top w:val="single" w:sz="8" w:space="0" w:color="E3CCF4" w:themeColor="accent1"/>
        <w:bottom w:val="single" w:sz="8" w:space="0" w:color="E3CCF4" w:themeColor="accent1"/>
      </w:tblBorders>
    </w:tblPr>
    <w:tblStylePr w:type="fir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table" w:styleId="LightShading-Accent2">
    <w:name w:val="Light Shading Accent 2"/>
    <w:basedOn w:val="TableNormal"/>
    <w:uiPriority w:val="60"/>
    <w:rsid w:val="00F30B42"/>
    <w:pPr>
      <w:spacing w:line="240" w:lineRule="auto"/>
    </w:pPr>
    <w:rPr>
      <w:color w:val="207220" w:themeColor="accent2" w:themeShade="BF"/>
    </w:rPr>
    <w:tblPr>
      <w:tblStyleRowBandSize w:val="1"/>
      <w:tblStyleColBandSize w:val="1"/>
      <w:tblBorders>
        <w:top w:val="single" w:sz="8" w:space="0" w:color="2B992B" w:themeColor="accent2"/>
        <w:bottom w:val="single" w:sz="8" w:space="0" w:color="2B992B" w:themeColor="accent2"/>
      </w:tblBorders>
    </w:tblPr>
    <w:tblStylePr w:type="fir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la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EC2" w:themeFill="accent2" w:themeFillTint="3F"/>
      </w:tcPr>
    </w:tblStylePr>
    <w:tblStylePr w:type="band1Horz">
      <w:tblPr/>
      <w:tcPr>
        <w:tcBorders>
          <w:left w:val="nil"/>
          <w:right w:val="nil"/>
          <w:insideH w:val="nil"/>
          <w:insideV w:val="nil"/>
        </w:tcBorders>
        <w:shd w:val="clear" w:color="auto" w:fill="C2EEC2" w:themeFill="accent2" w:themeFillTint="3F"/>
      </w:tcPr>
    </w:tblStylePr>
  </w:style>
  <w:style w:type="table" w:styleId="LightList">
    <w:name w:val="Light List"/>
    <w:basedOn w:val="TableNormal"/>
    <w:uiPriority w:val="61"/>
    <w:rsid w:val="00F30B42"/>
    <w:pPr>
      <w:spacing w:line="240" w:lineRule="auto"/>
    </w:pPr>
    <w:tblPr>
      <w:tblStyleRowBandSize w:val="1"/>
      <w:tblStyleColBandSize w:val="1"/>
      <w:tblBorders>
        <w:top w:val="single" w:sz="8" w:space="0" w:color="17365D" w:themeColor="text1"/>
        <w:left w:val="single" w:sz="8" w:space="0" w:color="17365D" w:themeColor="text1"/>
        <w:bottom w:val="single" w:sz="8" w:space="0" w:color="17365D" w:themeColor="text1"/>
        <w:right w:val="single" w:sz="8" w:space="0" w:color="17365D" w:themeColor="text1"/>
      </w:tblBorders>
    </w:tblPr>
    <w:tblStylePr w:type="firstRow">
      <w:pPr>
        <w:spacing w:before="0" w:after="0" w:line="240" w:lineRule="auto"/>
      </w:pPr>
      <w:rPr>
        <w:b/>
        <w:bCs/>
        <w:color w:val="FFFFFF" w:themeColor="background1"/>
      </w:rPr>
      <w:tblPr/>
      <w:tcPr>
        <w:shd w:val="clear" w:color="auto" w:fill="17365D" w:themeFill="text1"/>
      </w:tcPr>
    </w:tblStylePr>
    <w:tblStylePr w:type="lastRow">
      <w:pPr>
        <w:spacing w:before="0" w:after="0" w:line="240" w:lineRule="auto"/>
      </w:pPr>
      <w:rPr>
        <w:b/>
        <w:bCs/>
      </w:rPr>
      <w:tblPr/>
      <w:tcPr>
        <w:tcBorders>
          <w:top w:val="double" w:sz="6" w:space="0" w:color="17365D" w:themeColor="text1"/>
          <w:left w:val="single" w:sz="8" w:space="0" w:color="17365D" w:themeColor="text1"/>
          <w:bottom w:val="single" w:sz="8" w:space="0" w:color="17365D" w:themeColor="text1"/>
          <w:right w:val="single" w:sz="8" w:space="0" w:color="17365D" w:themeColor="text1"/>
        </w:tcBorders>
      </w:tcPr>
    </w:tblStylePr>
    <w:tblStylePr w:type="firstCol">
      <w:rPr>
        <w:b/>
        <w:bCs/>
      </w:rPr>
    </w:tblStylePr>
    <w:tblStylePr w:type="lastCol">
      <w:rPr>
        <w:b/>
        <w:bCs/>
      </w:rPr>
    </w:tblStylePr>
    <w:tblStylePr w:type="band1Vert">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tblStylePr w:type="band1Horz">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style>
  <w:style w:type="paragraph" w:customStyle="1" w:styleId="Tabletext">
    <w:name w:val="Table text"/>
    <w:basedOn w:val="Normal"/>
    <w:qFormat/>
    <w:rsid w:val="00CC1541"/>
    <w:pPr>
      <w:spacing w:before="60" w:after="60" w:line="240" w:lineRule="auto"/>
      <w:jc w:val="center"/>
    </w:pPr>
  </w:style>
  <w:style w:type="table" w:styleId="LightShading-Accent3">
    <w:name w:val="Light Shading Accent 3"/>
    <w:basedOn w:val="TableNormal"/>
    <w:uiPriority w:val="60"/>
    <w:rsid w:val="00211B48"/>
    <w:pPr>
      <w:spacing w:before="0" w:line="240" w:lineRule="auto"/>
    </w:pPr>
    <w:rPr>
      <w:color w:val="1B611B" w:themeColor="accent3" w:themeShade="BF"/>
    </w:rPr>
    <w:tblPr>
      <w:tblStyleRowBandSize w:val="1"/>
      <w:tblStyleColBandSize w:val="1"/>
      <w:tblBorders>
        <w:top w:val="single" w:sz="8" w:space="0" w:color="258325" w:themeColor="accent3"/>
        <w:bottom w:val="single" w:sz="8" w:space="0" w:color="258325" w:themeColor="accent3"/>
      </w:tblBorders>
    </w:tblPr>
    <w:tblStylePr w:type="fir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la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CBC" w:themeFill="accent3" w:themeFillTint="3F"/>
      </w:tcPr>
    </w:tblStylePr>
    <w:tblStylePr w:type="band1Horz">
      <w:tblPr/>
      <w:tcPr>
        <w:tcBorders>
          <w:left w:val="nil"/>
          <w:right w:val="nil"/>
          <w:insideH w:val="nil"/>
          <w:insideV w:val="nil"/>
        </w:tcBorders>
        <w:shd w:val="clear" w:color="auto" w:fill="BCECBC" w:themeFill="accent3" w:themeFillTint="3F"/>
      </w:tcPr>
    </w:tblStylePr>
  </w:style>
  <w:style w:type="table" w:styleId="LightShading-Accent4">
    <w:name w:val="Light Shading Accent 4"/>
    <w:basedOn w:val="TableNormal"/>
    <w:uiPriority w:val="60"/>
    <w:rsid w:val="00211B48"/>
    <w:pPr>
      <w:spacing w:before="0" w:line="240" w:lineRule="auto"/>
    </w:pPr>
    <w:rPr>
      <w:color w:val="333335" w:themeColor="accent4" w:themeShade="BF"/>
    </w:rPr>
    <w:tblPr>
      <w:tblStyleRowBandSize w:val="1"/>
      <w:tblStyleColBandSize w:val="1"/>
      <w:tblBorders>
        <w:top w:val="single" w:sz="8" w:space="0" w:color="444448" w:themeColor="accent4"/>
        <w:bottom w:val="single" w:sz="8" w:space="0" w:color="444448" w:themeColor="accent4"/>
      </w:tblBorders>
    </w:tblPr>
    <w:tblStylePr w:type="fir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la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2" w:themeFill="accent4" w:themeFillTint="3F"/>
      </w:tcPr>
    </w:tblStylePr>
    <w:tblStylePr w:type="band1Horz">
      <w:tblPr/>
      <w:tcPr>
        <w:tcBorders>
          <w:left w:val="nil"/>
          <w:right w:val="nil"/>
          <w:insideH w:val="nil"/>
          <w:insideV w:val="nil"/>
        </w:tcBorders>
        <w:shd w:val="clear" w:color="auto" w:fill="CFCFD2" w:themeFill="accent4" w:themeFillTint="3F"/>
      </w:tcPr>
    </w:tblStylePr>
  </w:style>
  <w:style w:type="table" w:styleId="LightShading-Accent5">
    <w:name w:val="Light Shading Accent 5"/>
    <w:basedOn w:val="TableNormal"/>
    <w:uiPriority w:val="60"/>
    <w:rsid w:val="00211B48"/>
    <w:pPr>
      <w:spacing w:before="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11B48"/>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211B48"/>
    <w:pPr>
      <w:spacing w:before="0" w:line="240" w:lineRule="auto"/>
    </w:pPr>
    <w:tblPr>
      <w:tblStyleRowBandSize w:val="1"/>
      <w:tblStyleColBandSize w:val="1"/>
      <w:tblBorders>
        <w:top w:val="single" w:sz="8" w:space="0" w:color="E3CCF4" w:themeColor="accent1"/>
        <w:left w:val="single" w:sz="8" w:space="0" w:color="E3CCF4" w:themeColor="accent1"/>
        <w:bottom w:val="single" w:sz="8" w:space="0" w:color="E3CCF4" w:themeColor="accent1"/>
        <w:right w:val="single" w:sz="8" w:space="0" w:color="E3CCF4" w:themeColor="accent1"/>
      </w:tblBorders>
    </w:tblPr>
    <w:tblStylePr w:type="firstRow">
      <w:pPr>
        <w:spacing w:before="0" w:after="0" w:line="240" w:lineRule="auto"/>
      </w:pPr>
      <w:rPr>
        <w:b/>
        <w:bCs/>
        <w:color w:val="FFFFFF" w:themeColor="background1"/>
      </w:rPr>
      <w:tblPr/>
      <w:tcPr>
        <w:shd w:val="clear" w:color="auto" w:fill="E3CCF4" w:themeFill="accent1"/>
      </w:tcPr>
    </w:tblStylePr>
    <w:tblStylePr w:type="lastRow">
      <w:pPr>
        <w:spacing w:before="0" w:after="0" w:line="240" w:lineRule="auto"/>
      </w:pPr>
      <w:rPr>
        <w:b/>
        <w:bCs/>
      </w:rPr>
      <w:tblPr/>
      <w:tcPr>
        <w:tcBorders>
          <w:top w:val="double" w:sz="6" w:space="0" w:color="E3CCF4" w:themeColor="accent1"/>
          <w:left w:val="single" w:sz="8" w:space="0" w:color="E3CCF4" w:themeColor="accent1"/>
          <w:bottom w:val="single" w:sz="8" w:space="0" w:color="E3CCF4" w:themeColor="accent1"/>
          <w:right w:val="single" w:sz="8" w:space="0" w:color="E3CCF4" w:themeColor="accent1"/>
        </w:tcBorders>
      </w:tcPr>
    </w:tblStylePr>
    <w:tblStylePr w:type="firstCol">
      <w:rPr>
        <w:b/>
        <w:bCs/>
      </w:rPr>
    </w:tblStylePr>
    <w:tblStylePr w:type="lastCol">
      <w:rPr>
        <w:b/>
        <w:bCs/>
      </w:rPr>
    </w:tblStylePr>
    <w:tblStylePr w:type="band1Vert">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tblStylePr w:type="band1Horz">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style>
  <w:style w:type="table" w:styleId="LightList-Accent2">
    <w:name w:val="Light List Accent 2"/>
    <w:basedOn w:val="TableNormal"/>
    <w:uiPriority w:val="61"/>
    <w:rsid w:val="00211B48"/>
    <w:pPr>
      <w:spacing w:before="0" w:line="240" w:lineRule="auto"/>
    </w:pPr>
    <w:tblPr>
      <w:tblStyleRowBandSize w:val="1"/>
      <w:tblStyleColBandSize w:val="1"/>
      <w:tblBorders>
        <w:top w:val="single" w:sz="8" w:space="0" w:color="2B992B" w:themeColor="accent2"/>
        <w:left w:val="single" w:sz="8" w:space="0" w:color="2B992B" w:themeColor="accent2"/>
        <w:bottom w:val="single" w:sz="8" w:space="0" w:color="2B992B" w:themeColor="accent2"/>
        <w:right w:val="single" w:sz="8" w:space="0" w:color="2B992B" w:themeColor="accent2"/>
      </w:tblBorders>
    </w:tblPr>
    <w:tblStylePr w:type="firstRow">
      <w:pPr>
        <w:spacing w:before="0" w:after="0" w:line="240" w:lineRule="auto"/>
      </w:pPr>
      <w:rPr>
        <w:b/>
        <w:bCs/>
        <w:color w:val="FFFFFF" w:themeColor="background1"/>
      </w:rPr>
      <w:tblPr/>
      <w:tcPr>
        <w:shd w:val="clear" w:color="auto" w:fill="2B992B" w:themeFill="accent2"/>
      </w:tcPr>
    </w:tblStylePr>
    <w:tblStylePr w:type="lastRow">
      <w:pPr>
        <w:spacing w:before="0" w:after="0" w:line="240" w:lineRule="auto"/>
      </w:pPr>
      <w:rPr>
        <w:b/>
        <w:bCs/>
      </w:rPr>
      <w:tblPr/>
      <w:tcPr>
        <w:tcBorders>
          <w:top w:val="double" w:sz="6" w:space="0" w:color="2B992B" w:themeColor="accent2"/>
          <w:left w:val="single" w:sz="8" w:space="0" w:color="2B992B" w:themeColor="accent2"/>
          <w:bottom w:val="single" w:sz="8" w:space="0" w:color="2B992B" w:themeColor="accent2"/>
          <w:right w:val="single" w:sz="8" w:space="0" w:color="2B992B" w:themeColor="accent2"/>
        </w:tcBorders>
      </w:tcPr>
    </w:tblStylePr>
    <w:tblStylePr w:type="firstCol">
      <w:rPr>
        <w:b/>
        <w:bCs/>
      </w:rPr>
    </w:tblStylePr>
    <w:tblStylePr w:type="lastCol">
      <w:rPr>
        <w:b/>
        <w:bCs/>
      </w:rPr>
    </w:tblStylePr>
    <w:tblStylePr w:type="band1Vert">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tblStylePr w:type="band1Horz">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style>
  <w:style w:type="table" w:styleId="LightList-Accent3">
    <w:name w:val="Light List Accent 3"/>
    <w:basedOn w:val="TableNormal"/>
    <w:uiPriority w:val="61"/>
    <w:rsid w:val="00211B48"/>
    <w:pPr>
      <w:spacing w:before="0" w:line="240" w:lineRule="auto"/>
    </w:pPr>
    <w:tblPr>
      <w:tblStyleRowBandSize w:val="1"/>
      <w:tblStyleColBandSize w:val="1"/>
      <w:tblBorders>
        <w:top w:val="single" w:sz="8" w:space="0" w:color="258325" w:themeColor="accent3"/>
        <w:left w:val="single" w:sz="8" w:space="0" w:color="258325" w:themeColor="accent3"/>
        <w:bottom w:val="single" w:sz="8" w:space="0" w:color="258325" w:themeColor="accent3"/>
        <w:right w:val="single" w:sz="8" w:space="0" w:color="258325" w:themeColor="accent3"/>
      </w:tblBorders>
    </w:tblPr>
    <w:tblStylePr w:type="firstRow">
      <w:pPr>
        <w:spacing w:before="0" w:after="0" w:line="240" w:lineRule="auto"/>
      </w:pPr>
      <w:rPr>
        <w:b/>
        <w:bCs/>
        <w:color w:val="FFFFFF" w:themeColor="background1"/>
      </w:rPr>
      <w:tblPr/>
      <w:tcPr>
        <w:shd w:val="clear" w:color="auto" w:fill="258325" w:themeFill="accent3"/>
      </w:tcPr>
    </w:tblStylePr>
    <w:tblStylePr w:type="lastRow">
      <w:pPr>
        <w:spacing w:before="0" w:after="0" w:line="240" w:lineRule="auto"/>
      </w:pPr>
      <w:rPr>
        <w:b/>
        <w:bCs/>
      </w:rPr>
      <w:tblPr/>
      <w:tcPr>
        <w:tcBorders>
          <w:top w:val="double" w:sz="6" w:space="0" w:color="258325" w:themeColor="accent3"/>
          <w:left w:val="single" w:sz="8" w:space="0" w:color="258325" w:themeColor="accent3"/>
          <w:bottom w:val="single" w:sz="8" w:space="0" w:color="258325" w:themeColor="accent3"/>
          <w:right w:val="single" w:sz="8" w:space="0" w:color="258325" w:themeColor="accent3"/>
        </w:tcBorders>
      </w:tcPr>
    </w:tblStylePr>
    <w:tblStylePr w:type="firstCol">
      <w:rPr>
        <w:b/>
        <w:bCs/>
      </w:rPr>
    </w:tblStylePr>
    <w:tblStylePr w:type="lastCol">
      <w:rPr>
        <w:b/>
        <w:bCs/>
      </w:rPr>
    </w:tblStylePr>
    <w:tblStylePr w:type="band1Vert">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tblStylePr w:type="band1Horz">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style>
  <w:style w:type="table" w:customStyle="1" w:styleId="GenericARPANSA3">
    <w:name w:val="Generic ARPANSA 3"/>
    <w:basedOn w:val="GenericARPANSA"/>
    <w:uiPriority w:val="99"/>
    <w:rsid w:val="00BE6683"/>
    <w:pPr>
      <w:spacing w:before="0"/>
    </w:pPr>
    <w:tblPr>
      <w:tblBorders>
        <w:top w:val="single" w:sz="4" w:space="0" w:color="4E1A74" w:themeColor="text2"/>
        <w:left w:val="single" w:sz="4" w:space="0" w:color="4E1A74" w:themeColor="text2"/>
        <w:bottom w:val="single" w:sz="4" w:space="0" w:color="4E1A74" w:themeColor="text2"/>
        <w:right w:val="single" w:sz="4" w:space="0" w:color="4E1A74" w:themeColor="text2"/>
        <w:insideH w:val="none" w:sz="0" w:space="0" w:color="auto"/>
        <w:insideV w:val="none" w:sz="0" w:space="0" w:color="auto"/>
      </w:tblBorders>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themeColor="text2"/>
          <w:left w:val="single" w:sz="4" w:space="0" w:color="4E1A74" w:themeColor="text2"/>
          <w:bottom w:val="single" w:sz="4" w:space="0" w:color="4E1A74" w:themeColor="text2"/>
          <w:right w:val="single" w:sz="4" w:space="0" w:color="4E1A74" w:themeColor="text2"/>
          <w:insideH w:val="nil"/>
          <w:insideV w:val="nil"/>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styleId="MediumGrid1-Accent4">
    <w:name w:val="Medium Grid 1 Accent 4"/>
    <w:basedOn w:val="TableNormal"/>
    <w:uiPriority w:val="67"/>
    <w:rsid w:val="00C90747"/>
    <w:pPr>
      <w:spacing w:before="0" w:line="240" w:lineRule="auto"/>
    </w:pPr>
    <w:tblPr>
      <w:tblStyleRowBandSize w:val="1"/>
      <w:tblStyleColBandSize w:val="1"/>
      <w:tblBorders>
        <w:top w:val="single" w:sz="8" w:space="0" w:color="717177" w:themeColor="accent4" w:themeTint="BF"/>
        <w:left w:val="single" w:sz="8" w:space="0" w:color="717177" w:themeColor="accent4" w:themeTint="BF"/>
        <w:bottom w:val="single" w:sz="8" w:space="0" w:color="717177" w:themeColor="accent4" w:themeTint="BF"/>
        <w:right w:val="single" w:sz="8" w:space="0" w:color="717177" w:themeColor="accent4" w:themeTint="BF"/>
        <w:insideH w:val="single" w:sz="8" w:space="0" w:color="717177" w:themeColor="accent4" w:themeTint="BF"/>
        <w:insideV w:val="single" w:sz="8" w:space="0" w:color="717177" w:themeColor="accent4" w:themeTint="BF"/>
      </w:tblBorders>
    </w:tblPr>
    <w:tcPr>
      <w:shd w:val="clear" w:color="auto" w:fill="CFCFD2" w:themeFill="accent4" w:themeFillTint="3F"/>
    </w:tcPr>
    <w:tblStylePr w:type="firstRow">
      <w:rPr>
        <w:b/>
        <w:bCs/>
      </w:rPr>
    </w:tblStylePr>
    <w:tblStylePr w:type="lastRow">
      <w:rPr>
        <w:b/>
        <w:bCs/>
      </w:rPr>
      <w:tblPr/>
      <w:tcPr>
        <w:tcBorders>
          <w:top w:val="single" w:sz="18" w:space="0" w:color="717177" w:themeColor="accent4" w:themeTint="BF"/>
        </w:tcBorders>
      </w:tcPr>
    </w:tblStylePr>
    <w:tblStylePr w:type="firstCol">
      <w:rPr>
        <w:b/>
        <w:bCs/>
      </w:rPr>
    </w:tblStylePr>
    <w:tblStylePr w:type="lastCol">
      <w:rPr>
        <w:b/>
        <w:bCs/>
      </w:rPr>
    </w:tblStylePr>
    <w:tblStylePr w:type="band1Vert">
      <w:tblPr/>
      <w:tcPr>
        <w:shd w:val="clear" w:color="auto" w:fill="A0A0A5" w:themeFill="accent4" w:themeFillTint="7F"/>
      </w:tcPr>
    </w:tblStylePr>
    <w:tblStylePr w:type="band1Horz">
      <w:tblPr/>
      <w:tcPr>
        <w:shd w:val="clear" w:color="auto" w:fill="A0A0A5" w:themeFill="accent4" w:themeFillTint="7F"/>
      </w:tcPr>
    </w:tblStylePr>
  </w:style>
  <w:style w:type="table" w:customStyle="1" w:styleId="GenericARPANSA4">
    <w:name w:val="Generic ARPANSA 4"/>
    <w:basedOn w:val="GenericARPANSA"/>
    <w:uiPriority w:val="99"/>
    <w:rsid w:val="00C90747"/>
    <w:pPr>
      <w:spacing w:before="0"/>
    </w:pPr>
    <w:tblPr>
      <w:tblStyleColBandSize w:val="1"/>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firstCol">
      <w:rPr>
        <w:b/>
      </w:rPr>
    </w:tblStylePr>
    <w:tblStylePr w:type="lastCol">
      <w:rPr>
        <w:b/>
      </w:rPr>
    </w:tblStylePr>
    <w:tblStylePr w:type="band2Vert">
      <w:tblPr/>
      <w:tcPr>
        <w:shd w:val="clear" w:color="auto" w:fill="F6EFFB"/>
      </w:tcPr>
    </w:tblStylePr>
    <w:tblStylePr w:type="band2Horz">
      <w:tblPr/>
      <w:tcPr>
        <w:shd w:val="clear" w:color="auto" w:fill="F6EFFB"/>
      </w:tcPr>
    </w:tblStylePr>
  </w:style>
  <w:style w:type="character" w:styleId="PlaceholderText">
    <w:name w:val="Placeholder Text"/>
    <w:basedOn w:val="DefaultParagraphFont"/>
    <w:uiPriority w:val="99"/>
    <w:semiHidden/>
    <w:rsid w:val="0035687D"/>
    <w:rPr>
      <w:color w:val="808080"/>
    </w:rPr>
  </w:style>
  <w:style w:type="paragraph" w:customStyle="1" w:styleId="Heading3list">
    <w:name w:val="Heading3list"/>
    <w:basedOn w:val="Normal"/>
    <w:rsid w:val="0035687D"/>
    <w:pPr>
      <w:spacing w:before="200" w:after="200" w:line="276" w:lineRule="auto"/>
    </w:pPr>
    <w:rPr>
      <w:rFonts w:asciiTheme="majorHAnsi" w:eastAsiaTheme="minorEastAsia" w:hAnsiTheme="majorHAnsi"/>
      <w:b/>
      <w:color w:val="9B4AD6" w:themeColor="text2" w:themeTint="99"/>
      <w:sz w:val="24"/>
      <w:szCs w:val="24"/>
      <w:lang w:eastAsia="en-AU"/>
    </w:rPr>
  </w:style>
  <w:style w:type="character" w:styleId="Emphasis">
    <w:name w:val="Emphasis"/>
    <w:uiPriority w:val="20"/>
    <w:qFormat/>
    <w:rsid w:val="0035687D"/>
    <w:rPr>
      <w:caps/>
      <w:color w:val="7927B7" w:themeColor="accent1" w:themeShade="7F"/>
      <w:spacing w:val="5"/>
    </w:rPr>
  </w:style>
  <w:style w:type="character" w:styleId="CommentReference">
    <w:name w:val="annotation reference"/>
    <w:basedOn w:val="DefaultParagraphFont"/>
    <w:uiPriority w:val="99"/>
    <w:semiHidden/>
    <w:unhideWhenUsed/>
    <w:rsid w:val="008359EC"/>
    <w:rPr>
      <w:sz w:val="16"/>
      <w:szCs w:val="16"/>
    </w:rPr>
  </w:style>
  <w:style w:type="paragraph" w:styleId="CommentText">
    <w:name w:val="annotation text"/>
    <w:basedOn w:val="Normal"/>
    <w:link w:val="CommentTextChar"/>
    <w:uiPriority w:val="99"/>
    <w:semiHidden/>
    <w:unhideWhenUsed/>
    <w:rsid w:val="008359EC"/>
    <w:pPr>
      <w:spacing w:line="240" w:lineRule="auto"/>
    </w:pPr>
    <w:rPr>
      <w:sz w:val="20"/>
      <w:szCs w:val="20"/>
    </w:rPr>
  </w:style>
  <w:style w:type="character" w:customStyle="1" w:styleId="CommentTextChar">
    <w:name w:val="Comment Text Char"/>
    <w:basedOn w:val="DefaultParagraphFont"/>
    <w:link w:val="CommentText"/>
    <w:uiPriority w:val="99"/>
    <w:semiHidden/>
    <w:rsid w:val="008359EC"/>
    <w:rPr>
      <w:sz w:val="20"/>
      <w:szCs w:val="20"/>
    </w:rPr>
  </w:style>
  <w:style w:type="paragraph" w:styleId="CommentSubject">
    <w:name w:val="annotation subject"/>
    <w:basedOn w:val="CommentText"/>
    <w:next w:val="CommentText"/>
    <w:link w:val="CommentSubjectChar"/>
    <w:uiPriority w:val="99"/>
    <w:semiHidden/>
    <w:unhideWhenUsed/>
    <w:rsid w:val="008359EC"/>
    <w:rPr>
      <w:b/>
      <w:bCs/>
    </w:rPr>
  </w:style>
  <w:style w:type="character" w:customStyle="1" w:styleId="CommentSubjectChar">
    <w:name w:val="Comment Subject Char"/>
    <w:basedOn w:val="CommentTextChar"/>
    <w:link w:val="CommentSubject"/>
    <w:uiPriority w:val="99"/>
    <w:semiHidden/>
    <w:rsid w:val="008359EC"/>
    <w:rPr>
      <w:b/>
      <w:bCs/>
      <w:sz w:val="20"/>
      <w:szCs w:val="20"/>
    </w:rPr>
  </w:style>
  <w:style w:type="paragraph" w:styleId="Revision">
    <w:name w:val="Revision"/>
    <w:hidden/>
    <w:uiPriority w:val="99"/>
    <w:semiHidden/>
    <w:rsid w:val="00F72984"/>
    <w:pPr>
      <w:spacing w:before="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D62B0F7C4FC4ECE9CE851DED11070C7"/>
        <w:category>
          <w:name w:val="General"/>
          <w:gallery w:val="placeholder"/>
        </w:category>
        <w:types>
          <w:type w:val="bbPlcHdr"/>
        </w:types>
        <w:behaviors>
          <w:behavior w:val="content"/>
        </w:behaviors>
        <w:guid w:val="{57F1D8B8-7475-49A6-882E-C463A628F6DC}"/>
      </w:docPartPr>
      <w:docPartBody>
        <w:p w:rsidR="00126119" w:rsidRDefault="00432A55">
          <w:pPr>
            <w:pStyle w:val="ED62B0F7C4FC4ECE9CE851DED11070C7"/>
          </w:pPr>
          <w:r w:rsidRPr="00CE0F50">
            <w:rPr>
              <w:color w:val="444444"/>
            </w:rPr>
            <w:t>[Licence Number S/FXXXX]</w:t>
          </w:r>
        </w:p>
      </w:docPartBody>
    </w:docPart>
    <w:docPart>
      <w:docPartPr>
        <w:name w:val="157E0A8D4AC846918591C8B1ADB45B90"/>
        <w:category>
          <w:name w:val="General"/>
          <w:gallery w:val="placeholder"/>
        </w:category>
        <w:types>
          <w:type w:val="bbPlcHdr"/>
        </w:types>
        <w:behaviors>
          <w:behavior w:val="content"/>
        </w:behaviors>
        <w:guid w:val="{2D093CE9-B49E-4CDE-AB20-3C922DC9F4E1}"/>
      </w:docPartPr>
      <w:docPartBody>
        <w:p w:rsidR="00CD5AF6" w:rsidRDefault="00170EE6" w:rsidP="00170EE6">
          <w:pPr>
            <w:pStyle w:val="157E0A8D4AC846918591C8B1ADB45B90"/>
          </w:pPr>
          <w:r w:rsidRPr="00CE0F50">
            <w:rPr>
              <w:color w:val="444444"/>
            </w:rPr>
            <w:t>[Licence Number S/FXXXX]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A55"/>
    <w:rsid w:val="000470A1"/>
    <w:rsid w:val="000C3B6D"/>
    <w:rsid w:val="00126119"/>
    <w:rsid w:val="00170EE6"/>
    <w:rsid w:val="0022183E"/>
    <w:rsid w:val="00272D6C"/>
    <w:rsid w:val="00432A55"/>
    <w:rsid w:val="007503A0"/>
    <w:rsid w:val="008F2FB3"/>
    <w:rsid w:val="00AA204B"/>
    <w:rsid w:val="00B16E68"/>
    <w:rsid w:val="00C6440D"/>
    <w:rsid w:val="00CD5AF6"/>
    <w:rsid w:val="00D67EAA"/>
    <w:rsid w:val="00E10CF5"/>
    <w:rsid w:val="00EB4C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0CF5"/>
    <w:rPr>
      <w:color w:val="808080"/>
    </w:rPr>
  </w:style>
  <w:style w:type="paragraph" w:customStyle="1" w:styleId="D8BB739648C2456D8C56A1A3F679AFE4">
    <w:name w:val="D8BB739648C2456D8C56A1A3F679AFE4"/>
  </w:style>
  <w:style w:type="paragraph" w:customStyle="1" w:styleId="ED62B0F7C4FC4ECE9CE851DED11070C7">
    <w:name w:val="ED62B0F7C4FC4ECE9CE851DED11070C7"/>
  </w:style>
  <w:style w:type="paragraph" w:customStyle="1" w:styleId="A8A5B3D9379840C4B780340FC341B85C">
    <w:name w:val="A8A5B3D9379840C4B780340FC341B85C"/>
  </w:style>
  <w:style w:type="paragraph" w:customStyle="1" w:styleId="6CBAD92BA3554CFE84E2F76D10C01D7C">
    <w:name w:val="6CBAD92BA3554CFE84E2F76D10C01D7C"/>
  </w:style>
  <w:style w:type="paragraph" w:customStyle="1" w:styleId="4ED64170F56D461A90ABEBCFF3A626FC">
    <w:name w:val="4ED64170F56D461A90ABEBCFF3A626FC"/>
  </w:style>
  <w:style w:type="paragraph" w:customStyle="1" w:styleId="BF3AFB186BF84C19B2673D8246D7BC9F">
    <w:name w:val="BF3AFB186BF84C19B2673D8246D7BC9F"/>
  </w:style>
  <w:style w:type="paragraph" w:customStyle="1" w:styleId="861EAC04517A4B59BEC451CE7E176CDC">
    <w:name w:val="861EAC04517A4B59BEC451CE7E176CDC"/>
  </w:style>
  <w:style w:type="paragraph" w:customStyle="1" w:styleId="7588E984DD364FA0B9B84465C28CB834">
    <w:name w:val="7588E984DD364FA0B9B84465C28CB834"/>
  </w:style>
  <w:style w:type="paragraph" w:customStyle="1" w:styleId="C772A5AA7BDD4F9BA8A7B3E02C4433EE">
    <w:name w:val="C772A5AA7BDD4F9BA8A7B3E02C4433EE"/>
  </w:style>
  <w:style w:type="paragraph" w:customStyle="1" w:styleId="39B7E86B63B747DF8D686781C2C31D94">
    <w:name w:val="39B7E86B63B747DF8D686781C2C31D94"/>
  </w:style>
  <w:style w:type="paragraph" w:customStyle="1" w:styleId="B6B27AD8698C47AAA6A75A37BA7FD06A">
    <w:name w:val="B6B27AD8698C47AAA6A75A37BA7FD06A"/>
  </w:style>
  <w:style w:type="paragraph" w:customStyle="1" w:styleId="DB30F30D25704D5DB76BC5EC39A4FEE5">
    <w:name w:val="DB30F30D25704D5DB76BC5EC39A4FEE5"/>
  </w:style>
  <w:style w:type="paragraph" w:customStyle="1" w:styleId="F6632505B04F406EB7D4479C50D92182">
    <w:name w:val="F6632505B04F406EB7D4479C50D92182"/>
  </w:style>
  <w:style w:type="paragraph" w:customStyle="1" w:styleId="D44A41A7D0704D929A6A076E48AE9FC0">
    <w:name w:val="D44A41A7D0704D929A6A076E48AE9FC0"/>
  </w:style>
  <w:style w:type="paragraph" w:customStyle="1" w:styleId="A8A5B3D9379840C4B780340FC341B85C1">
    <w:name w:val="A8A5B3D9379840C4B780340FC341B85C1"/>
    <w:rsid w:val="00432A55"/>
    <w:pPr>
      <w:keepNext/>
      <w:keepLines/>
      <w:spacing w:before="240" w:after="0" w:line="264" w:lineRule="auto"/>
      <w:outlineLvl w:val="1"/>
    </w:pPr>
    <w:rPr>
      <w:rFonts w:ascii="Calibri" w:eastAsiaTheme="majorEastAsia" w:hAnsi="Calibri" w:cstheme="majorBidi"/>
      <w:b/>
      <w:bCs/>
      <w:color w:val="4E1A74"/>
      <w:sz w:val="26"/>
      <w:szCs w:val="26"/>
      <w:lang w:eastAsia="en-US"/>
    </w:rPr>
  </w:style>
  <w:style w:type="paragraph" w:styleId="FootnoteText">
    <w:name w:val="footnote text"/>
    <w:basedOn w:val="Normal"/>
    <w:link w:val="FootnoteTextChar"/>
    <w:uiPriority w:val="99"/>
    <w:qFormat/>
    <w:rsid w:val="00432A55"/>
    <w:pPr>
      <w:spacing w:before="60" w:after="0" w:line="240" w:lineRule="auto"/>
      <w:ind w:left="284" w:hanging="284"/>
    </w:pPr>
    <w:rPr>
      <w:rFonts w:eastAsiaTheme="minorHAnsi"/>
      <w:color w:val="444444"/>
      <w:sz w:val="18"/>
      <w:szCs w:val="20"/>
      <w:lang w:eastAsia="en-US"/>
    </w:rPr>
  </w:style>
  <w:style w:type="character" w:customStyle="1" w:styleId="FootnoteTextChar">
    <w:name w:val="Footnote Text Char"/>
    <w:basedOn w:val="DefaultParagraphFont"/>
    <w:link w:val="FootnoteText"/>
    <w:uiPriority w:val="99"/>
    <w:rsid w:val="00432A55"/>
    <w:rPr>
      <w:rFonts w:eastAsiaTheme="minorHAnsi"/>
      <w:color w:val="444444"/>
      <w:sz w:val="18"/>
      <w:szCs w:val="20"/>
      <w:lang w:eastAsia="en-US"/>
    </w:rPr>
  </w:style>
  <w:style w:type="paragraph" w:customStyle="1" w:styleId="7588E984DD364FA0B9B84465C28CB8341">
    <w:name w:val="7588E984DD364FA0B9B84465C28CB8341"/>
    <w:rsid w:val="00432A55"/>
    <w:pPr>
      <w:spacing w:before="240" w:after="0" w:line="264" w:lineRule="auto"/>
    </w:pPr>
    <w:rPr>
      <w:rFonts w:eastAsiaTheme="minorHAnsi"/>
      <w:color w:val="444444"/>
      <w:lang w:eastAsia="en-US"/>
    </w:rPr>
  </w:style>
  <w:style w:type="paragraph" w:customStyle="1" w:styleId="C772A5AA7BDD4F9BA8A7B3E02C4433EE1">
    <w:name w:val="C772A5AA7BDD4F9BA8A7B3E02C4433EE1"/>
    <w:rsid w:val="00432A55"/>
    <w:pPr>
      <w:spacing w:before="240" w:after="0" w:line="264" w:lineRule="auto"/>
    </w:pPr>
    <w:rPr>
      <w:rFonts w:eastAsiaTheme="minorHAnsi"/>
      <w:color w:val="444444"/>
      <w:lang w:eastAsia="en-US"/>
    </w:rPr>
  </w:style>
  <w:style w:type="paragraph" w:customStyle="1" w:styleId="39B7E86B63B747DF8D686781C2C31D941">
    <w:name w:val="39B7E86B63B747DF8D686781C2C31D941"/>
    <w:rsid w:val="00432A55"/>
    <w:pPr>
      <w:keepNext/>
      <w:keepLines/>
      <w:spacing w:before="240" w:after="0" w:line="264" w:lineRule="auto"/>
      <w:outlineLvl w:val="1"/>
    </w:pPr>
    <w:rPr>
      <w:rFonts w:ascii="Calibri" w:eastAsiaTheme="majorEastAsia" w:hAnsi="Calibri" w:cstheme="majorBidi"/>
      <w:b/>
      <w:bCs/>
      <w:color w:val="4E1A74"/>
      <w:sz w:val="26"/>
      <w:szCs w:val="26"/>
      <w:lang w:eastAsia="en-US"/>
    </w:rPr>
  </w:style>
  <w:style w:type="paragraph" w:customStyle="1" w:styleId="B6B27AD8698C47AAA6A75A37BA7FD06A1">
    <w:name w:val="B6B27AD8698C47AAA6A75A37BA7FD06A1"/>
    <w:rsid w:val="00432A55"/>
    <w:pPr>
      <w:spacing w:before="240" w:after="0" w:line="264" w:lineRule="auto"/>
    </w:pPr>
    <w:rPr>
      <w:rFonts w:eastAsiaTheme="minorHAnsi"/>
      <w:color w:val="444444"/>
      <w:lang w:eastAsia="en-US"/>
    </w:rPr>
  </w:style>
  <w:style w:type="paragraph" w:customStyle="1" w:styleId="DB30F30D25704D5DB76BC5EC39A4FEE51">
    <w:name w:val="DB30F30D25704D5DB76BC5EC39A4FEE51"/>
    <w:rsid w:val="00432A55"/>
    <w:pPr>
      <w:tabs>
        <w:tab w:val="center" w:pos="4513"/>
        <w:tab w:val="right" w:pos="9026"/>
      </w:tabs>
      <w:spacing w:after="0" w:line="240" w:lineRule="auto"/>
    </w:pPr>
    <w:rPr>
      <w:rFonts w:eastAsiaTheme="minorHAnsi"/>
      <w:color w:val="444444"/>
      <w:lang w:eastAsia="en-US"/>
    </w:rPr>
  </w:style>
  <w:style w:type="paragraph" w:customStyle="1" w:styleId="F6632505B04F406EB7D4479C50D921821">
    <w:name w:val="F6632505B04F406EB7D4479C50D921821"/>
    <w:rsid w:val="00432A55"/>
    <w:pPr>
      <w:tabs>
        <w:tab w:val="center" w:pos="4513"/>
        <w:tab w:val="right" w:pos="9026"/>
      </w:tabs>
      <w:spacing w:after="0" w:line="240" w:lineRule="auto"/>
    </w:pPr>
    <w:rPr>
      <w:rFonts w:eastAsiaTheme="minorHAnsi"/>
      <w:color w:val="444444"/>
      <w:lang w:eastAsia="en-US"/>
    </w:rPr>
  </w:style>
  <w:style w:type="paragraph" w:customStyle="1" w:styleId="D44A41A7D0704D929A6A076E48AE9FC01">
    <w:name w:val="D44A41A7D0704D929A6A076E48AE9FC01"/>
    <w:rsid w:val="00432A55"/>
    <w:pPr>
      <w:tabs>
        <w:tab w:val="center" w:pos="4513"/>
        <w:tab w:val="right" w:pos="9026"/>
      </w:tabs>
      <w:spacing w:after="0" w:line="240" w:lineRule="auto"/>
    </w:pPr>
    <w:rPr>
      <w:rFonts w:eastAsiaTheme="minorHAnsi"/>
      <w:color w:val="444444"/>
      <w:lang w:eastAsia="en-US"/>
    </w:rPr>
  </w:style>
  <w:style w:type="paragraph" w:customStyle="1" w:styleId="1B9B7560E1D04F178669C937434D1982">
    <w:name w:val="1B9B7560E1D04F178669C937434D1982"/>
    <w:rsid w:val="0022183E"/>
  </w:style>
  <w:style w:type="paragraph" w:customStyle="1" w:styleId="6AA460176C9747A3977ACECAD0C9B62D">
    <w:name w:val="6AA460176C9747A3977ACECAD0C9B62D"/>
    <w:rsid w:val="00E10CF5"/>
  </w:style>
  <w:style w:type="paragraph" w:customStyle="1" w:styleId="0181902E77674DBD90FEC9A455BDCBEC">
    <w:name w:val="0181902E77674DBD90FEC9A455BDCBEC"/>
    <w:rsid w:val="00E10CF5"/>
  </w:style>
  <w:style w:type="paragraph" w:customStyle="1" w:styleId="302C25A68B484BB39B6488E47548F3EB">
    <w:name w:val="302C25A68B484BB39B6488E47548F3EB"/>
    <w:rsid w:val="00E10CF5"/>
  </w:style>
  <w:style w:type="paragraph" w:customStyle="1" w:styleId="00B2A5DBA80A4BF68CE7185D94311509">
    <w:name w:val="00B2A5DBA80A4BF68CE7185D94311509"/>
    <w:rsid w:val="00E10CF5"/>
  </w:style>
  <w:style w:type="paragraph" w:customStyle="1" w:styleId="37C2ADD8EF834B96858FC4A1BB4F7181">
    <w:name w:val="37C2ADD8EF834B96858FC4A1BB4F7181"/>
    <w:rsid w:val="00170EE6"/>
  </w:style>
  <w:style w:type="paragraph" w:customStyle="1" w:styleId="5B07EA1576784C7A88E0295DD75E46F4">
    <w:name w:val="5B07EA1576784C7A88E0295DD75E46F4"/>
    <w:rsid w:val="00170EE6"/>
  </w:style>
  <w:style w:type="paragraph" w:customStyle="1" w:styleId="31ED0D03A90149E3A3AA98AF465B67B9">
    <w:name w:val="31ED0D03A90149E3A3AA98AF465B67B9"/>
    <w:rsid w:val="00170EE6"/>
  </w:style>
  <w:style w:type="paragraph" w:customStyle="1" w:styleId="157E0A8D4AC846918591C8B1ADB45B90">
    <w:name w:val="157E0A8D4AC846918591C8B1ADB45B90"/>
    <w:rsid w:val="00170E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1">
      <a:dk1>
        <a:srgbClr val="17365D"/>
      </a:dk1>
      <a:lt1>
        <a:sysClr val="window" lastClr="FFFFFF"/>
      </a:lt1>
      <a:dk2>
        <a:srgbClr val="4E1A74"/>
      </a:dk2>
      <a:lt2>
        <a:srgbClr val="EEECE1"/>
      </a:lt2>
      <a:accent1>
        <a:srgbClr val="E3CCF4"/>
      </a:accent1>
      <a:accent2>
        <a:srgbClr val="2B992B"/>
      </a:accent2>
      <a:accent3>
        <a:srgbClr val="258325"/>
      </a:accent3>
      <a:accent4>
        <a:srgbClr val="444448"/>
      </a:accent4>
      <a:accent5>
        <a:srgbClr val="4BACC6"/>
      </a:accent5>
      <a:accent6>
        <a:srgbClr val="F79646"/>
      </a:accent6>
      <a:hlink>
        <a:srgbClr val="4E1A74"/>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B563B862-CC3F-4AE2-9E85-DF1E60BD3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1420</Words>
  <Characters>8011</Characters>
  <Application>Microsoft Office Word</Application>
  <DocSecurity>0</DocSecurity>
  <Lines>127</Lines>
  <Paragraphs>59</Paragraphs>
  <ScaleCrop>false</ScaleCrop>
  <HeadingPairs>
    <vt:vector size="2" baseType="variant">
      <vt:variant>
        <vt:lpstr>Title</vt:lpstr>
      </vt:variant>
      <vt:variant>
        <vt:i4>1</vt:i4>
      </vt:variant>
    </vt:vector>
  </HeadingPairs>
  <TitlesOfParts>
    <vt:vector size="1" baseType="lpstr">
      <vt:lpstr/>
    </vt:vector>
  </TitlesOfParts>
  <Company>ARPANSA</Company>
  <LinksUpToDate>false</LinksUpToDate>
  <CharactersWithSpaces>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Narelle Archer</dc:creator>
  <cp:keywords>S0042</cp:keywords>
  <cp:lastModifiedBy>Kelsie Kruse</cp:lastModifiedBy>
  <cp:revision>3</cp:revision>
  <cp:lastPrinted>2018-12-19T02:48:00Z</cp:lastPrinted>
  <dcterms:created xsi:type="dcterms:W3CDTF">2018-12-21T00:37:00Z</dcterms:created>
  <dcterms:modified xsi:type="dcterms:W3CDTF">2018-12-21T00:38:00Z</dcterms:modified>
</cp:coreProperties>
</file>