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1AFCD" w14:textId="77777777" w:rsidR="003D2646" w:rsidRDefault="002449F3" w:rsidP="0035687D">
      <w:pPr>
        <w:pStyle w:val="Title"/>
      </w:pPr>
      <w:r>
        <w:t>Inspection r</w:t>
      </w:r>
      <w:r w:rsidR="0035687D">
        <w:t>eport</w:t>
      </w:r>
    </w:p>
    <w:tbl>
      <w:tblPr>
        <w:tblStyle w:val="TableGrid"/>
        <w:tblW w:w="0" w:type="auto"/>
        <w:tblLook w:val="04A0" w:firstRow="1" w:lastRow="0" w:firstColumn="1" w:lastColumn="0" w:noHBand="0" w:noVBand="1"/>
      </w:tblPr>
      <w:tblGrid>
        <w:gridCol w:w="4814"/>
        <w:gridCol w:w="4814"/>
      </w:tblGrid>
      <w:tr w:rsidR="0035687D" w14:paraId="09BB9D22" w14:textId="77777777" w:rsidTr="007A14CE">
        <w:tc>
          <w:tcPr>
            <w:tcW w:w="4814" w:type="dxa"/>
            <w:vAlign w:val="center"/>
          </w:tcPr>
          <w:p w14:paraId="01A20DB7" w14:textId="1DCA67C3" w:rsidR="0035687D" w:rsidRDefault="002449F3" w:rsidP="00A15D1B">
            <w:pPr>
              <w:spacing w:before="120" w:after="120"/>
            </w:pPr>
            <w:r>
              <w:rPr>
                <w:b/>
                <w:color w:val="4E1A74" w:themeColor="text2"/>
              </w:rPr>
              <w:t>Licence h</w:t>
            </w:r>
            <w:r w:rsidR="0035687D" w:rsidRPr="007A14CE">
              <w:rPr>
                <w:b/>
                <w:color w:val="4E1A74" w:themeColor="text2"/>
              </w:rPr>
              <w:t>older:</w:t>
            </w:r>
            <w:r w:rsidR="0035687D" w:rsidRPr="007A14CE">
              <w:rPr>
                <w:color w:val="4E1A74" w:themeColor="text2"/>
              </w:rPr>
              <w:t xml:space="preserve"> </w:t>
            </w:r>
            <w:r w:rsidR="00A15D1B" w:rsidRPr="00A15D1B">
              <w:t>Department of Infrastructure and Regional Development</w:t>
            </w:r>
            <w:r w:rsidR="00134CFB">
              <w:t xml:space="preserve"> &amp; Cities</w:t>
            </w:r>
            <w:r w:rsidR="00A15D1B" w:rsidRPr="00A15D1B">
              <w:t xml:space="preserve"> (DIRD</w:t>
            </w:r>
            <w:r w:rsidR="00134CFB">
              <w:t>C</w:t>
            </w:r>
            <w:r w:rsidR="00A15D1B" w:rsidRPr="00A15D1B">
              <w:t>)</w:t>
            </w:r>
          </w:p>
        </w:tc>
        <w:tc>
          <w:tcPr>
            <w:tcW w:w="4814" w:type="dxa"/>
            <w:vAlign w:val="center"/>
          </w:tcPr>
          <w:p w14:paraId="40F4C879" w14:textId="0FD4D1DA" w:rsidR="0035687D" w:rsidRDefault="0035687D" w:rsidP="0098075C">
            <w:pPr>
              <w:spacing w:before="120" w:after="120"/>
            </w:pPr>
            <w:r w:rsidRPr="007A14CE">
              <w:rPr>
                <w:b/>
                <w:bCs/>
                <w:color w:val="4E1A74" w:themeColor="text2"/>
              </w:rPr>
              <w:t>Licence number:</w:t>
            </w:r>
            <w:r w:rsidRPr="007A14CE">
              <w:rPr>
                <w:b/>
                <w:color w:val="4E1A74" w:themeColor="text2"/>
              </w:rPr>
              <w:t xml:space="preserve"> </w:t>
            </w:r>
            <w:sdt>
              <w:sdtPr>
                <w:alias w:val="Licence Number"/>
                <w:tag w:val=""/>
                <w:id w:val="-1058091660"/>
                <w:placeholder>
                  <w:docPart w:val="ED62B0F7C4FC4ECE9CE851DED11070C7"/>
                </w:placeholder>
                <w:dataBinding w:prefixMappings="xmlns:ns0='http://purl.org/dc/elements/1.1/' xmlns:ns1='http://schemas.openxmlformats.org/package/2006/metadata/core-properties' " w:xpath="/ns1:coreProperties[1]/ns1:keywords[1]" w:storeItemID="{6C3C8BC8-F283-45AE-878A-BAB7291924A1}"/>
                <w:text/>
              </w:sdtPr>
              <w:sdtEndPr/>
              <w:sdtContent>
                <w:r w:rsidR="00DC2319">
                  <w:t>S0288</w:t>
                </w:r>
              </w:sdtContent>
            </w:sdt>
          </w:p>
        </w:tc>
      </w:tr>
      <w:tr w:rsidR="00CE0F50" w14:paraId="728035E2" w14:textId="77777777" w:rsidTr="007A14CE">
        <w:tc>
          <w:tcPr>
            <w:tcW w:w="4814" w:type="dxa"/>
            <w:vMerge w:val="restart"/>
            <w:vAlign w:val="center"/>
          </w:tcPr>
          <w:p w14:paraId="7D87D1C0" w14:textId="78FB66E6" w:rsidR="00CE0F50" w:rsidRPr="007A14CE" w:rsidRDefault="00CE0F50" w:rsidP="00475771">
            <w:pPr>
              <w:pStyle w:val="Heading2"/>
              <w:spacing w:before="120" w:after="120"/>
              <w:outlineLvl w:val="1"/>
              <w:rPr>
                <w:rFonts w:asciiTheme="minorHAnsi" w:eastAsiaTheme="minorHAnsi" w:hAnsiTheme="minorHAnsi" w:cstheme="minorBidi"/>
                <w:bCs w:val="0"/>
                <w:color w:val="4E1A74" w:themeColor="text2"/>
                <w:sz w:val="22"/>
                <w:szCs w:val="22"/>
              </w:rPr>
            </w:pPr>
            <w:r w:rsidRPr="007A14CE">
              <w:rPr>
                <w:rFonts w:asciiTheme="minorHAnsi" w:eastAsiaTheme="minorHAnsi" w:hAnsiTheme="minorHAnsi" w:cstheme="minorBidi"/>
                <w:bCs w:val="0"/>
                <w:color w:val="4E1A74" w:themeColor="text2"/>
                <w:sz w:val="22"/>
                <w:szCs w:val="22"/>
              </w:rPr>
              <w:t>Location inspected:</w:t>
            </w:r>
            <w:r w:rsidR="002449F3">
              <w:rPr>
                <w:rFonts w:asciiTheme="minorHAnsi" w:eastAsiaTheme="minorHAnsi" w:hAnsiTheme="minorHAnsi" w:cstheme="minorBidi"/>
                <w:bCs w:val="0"/>
                <w:color w:val="4E1A74" w:themeColor="text2"/>
                <w:sz w:val="22"/>
                <w:szCs w:val="22"/>
              </w:rPr>
              <w:t xml:space="preserve"> </w:t>
            </w:r>
            <w:r w:rsidR="0098075C" w:rsidRPr="0098075C">
              <w:rPr>
                <w:rFonts w:asciiTheme="minorHAnsi" w:eastAsiaTheme="minorHAnsi" w:hAnsiTheme="minorHAnsi" w:cstheme="minorBidi"/>
                <w:b w:val="0"/>
                <w:bCs w:val="0"/>
                <w:color w:val="444444"/>
                <w:sz w:val="22"/>
                <w:szCs w:val="22"/>
              </w:rPr>
              <w:t xml:space="preserve">Christmas </w:t>
            </w:r>
            <w:r w:rsidR="00475771">
              <w:rPr>
                <w:rFonts w:asciiTheme="minorHAnsi" w:eastAsiaTheme="minorHAnsi" w:hAnsiTheme="minorHAnsi" w:cstheme="minorBidi"/>
                <w:b w:val="0"/>
                <w:bCs w:val="0"/>
                <w:color w:val="444444"/>
                <w:sz w:val="22"/>
                <w:szCs w:val="22"/>
              </w:rPr>
              <w:t xml:space="preserve">and Cocos </w:t>
            </w:r>
            <w:r w:rsidR="00134CFB">
              <w:rPr>
                <w:rFonts w:asciiTheme="minorHAnsi" w:eastAsiaTheme="minorHAnsi" w:hAnsiTheme="minorHAnsi" w:cstheme="minorBidi"/>
                <w:b w:val="0"/>
                <w:bCs w:val="0"/>
                <w:color w:val="444444"/>
                <w:sz w:val="22"/>
                <w:szCs w:val="22"/>
              </w:rPr>
              <w:t xml:space="preserve">(Keeling) </w:t>
            </w:r>
            <w:r w:rsidR="0098075C" w:rsidRPr="0098075C">
              <w:rPr>
                <w:rFonts w:asciiTheme="minorHAnsi" w:eastAsiaTheme="minorHAnsi" w:hAnsiTheme="minorHAnsi" w:cstheme="minorBidi"/>
                <w:b w:val="0"/>
                <w:bCs w:val="0"/>
                <w:color w:val="444444"/>
                <w:sz w:val="22"/>
                <w:szCs w:val="22"/>
              </w:rPr>
              <w:t>Island</w:t>
            </w:r>
            <w:r w:rsidR="00475771">
              <w:rPr>
                <w:rFonts w:asciiTheme="minorHAnsi" w:eastAsiaTheme="minorHAnsi" w:hAnsiTheme="minorHAnsi" w:cstheme="minorBidi"/>
                <w:b w:val="0"/>
                <w:bCs w:val="0"/>
                <w:color w:val="444444"/>
                <w:sz w:val="22"/>
                <w:szCs w:val="22"/>
              </w:rPr>
              <w:t>s</w:t>
            </w:r>
          </w:p>
        </w:tc>
        <w:tc>
          <w:tcPr>
            <w:tcW w:w="4814" w:type="dxa"/>
            <w:vAlign w:val="center"/>
          </w:tcPr>
          <w:p w14:paraId="5E86BFFD" w14:textId="0D209E86" w:rsidR="00CE0F50" w:rsidRDefault="00CE0F50" w:rsidP="00475771">
            <w:pPr>
              <w:spacing w:before="120" w:after="120"/>
            </w:pPr>
            <w:r w:rsidRPr="007A14CE">
              <w:rPr>
                <w:b/>
                <w:bCs/>
                <w:color w:val="4E1A74" w:themeColor="text2"/>
              </w:rPr>
              <w:t>Date/s of inspection:</w:t>
            </w:r>
            <w:r w:rsidR="007A14CE">
              <w:t xml:space="preserve"> </w:t>
            </w:r>
            <w:r w:rsidR="00475771">
              <w:t>6</w:t>
            </w:r>
            <w:r w:rsidR="00EC6E1D" w:rsidRPr="00EC6E1D">
              <w:t xml:space="preserve"> </w:t>
            </w:r>
            <w:r w:rsidR="00475771">
              <w:t xml:space="preserve">and 11 </w:t>
            </w:r>
            <w:r w:rsidR="00EC6E1D" w:rsidRPr="00EC6E1D">
              <w:t>October 2018</w:t>
            </w:r>
          </w:p>
        </w:tc>
      </w:tr>
      <w:tr w:rsidR="00CE0F50" w14:paraId="3B6B464F" w14:textId="77777777" w:rsidTr="007A14CE">
        <w:tc>
          <w:tcPr>
            <w:tcW w:w="4814" w:type="dxa"/>
            <w:vMerge/>
            <w:vAlign w:val="center"/>
          </w:tcPr>
          <w:p w14:paraId="3BA00B4C" w14:textId="77777777" w:rsidR="00CE0F50" w:rsidRPr="0035687D" w:rsidRDefault="00CE0F50" w:rsidP="007A14CE">
            <w:pPr>
              <w:pStyle w:val="Heading2"/>
              <w:spacing w:before="120" w:after="120"/>
              <w:outlineLvl w:val="1"/>
            </w:pPr>
          </w:p>
        </w:tc>
        <w:tc>
          <w:tcPr>
            <w:tcW w:w="4814" w:type="dxa"/>
            <w:vAlign w:val="center"/>
          </w:tcPr>
          <w:p w14:paraId="05DE478B" w14:textId="54C6B94C" w:rsidR="00CE0F50" w:rsidRDefault="00CE0F50" w:rsidP="00FC10A3">
            <w:pPr>
              <w:spacing w:before="120" w:after="120"/>
            </w:pPr>
            <w:r w:rsidRPr="007A14CE">
              <w:rPr>
                <w:b/>
                <w:color w:val="4E1A74" w:themeColor="text2"/>
              </w:rPr>
              <w:t xml:space="preserve">Report </w:t>
            </w:r>
            <w:r w:rsidR="002449F3">
              <w:rPr>
                <w:b/>
                <w:color w:val="4E1A74" w:themeColor="text2"/>
              </w:rPr>
              <w:t>n</w:t>
            </w:r>
            <w:r w:rsidRPr="007A14CE">
              <w:rPr>
                <w:b/>
                <w:color w:val="4E1A74" w:themeColor="text2"/>
              </w:rPr>
              <w:t>o:</w:t>
            </w:r>
            <w:r w:rsidR="007A14CE" w:rsidRPr="007A14CE">
              <w:rPr>
                <w:color w:val="4E1A74" w:themeColor="text2"/>
              </w:rPr>
              <w:t xml:space="preserve"> </w:t>
            </w:r>
            <w:r w:rsidR="00C9242D" w:rsidRPr="00FC10A3">
              <w:t>R18/12</w:t>
            </w:r>
            <w:r w:rsidR="00FC10A3" w:rsidRPr="00FC10A3">
              <w:t>570</w:t>
            </w:r>
          </w:p>
        </w:tc>
      </w:tr>
      <w:tr w:rsidR="0035687D" w14:paraId="4CE60095" w14:textId="77777777" w:rsidTr="00F65516">
        <w:tc>
          <w:tcPr>
            <w:tcW w:w="9628" w:type="dxa"/>
            <w:gridSpan w:val="2"/>
          </w:tcPr>
          <w:p w14:paraId="1D7521FD" w14:textId="087958F4" w:rsidR="0035687D" w:rsidRPr="00AF4FF3" w:rsidRDefault="0035687D" w:rsidP="0035687D">
            <w:pPr>
              <w:rPr>
                <w:b/>
              </w:rPr>
            </w:pPr>
            <w:r w:rsidRPr="00AF4FF3">
              <w:t xml:space="preserve">An inspection was conducted as part of ARPANSA’s baseline inspection program to assess compliance with the </w:t>
            </w:r>
            <w:r w:rsidRPr="00AF4FF3">
              <w:rPr>
                <w:i/>
              </w:rPr>
              <w:t>Australian Radiation Protection and Nuclear Safety Act 1998</w:t>
            </w:r>
            <w:r w:rsidRPr="00AF4FF3">
              <w:t xml:space="preserve"> (the Act), </w:t>
            </w:r>
            <w:r w:rsidRPr="007D2F49">
              <w:rPr>
                <w:i/>
              </w:rPr>
              <w:t>the Australian Radiation Protection and Nuclear Safety Regulations 1999</w:t>
            </w:r>
            <w:r w:rsidRPr="00AF4FF3">
              <w:t xml:space="preserve"> (the Regulations), and conditions of </w:t>
            </w:r>
            <w:r w:rsidRPr="00792A4E">
              <w:t xml:space="preserve">Source </w:t>
            </w:r>
            <w:r w:rsidRPr="0011199B">
              <w:t>Licence</w:t>
            </w:r>
            <w:r w:rsidR="00CE0F50">
              <w:t xml:space="preserve"> </w:t>
            </w:r>
            <w:sdt>
              <w:sdtPr>
                <w:alias w:val="Licence Number"/>
                <w:tag w:val=""/>
                <w:id w:val="-1852640385"/>
                <w:placeholder>
                  <w:docPart w:val="BF3AFB186BF84C19B2673D8246D7BC9F"/>
                </w:placeholder>
                <w:dataBinding w:prefixMappings="xmlns:ns0='http://purl.org/dc/elements/1.1/' xmlns:ns1='http://schemas.openxmlformats.org/package/2006/metadata/core-properties' " w:xpath="/ns1:coreProperties[1]/ns1:keywords[1]" w:storeItemID="{6C3C8BC8-F283-45AE-878A-BAB7291924A1}"/>
                <w:text/>
              </w:sdtPr>
              <w:sdtEndPr/>
              <w:sdtContent>
                <w:r w:rsidR="0098075C">
                  <w:t>S0</w:t>
                </w:r>
                <w:r w:rsidR="00DC2319">
                  <w:t>288</w:t>
                </w:r>
              </w:sdtContent>
            </w:sdt>
            <w:r w:rsidRPr="0011199B">
              <w:t>.</w:t>
            </w:r>
            <w:r w:rsidRPr="00AF4FF3">
              <w:rPr>
                <w:color w:val="FF0000"/>
              </w:rPr>
              <w:t xml:space="preserve"> </w:t>
            </w:r>
          </w:p>
          <w:p w14:paraId="31A59FDB" w14:textId="3A30BCA3" w:rsidR="0035687D" w:rsidRPr="00AF4FF3" w:rsidRDefault="0035687D" w:rsidP="0035687D">
            <w:r w:rsidRPr="00AF4FF3">
              <w:t xml:space="preserve">The scope of the inspection included an assessment of </w:t>
            </w:r>
            <w:r w:rsidR="00A15D1B">
              <w:t>DIRD</w:t>
            </w:r>
            <w:r w:rsidR="00134CFB">
              <w:t>C</w:t>
            </w:r>
            <w:r w:rsidRPr="00AF4FF3">
              <w:t xml:space="preserve"> performance </w:t>
            </w:r>
            <w:r w:rsidRPr="00792A4E">
              <w:t xml:space="preserve">at </w:t>
            </w:r>
            <w:r w:rsidR="00792A4E" w:rsidRPr="00792A4E">
              <w:t xml:space="preserve">Christmas </w:t>
            </w:r>
            <w:r w:rsidR="00DC2319">
              <w:t xml:space="preserve">and Cocos </w:t>
            </w:r>
            <w:r w:rsidR="00A15D1B" w:rsidRPr="00EA410E">
              <w:rPr>
                <w:color w:val="4E4E4E"/>
                <w:lang w:val="en"/>
              </w:rPr>
              <w:t xml:space="preserve">(Keeling) </w:t>
            </w:r>
            <w:r w:rsidR="00792A4E" w:rsidRPr="00792A4E">
              <w:t>Island</w:t>
            </w:r>
            <w:r w:rsidR="00DC2319">
              <w:t>s</w:t>
            </w:r>
            <w:r w:rsidR="00792A4E" w:rsidRPr="00792A4E">
              <w:t xml:space="preserve"> </w:t>
            </w:r>
            <w:r w:rsidRPr="00792A4E">
              <w:t>against the Source Performance Objectives and Criteria (PO&amp;Cs)</w:t>
            </w:r>
            <w:r w:rsidRPr="00F06840">
              <w:t xml:space="preserve">. The inspection </w:t>
            </w:r>
            <w:r w:rsidRPr="00AF4FF3">
              <w:t xml:space="preserve">consisted of a review of records, interviews, and </w:t>
            </w:r>
            <w:r w:rsidRPr="00792A4E">
              <w:t>physical inspection of sources</w:t>
            </w:r>
            <w:r w:rsidRPr="00AF4FF3">
              <w:t xml:space="preserve">. </w:t>
            </w:r>
          </w:p>
          <w:p w14:paraId="39F27032" w14:textId="77777777" w:rsidR="0035687D" w:rsidRPr="00AF4FF3" w:rsidRDefault="0035687D" w:rsidP="0035687D">
            <w:pPr>
              <w:pStyle w:val="Heading1"/>
              <w:outlineLvl w:val="0"/>
            </w:pPr>
            <w:r w:rsidRPr="00AF4FF3">
              <w:t>Background</w:t>
            </w:r>
          </w:p>
          <w:p w14:paraId="24C70DA0" w14:textId="2964D8E2" w:rsidR="00610CF5" w:rsidRPr="00AF4FF3" w:rsidRDefault="00EA410E" w:rsidP="00610CF5">
            <w:r w:rsidRPr="00EA410E">
              <w:rPr>
                <w:color w:val="4E4E4E"/>
                <w:lang w:val="en"/>
              </w:rPr>
              <w:t>The DIRD</w:t>
            </w:r>
            <w:r w:rsidR="00134CFB">
              <w:rPr>
                <w:color w:val="4E4E4E"/>
                <w:lang w:val="en"/>
              </w:rPr>
              <w:t>C</w:t>
            </w:r>
            <w:r w:rsidRPr="00EA410E">
              <w:rPr>
                <w:color w:val="4E4E4E"/>
                <w:lang w:val="en"/>
              </w:rPr>
              <w:t xml:space="preserve"> </w:t>
            </w:r>
            <w:r>
              <w:rPr>
                <w:color w:val="4E4E4E"/>
                <w:lang w:val="en"/>
              </w:rPr>
              <w:t xml:space="preserve">holds a </w:t>
            </w:r>
            <w:proofErr w:type="spellStart"/>
            <w:r>
              <w:rPr>
                <w:color w:val="4E4E4E"/>
                <w:lang w:val="en"/>
              </w:rPr>
              <w:t>licence</w:t>
            </w:r>
            <w:proofErr w:type="spellEnd"/>
            <w:r>
              <w:rPr>
                <w:color w:val="4E4E4E"/>
                <w:lang w:val="en"/>
              </w:rPr>
              <w:t xml:space="preserve"> under section 33 of the Act to use ionising </w:t>
            </w:r>
            <w:r w:rsidR="00EA14DE">
              <w:rPr>
                <w:color w:val="4E4E4E"/>
                <w:lang w:val="en"/>
              </w:rPr>
              <w:t xml:space="preserve">radiation </w:t>
            </w:r>
            <w:r>
              <w:rPr>
                <w:color w:val="4E4E4E"/>
                <w:lang w:val="en"/>
              </w:rPr>
              <w:t xml:space="preserve">apparatus for baggage inspection via a private sector contractor </w:t>
            </w:r>
            <w:r w:rsidRPr="00EA410E">
              <w:rPr>
                <w:color w:val="4E4E4E"/>
                <w:lang w:val="en"/>
              </w:rPr>
              <w:t xml:space="preserve">at </w:t>
            </w:r>
            <w:r w:rsidR="00230512">
              <w:rPr>
                <w:color w:val="4E4E4E"/>
                <w:lang w:val="en"/>
              </w:rPr>
              <w:t>the a</w:t>
            </w:r>
            <w:r w:rsidR="00230512" w:rsidRPr="00EA410E">
              <w:rPr>
                <w:color w:val="4E4E4E"/>
                <w:lang w:val="en"/>
              </w:rPr>
              <w:t xml:space="preserve">irports </w:t>
            </w:r>
            <w:r w:rsidR="00230512">
              <w:rPr>
                <w:color w:val="4E4E4E"/>
                <w:lang w:val="en"/>
              </w:rPr>
              <w:t xml:space="preserve">at </w:t>
            </w:r>
            <w:r w:rsidRPr="00EA410E">
              <w:rPr>
                <w:color w:val="4E4E4E"/>
                <w:lang w:val="en"/>
              </w:rPr>
              <w:t>Christmas and Cocos (Keeling) Islands.</w:t>
            </w:r>
          </w:p>
          <w:p w14:paraId="03627657" w14:textId="4D902EAA" w:rsidR="00AF0F65" w:rsidRPr="00CD13F9" w:rsidRDefault="00610CF5" w:rsidP="0035687D">
            <w:pPr>
              <w:rPr>
                <w:color w:val="4E4E4E"/>
                <w:lang w:val="en"/>
              </w:rPr>
            </w:pPr>
            <w:r w:rsidRPr="00CD13F9">
              <w:rPr>
                <w:color w:val="4E4E4E"/>
                <w:lang w:val="en"/>
              </w:rPr>
              <w:t xml:space="preserve">The main code applicable to </w:t>
            </w:r>
            <w:r w:rsidR="00FC10A3">
              <w:rPr>
                <w:color w:val="4E4E4E"/>
                <w:lang w:val="en"/>
              </w:rPr>
              <w:t xml:space="preserve">these </w:t>
            </w:r>
            <w:r w:rsidR="00AF0F65" w:rsidRPr="00CD13F9">
              <w:rPr>
                <w:color w:val="4E4E4E"/>
                <w:lang w:val="en"/>
              </w:rPr>
              <w:t>devices</w:t>
            </w:r>
            <w:r w:rsidR="00FC10A3">
              <w:rPr>
                <w:color w:val="4E4E4E"/>
                <w:lang w:val="en"/>
              </w:rPr>
              <w:t xml:space="preserve"> is</w:t>
            </w:r>
            <w:r w:rsidR="00AF0F65" w:rsidRPr="00CD13F9">
              <w:rPr>
                <w:color w:val="4E4E4E"/>
                <w:lang w:val="en"/>
              </w:rPr>
              <w:t>:</w:t>
            </w:r>
          </w:p>
          <w:p w14:paraId="73629875" w14:textId="77777777" w:rsidR="00AF0F65" w:rsidRPr="002A70A0" w:rsidRDefault="00AF0F65" w:rsidP="002A70A0">
            <w:pPr>
              <w:pStyle w:val="ListParagraph"/>
              <w:numPr>
                <w:ilvl w:val="0"/>
                <w:numId w:val="26"/>
              </w:numPr>
              <w:autoSpaceDE w:val="0"/>
              <w:autoSpaceDN w:val="0"/>
              <w:adjustRightInd w:val="0"/>
              <w:ind w:left="743" w:hanging="425"/>
              <w:rPr>
                <w:color w:val="4E4E4E"/>
                <w:lang w:val="en"/>
              </w:rPr>
            </w:pPr>
            <w:r w:rsidRPr="002A70A0">
              <w:rPr>
                <w:color w:val="4E4E4E"/>
                <w:lang w:val="en"/>
              </w:rPr>
              <w:t xml:space="preserve">Radiation Health Series </w:t>
            </w:r>
            <w:r w:rsidR="00CD13F9" w:rsidRPr="002A70A0">
              <w:rPr>
                <w:color w:val="4E4E4E"/>
                <w:lang w:val="en"/>
              </w:rPr>
              <w:t>21</w:t>
            </w:r>
            <w:r w:rsidRPr="002A70A0">
              <w:rPr>
                <w:color w:val="4E4E4E"/>
                <w:lang w:val="en"/>
              </w:rPr>
              <w:t xml:space="preserve"> </w:t>
            </w:r>
            <w:r w:rsidR="00CD13F9" w:rsidRPr="002A70A0">
              <w:rPr>
                <w:i/>
                <w:color w:val="4E4E4E"/>
                <w:lang w:val="en"/>
              </w:rPr>
              <w:t>Statement on cabinet X-ray equipment for examination of letters, packages, baggage, freight and other articles for security, quality control and other purposes</w:t>
            </w:r>
            <w:r w:rsidRPr="002A70A0">
              <w:rPr>
                <w:i/>
                <w:color w:val="4E4E4E"/>
                <w:lang w:val="en"/>
              </w:rPr>
              <w:t xml:space="preserve"> (198</w:t>
            </w:r>
            <w:r w:rsidR="00CD13F9" w:rsidRPr="002A70A0">
              <w:rPr>
                <w:i/>
                <w:color w:val="4E4E4E"/>
                <w:lang w:val="en"/>
              </w:rPr>
              <w:t>7</w:t>
            </w:r>
            <w:r w:rsidRPr="002A70A0">
              <w:rPr>
                <w:i/>
                <w:color w:val="4E4E4E"/>
                <w:lang w:val="en"/>
              </w:rPr>
              <w:t>)</w:t>
            </w:r>
            <w:r w:rsidRPr="002A70A0">
              <w:rPr>
                <w:color w:val="4E4E4E"/>
                <w:lang w:val="en"/>
              </w:rPr>
              <w:t xml:space="preserve"> (RHS</w:t>
            </w:r>
            <w:r w:rsidR="00CD13F9" w:rsidRPr="002A70A0">
              <w:rPr>
                <w:color w:val="4E4E4E"/>
                <w:lang w:val="en"/>
              </w:rPr>
              <w:t>21</w:t>
            </w:r>
            <w:r w:rsidRPr="002A70A0">
              <w:rPr>
                <w:color w:val="4E4E4E"/>
                <w:lang w:val="en"/>
              </w:rPr>
              <w:t>)</w:t>
            </w:r>
          </w:p>
          <w:p w14:paraId="6BA355D1" w14:textId="77777777" w:rsidR="0035687D" w:rsidRPr="00AF4FF3" w:rsidRDefault="0035687D" w:rsidP="0035687D">
            <w:pPr>
              <w:pStyle w:val="Heading1"/>
              <w:outlineLvl w:val="0"/>
              <w:rPr>
                <w:rFonts w:asciiTheme="majorHAnsi" w:hAnsiTheme="majorHAnsi"/>
                <w:color w:val="AF6FE0" w:themeColor="accent1" w:themeShade="BF"/>
              </w:rPr>
            </w:pPr>
            <w:r w:rsidRPr="00AF4FF3">
              <w:t>Observations</w:t>
            </w:r>
          </w:p>
          <w:p w14:paraId="74201DFF" w14:textId="3FD8AD5F" w:rsidR="00CD13F9" w:rsidRDefault="00CD13F9" w:rsidP="0035687D">
            <w:pPr>
              <w:pStyle w:val="Heading2"/>
              <w:outlineLvl w:val="1"/>
              <w:rPr>
                <w:rFonts w:asciiTheme="minorHAnsi" w:eastAsiaTheme="minorHAnsi" w:hAnsiTheme="minorHAnsi" w:cstheme="minorBidi"/>
                <w:b w:val="0"/>
                <w:bCs w:val="0"/>
                <w:color w:val="4E4E4E"/>
                <w:sz w:val="22"/>
                <w:szCs w:val="22"/>
                <w:lang w:val="en"/>
              </w:rPr>
            </w:pPr>
            <w:r w:rsidRPr="00CD13F9">
              <w:rPr>
                <w:rFonts w:asciiTheme="minorHAnsi" w:eastAsiaTheme="minorHAnsi" w:hAnsiTheme="minorHAnsi" w:cstheme="minorBidi"/>
                <w:b w:val="0"/>
                <w:bCs w:val="0"/>
                <w:color w:val="4E4E4E"/>
                <w:sz w:val="22"/>
                <w:szCs w:val="22"/>
                <w:lang w:val="en"/>
              </w:rPr>
              <w:t xml:space="preserve">In general, the management of </w:t>
            </w:r>
            <w:r w:rsidR="00432EDB">
              <w:rPr>
                <w:rFonts w:asciiTheme="minorHAnsi" w:eastAsiaTheme="minorHAnsi" w:hAnsiTheme="minorHAnsi" w:cstheme="minorBidi"/>
                <w:b w:val="0"/>
                <w:bCs w:val="0"/>
                <w:color w:val="4E4E4E"/>
                <w:sz w:val="22"/>
                <w:szCs w:val="22"/>
                <w:lang w:val="en"/>
              </w:rPr>
              <w:t xml:space="preserve">radiation </w:t>
            </w:r>
            <w:r w:rsidRPr="00CD13F9">
              <w:rPr>
                <w:rFonts w:asciiTheme="minorHAnsi" w:eastAsiaTheme="minorHAnsi" w:hAnsiTheme="minorHAnsi" w:cstheme="minorBidi"/>
                <w:b w:val="0"/>
                <w:bCs w:val="0"/>
                <w:color w:val="4E4E4E"/>
                <w:sz w:val="22"/>
                <w:szCs w:val="22"/>
                <w:lang w:val="en"/>
              </w:rPr>
              <w:t xml:space="preserve">safety at </w:t>
            </w:r>
            <w:r>
              <w:rPr>
                <w:rFonts w:asciiTheme="minorHAnsi" w:eastAsiaTheme="minorHAnsi" w:hAnsiTheme="minorHAnsi" w:cstheme="minorBidi"/>
                <w:b w:val="0"/>
                <w:bCs w:val="0"/>
                <w:color w:val="4E4E4E"/>
                <w:sz w:val="22"/>
                <w:szCs w:val="22"/>
                <w:lang w:val="en"/>
              </w:rPr>
              <w:t>Christmas</w:t>
            </w:r>
            <w:r w:rsidR="004301CD">
              <w:rPr>
                <w:rFonts w:asciiTheme="minorHAnsi" w:eastAsiaTheme="minorHAnsi" w:hAnsiTheme="minorHAnsi" w:cstheme="minorBidi"/>
                <w:b w:val="0"/>
                <w:bCs w:val="0"/>
                <w:color w:val="4E4E4E"/>
                <w:sz w:val="22"/>
                <w:szCs w:val="22"/>
                <w:lang w:val="en"/>
              </w:rPr>
              <w:t xml:space="preserve"> and Cocos (Keeling)</w:t>
            </w:r>
            <w:r>
              <w:rPr>
                <w:rFonts w:asciiTheme="minorHAnsi" w:eastAsiaTheme="minorHAnsi" w:hAnsiTheme="minorHAnsi" w:cstheme="minorBidi"/>
                <w:b w:val="0"/>
                <w:bCs w:val="0"/>
                <w:color w:val="4E4E4E"/>
                <w:sz w:val="22"/>
                <w:szCs w:val="22"/>
                <w:lang w:val="en"/>
              </w:rPr>
              <w:t xml:space="preserve"> Island</w:t>
            </w:r>
            <w:r w:rsidR="004301CD">
              <w:rPr>
                <w:rFonts w:asciiTheme="minorHAnsi" w:eastAsiaTheme="minorHAnsi" w:hAnsiTheme="minorHAnsi" w:cstheme="minorBidi"/>
                <w:b w:val="0"/>
                <w:bCs w:val="0"/>
                <w:color w:val="4E4E4E"/>
                <w:sz w:val="22"/>
                <w:szCs w:val="22"/>
                <w:lang w:val="en"/>
              </w:rPr>
              <w:t>s</w:t>
            </w:r>
            <w:r>
              <w:rPr>
                <w:rFonts w:asciiTheme="minorHAnsi" w:eastAsiaTheme="minorHAnsi" w:hAnsiTheme="minorHAnsi" w:cstheme="minorBidi"/>
                <w:b w:val="0"/>
                <w:bCs w:val="0"/>
                <w:color w:val="4E4E4E"/>
                <w:sz w:val="22"/>
                <w:szCs w:val="22"/>
                <w:lang w:val="en"/>
              </w:rPr>
              <w:t xml:space="preserve"> </w:t>
            </w:r>
            <w:r w:rsidRPr="00CD13F9">
              <w:rPr>
                <w:rFonts w:asciiTheme="minorHAnsi" w:eastAsiaTheme="minorHAnsi" w:hAnsiTheme="minorHAnsi" w:cstheme="minorBidi"/>
                <w:b w:val="0"/>
                <w:bCs w:val="0"/>
                <w:color w:val="4E4E4E"/>
                <w:sz w:val="22"/>
                <w:szCs w:val="22"/>
                <w:lang w:val="en"/>
              </w:rPr>
              <w:t xml:space="preserve">was found to be satisfactory. </w:t>
            </w:r>
            <w:r w:rsidR="004301CD">
              <w:rPr>
                <w:rFonts w:asciiTheme="minorHAnsi" w:eastAsiaTheme="minorHAnsi" w:hAnsiTheme="minorHAnsi" w:cstheme="minorBidi"/>
                <w:b w:val="0"/>
                <w:bCs w:val="0"/>
                <w:color w:val="4E4E4E"/>
                <w:sz w:val="22"/>
                <w:szCs w:val="22"/>
                <w:lang w:val="en"/>
              </w:rPr>
              <w:t>H</w:t>
            </w:r>
            <w:r w:rsidR="00915A35">
              <w:rPr>
                <w:rFonts w:asciiTheme="minorHAnsi" w:eastAsiaTheme="minorHAnsi" w:hAnsiTheme="minorHAnsi" w:cstheme="minorBidi"/>
                <w:b w:val="0"/>
                <w:bCs w:val="0"/>
                <w:color w:val="4E4E4E"/>
                <w:sz w:val="22"/>
                <w:szCs w:val="22"/>
                <w:lang w:val="en"/>
              </w:rPr>
              <w:t>owever, there appeared to be a non-compliance at each location</w:t>
            </w:r>
            <w:r w:rsidR="004301CD">
              <w:rPr>
                <w:rFonts w:asciiTheme="minorHAnsi" w:eastAsiaTheme="minorHAnsi" w:hAnsiTheme="minorHAnsi" w:cstheme="minorBidi"/>
                <w:b w:val="0"/>
                <w:bCs w:val="0"/>
                <w:color w:val="4E4E4E"/>
                <w:sz w:val="22"/>
                <w:szCs w:val="22"/>
                <w:lang w:val="en"/>
              </w:rPr>
              <w:t xml:space="preserve"> in relation to two pieces of equipment that did not match the information contained in the</w:t>
            </w:r>
            <w:r w:rsidR="004301CD" w:rsidRPr="004301CD">
              <w:rPr>
                <w:rFonts w:asciiTheme="minorHAnsi" w:eastAsiaTheme="minorHAnsi" w:hAnsiTheme="minorHAnsi" w:cstheme="minorBidi"/>
                <w:b w:val="0"/>
                <w:bCs w:val="0"/>
                <w:color w:val="4E4E4E"/>
                <w:sz w:val="22"/>
                <w:szCs w:val="22"/>
                <w:lang w:val="en"/>
              </w:rPr>
              <w:t xml:space="preserve"> Source Inventory Workbook (SIW)</w:t>
            </w:r>
            <w:r w:rsidR="00915A35">
              <w:rPr>
                <w:rFonts w:asciiTheme="minorHAnsi" w:eastAsiaTheme="minorHAnsi" w:hAnsiTheme="minorHAnsi" w:cstheme="minorBidi"/>
                <w:b w:val="0"/>
                <w:bCs w:val="0"/>
                <w:color w:val="4E4E4E"/>
                <w:sz w:val="22"/>
                <w:szCs w:val="22"/>
                <w:lang w:val="en"/>
              </w:rPr>
              <w:t>.</w:t>
            </w:r>
          </w:p>
          <w:p w14:paraId="0F2BAF35" w14:textId="4587FBF3" w:rsidR="0035687D" w:rsidRPr="00AF4FF3" w:rsidRDefault="00CD13F9" w:rsidP="0035687D">
            <w:pPr>
              <w:pStyle w:val="Heading2"/>
              <w:outlineLvl w:val="1"/>
            </w:pPr>
            <w:r>
              <w:t xml:space="preserve">Performance </w:t>
            </w:r>
            <w:r w:rsidR="00271AE4">
              <w:t>r</w:t>
            </w:r>
            <w:r>
              <w:t xml:space="preserve">eporting and </w:t>
            </w:r>
            <w:r w:rsidR="00271AE4">
              <w:t>v</w:t>
            </w:r>
            <w:r>
              <w:t>erification</w:t>
            </w:r>
            <w:r w:rsidR="00371CBC">
              <w:t xml:space="preserve"> and </w:t>
            </w:r>
            <w:r w:rsidR="00271AE4">
              <w:t>c</w:t>
            </w:r>
            <w:r w:rsidR="00371CBC">
              <w:t xml:space="preserve">onfiguration </w:t>
            </w:r>
            <w:r w:rsidR="00271AE4">
              <w:t>c</w:t>
            </w:r>
            <w:r w:rsidR="00371CBC">
              <w:t>ontrol</w:t>
            </w:r>
          </w:p>
          <w:p w14:paraId="6FA8539F" w14:textId="4F04B70E" w:rsidR="00432EDB" w:rsidRDefault="00915A35" w:rsidP="00CD13F9">
            <w:pPr>
              <w:rPr>
                <w:color w:val="4E4E4E"/>
                <w:lang w:val="en"/>
              </w:rPr>
            </w:pPr>
            <w:r>
              <w:rPr>
                <w:color w:val="4E4E4E"/>
                <w:lang w:val="en"/>
              </w:rPr>
              <w:t>DIRD</w:t>
            </w:r>
            <w:r w:rsidR="00134CFB">
              <w:rPr>
                <w:color w:val="4E4E4E"/>
                <w:lang w:val="en"/>
              </w:rPr>
              <w:t>C</w:t>
            </w:r>
            <w:r w:rsidR="00CD13F9" w:rsidRPr="00CD13F9">
              <w:rPr>
                <w:color w:val="4E4E4E"/>
                <w:lang w:val="en"/>
              </w:rPr>
              <w:t xml:space="preserve"> sources </w:t>
            </w:r>
            <w:r>
              <w:rPr>
                <w:color w:val="4E4E4E"/>
                <w:lang w:val="en"/>
              </w:rPr>
              <w:t>we</w:t>
            </w:r>
            <w:r w:rsidR="00CD13F9" w:rsidRPr="00CD13F9">
              <w:rPr>
                <w:color w:val="4E4E4E"/>
                <w:lang w:val="en"/>
              </w:rPr>
              <w:t xml:space="preserve">re maintained in </w:t>
            </w:r>
            <w:r w:rsidR="00CD13F9">
              <w:rPr>
                <w:color w:val="4E4E4E"/>
                <w:lang w:val="en"/>
              </w:rPr>
              <w:t>i</w:t>
            </w:r>
            <w:r w:rsidR="00CD13F9" w:rsidRPr="00CD13F9">
              <w:rPr>
                <w:color w:val="4E4E4E"/>
                <w:lang w:val="en"/>
              </w:rPr>
              <w:t>t</w:t>
            </w:r>
            <w:r w:rsidR="00CD13F9">
              <w:rPr>
                <w:color w:val="4E4E4E"/>
                <w:lang w:val="en"/>
              </w:rPr>
              <w:t>s</w:t>
            </w:r>
            <w:r w:rsidR="00CD13F9" w:rsidRPr="00CD13F9">
              <w:rPr>
                <w:color w:val="4E4E4E"/>
                <w:lang w:val="en"/>
              </w:rPr>
              <w:t xml:space="preserve"> SIW</w:t>
            </w:r>
            <w:r>
              <w:rPr>
                <w:color w:val="4E4E4E"/>
                <w:lang w:val="en"/>
              </w:rPr>
              <w:t xml:space="preserve"> although </w:t>
            </w:r>
            <w:r w:rsidR="004301CD">
              <w:rPr>
                <w:color w:val="4E4E4E"/>
                <w:lang w:val="en"/>
              </w:rPr>
              <w:t xml:space="preserve">for </w:t>
            </w:r>
            <w:r>
              <w:rPr>
                <w:color w:val="4E4E4E"/>
                <w:lang w:val="en"/>
              </w:rPr>
              <w:t>two of the units listed, one on each island, t</w:t>
            </w:r>
            <w:r w:rsidR="00CD13F9" w:rsidRPr="00CD13F9">
              <w:rPr>
                <w:color w:val="4E4E4E"/>
                <w:lang w:val="en"/>
              </w:rPr>
              <w:t xml:space="preserve">he details </w:t>
            </w:r>
            <w:r w:rsidR="00454A45">
              <w:rPr>
                <w:color w:val="4E4E4E"/>
                <w:lang w:val="en"/>
              </w:rPr>
              <w:t xml:space="preserve">(e.g. </w:t>
            </w:r>
            <w:r w:rsidR="002A70A0">
              <w:rPr>
                <w:color w:val="4E4E4E"/>
                <w:lang w:val="en"/>
              </w:rPr>
              <w:t>m</w:t>
            </w:r>
            <w:r w:rsidR="00454A45">
              <w:rPr>
                <w:color w:val="4E4E4E"/>
                <w:lang w:val="en"/>
              </w:rPr>
              <w:t xml:space="preserve">ake, </w:t>
            </w:r>
            <w:r w:rsidR="002A70A0">
              <w:rPr>
                <w:color w:val="4E4E4E"/>
                <w:lang w:val="en"/>
              </w:rPr>
              <w:t>m</w:t>
            </w:r>
            <w:r w:rsidR="00454A45">
              <w:rPr>
                <w:color w:val="4E4E4E"/>
                <w:lang w:val="en"/>
              </w:rPr>
              <w:t xml:space="preserve">anufacturer, </w:t>
            </w:r>
            <w:r w:rsidR="002A70A0">
              <w:rPr>
                <w:color w:val="4E4E4E"/>
                <w:lang w:val="en"/>
              </w:rPr>
              <w:t>s</w:t>
            </w:r>
            <w:r w:rsidR="00454A45">
              <w:rPr>
                <w:color w:val="4E4E4E"/>
                <w:lang w:val="en"/>
              </w:rPr>
              <w:t xml:space="preserve">erial </w:t>
            </w:r>
            <w:r w:rsidR="002A70A0">
              <w:rPr>
                <w:color w:val="4E4E4E"/>
                <w:lang w:val="en"/>
              </w:rPr>
              <w:t>n</w:t>
            </w:r>
            <w:r w:rsidR="00454A45">
              <w:rPr>
                <w:color w:val="4E4E4E"/>
                <w:lang w:val="en"/>
              </w:rPr>
              <w:t xml:space="preserve">o., operating parameters) </w:t>
            </w:r>
            <w:r>
              <w:rPr>
                <w:color w:val="4E4E4E"/>
                <w:lang w:val="en"/>
              </w:rPr>
              <w:t xml:space="preserve">listed in </w:t>
            </w:r>
            <w:r w:rsidR="00CD13F9" w:rsidRPr="00CD13F9">
              <w:rPr>
                <w:color w:val="4E4E4E"/>
                <w:lang w:val="en"/>
              </w:rPr>
              <w:t>the SIW</w:t>
            </w:r>
            <w:r w:rsidR="004301CD">
              <w:rPr>
                <w:color w:val="4E4E4E"/>
                <w:lang w:val="en"/>
              </w:rPr>
              <w:t xml:space="preserve"> did not match those seen during the inspection</w:t>
            </w:r>
            <w:r w:rsidR="00CD13F9" w:rsidRPr="00CD13F9">
              <w:rPr>
                <w:color w:val="4E4E4E"/>
                <w:lang w:val="en"/>
              </w:rPr>
              <w:t>.</w:t>
            </w:r>
            <w:r w:rsidR="00271AE4">
              <w:rPr>
                <w:color w:val="4E4E4E"/>
                <w:lang w:val="en"/>
              </w:rPr>
              <w:t xml:space="preserve"> </w:t>
            </w:r>
            <w:r w:rsidR="004301CD">
              <w:rPr>
                <w:color w:val="4E4E4E"/>
                <w:lang w:val="en"/>
              </w:rPr>
              <w:t xml:space="preserve">This could represent potential non-compliance with Regulation 53(1) of the Regulations </w:t>
            </w:r>
            <w:r w:rsidR="00432EDB">
              <w:rPr>
                <w:color w:val="4E4E4E"/>
                <w:lang w:val="en"/>
              </w:rPr>
              <w:t>in that</w:t>
            </w:r>
            <w:r w:rsidR="0033050E" w:rsidRPr="00FC10A3">
              <w:rPr>
                <w:color w:val="4E4E4E"/>
                <w:lang w:val="en"/>
              </w:rPr>
              <w:t xml:space="preserve"> </w:t>
            </w:r>
            <w:r w:rsidR="0033050E">
              <w:rPr>
                <w:color w:val="4E4E4E"/>
                <w:lang w:val="en"/>
              </w:rPr>
              <w:t xml:space="preserve">the </w:t>
            </w:r>
            <w:r w:rsidR="0033050E" w:rsidRPr="00FC10A3">
              <w:rPr>
                <w:color w:val="4E4E4E"/>
                <w:lang w:val="en"/>
              </w:rPr>
              <w:t>previous equipment appears to have been disposed of without the approval of the CEO</w:t>
            </w:r>
            <w:r w:rsidR="0033050E">
              <w:rPr>
                <w:color w:val="4E4E4E"/>
                <w:lang w:val="en"/>
              </w:rPr>
              <w:t xml:space="preserve"> </w:t>
            </w:r>
            <w:r w:rsidR="00EA14DE">
              <w:rPr>
                <w:color w:val="4E4E4E"/>
                <w:lang w:val="en"/>
              </w:rPr>
              <w:t xml:space="preserve">of ARPANSA </w:t>
            </w:r>
            <w:r w:rsidR="0033050E">
              <w:rPr>
                <w:color w:val="4E4E4E"/>
                <w:lang w:val="en"/>
              </w:rPr>
              <w:t>(Regulation 53(1))</w:t>
            </w:r>
            <w:r w:rsidR="0033050E" w:rsidRPr="00FC10A3">
              <w:rPr>
                <w:color w:val="4E4E4E"/>
                <w:lang w:val="en"/>
              </w:rPr>
              <w:t>.</w:t>
            </w:r>
          </w:p>
          <w:p w14:paraId="55B707D1" w14:textId="1387905A" w:rsidR="00CD768F" w:rsidRDefault="00B648B5" w:rsidP="00CD768F">
            <w:pPr>
              <w:rPr>
                <w:color w:val="4E4E4E"/>
                <w:lang w:val="en"/>
              </w:rPr>
            </w:pPr>
            <w:r>
              <w:rPr>
                <w:color w:val="4E4E4E"/>
                <w:lang w:val="en"/>
              </w:rPr>
              <w:lastRenderedPageBreak/>
              <w:t>The quarterly report of October</w:t>
            </w:r>
            <w:bookmarkStart w:id="0" w:name="_GoBack"/>
            <w:bookmarkEnd w:id="0"/>
            <w:r>
              <w:rPr>
                <w:color w:val="4E4E4E"/>
                <w:lang w:val="en"/>
              </w:rPr>
              <w:t>–</w:t>
            </w:r>
            <w:r w:rsidR="00CD768F">
              <w:rPr>
                <w:color w:val="4E4E4E"/>
                <w:lang w:val="en"/>
              </w:rPr>
              <w:t>December 2017 did, however, include information relating to the acquisition and disposal of the two baggage inspection units. In light of the fact that this quarterly report had identified the change of equipment, the inaccuracy in the SIW is considered to be an area for improvement.</w:t>
            </w:r>
          </w:p>
          <w:p w14:paraId="3F2BF3D4" w14:textId="27EAB57E" w:rsidR="00CD13F9" w:rsidRDefault="00CD13F9" w:rsidP="00CD13F9">
            <w:pPr>
              <w:rPr>
                <w:color w:val="4E4E4E"/>
                <w:lang w:val="en"/>
              </w:rPr>
            </w:pPr>
            <w:r>
              <w:rPr>
                <w:color w:val="4E4E4E"/>
                <w:lang w:val="en"/>
              </w:rPr>
              <w:t>D</w:t>
            </w:r>
            <w:r w:rsidR="00432EDB">
              <w:rPr>
                <w:color w:val="4E4E4E"/>
                <w:lang w:val="en"/>
              </w:rPr>
              <w:t>IRD</w:t>
            </w:r>
            <w:r w:rsidR="00134CFB">
              <w:rPr>
                <w:color w:val="4E4E4E"/>
                <w:lang w:val="en"/>
              </w:rPr>
              <w:t>C</w:t>
            </w:r>
            <w:r w:rsidRPr="00CD13F9">
              <w:rPr>
                <w:color w:val="4E4E4E"/>
                <w:lang w:val="en"/>
              </w:rPr>
              <w:t xml:space="preserve"> provides ARPANSA with timely quarterly reports </w:t>
            </w:r>
            <w:r w:rsidR="008A4C25">
              <w:rPr>
                <w:color w:val="4E4E4E"/>
                <w:lang w:val="en"/>
              </w:rPr>
              <w:t>although a</w:t>
            </w:r>
            <w:r w:rsidR="00432EDB">
              <w:rPr>
                <w:color w:val="4E4E4E"/>
                <w:lang w:val="en"/>
              </w:rPr>
              <w:t xml:space="preserve"> recent review of this </w:t>
            </w:r>
            <w:proofErr w:type="spellStart"/>
            <w:r w:rsidR="00432EDB">
              <w:rPr>
                <w:color w:val="4E4E4E"/>
                <w:lang w:val="en"/>
              </w:rPr>
              <w:t>licence</w:t>
            </w:r>
            <w:proofErr w:type="spellEnd"/>
            <w:r w:rsidR="00432EDB">
              <w:rPr>
                <w:color w:val="4E4E4E"/>
                <w:lang w:val="en"/>
              </w:rPr>
              <w:t xml:space="preserve"> has reduced the frequency of reporting requirement </w:t>
            </w:r>
            <w:r w:rsidR="00271AE4">
              <w:rPr>
                <w:color w:val="4E4E4E"/>
                <w:lang w:val="en"/>
              </w:rPr>
              <w:t xml:space="preserve">from quarterly to six monthly. </w:t>
            </w:r>
            <w:r w:rsidRPr="00CD13F9">
              <w:rPr>
                <w:color w:val="4E4E4E"/>
                <w:lang w:val="en"/>
              </w:rPr>
              <w:t xml:space="preserve">The contents of the </w:t>
            </w:r>
            <w:r w:rsidR="00432EDB">
              <w:rPr>
                <w:color w:val="4E4E4E"/>
                <w:lang w:val="en"/>
              </w:rPr>
              <w:t xml:space="preserve">last </w:t>
            </w:r>
            <w:r w:rsidR="00376460">
              <w:rPr>
                <w:color w:val="4E4E4E"/>
                <w:lang w:val="en"/>
              </w:rPr>
              <w:t xml:space="preserve">four </w:t>
            </w:r>
            <w:r w:rsidR="00432EDB">
              <w:rPr>
                <w:color w:val="4E4E4E"/>
                <w:lang w:val="en"/>
              </w:rPr>
              <w:t xml:space="preserve">quarterly reports did not contain any </w:t>
            </w:r>
            <w:r w:rsidRPr="00CD13F9">
              <w:rPr>
                <w:color w:val="4E4E4E"/>
                <w:lang w:val="en"/>
              </w:rPr>
              <w:t>information</w:t>
            </w:r>
            <w:r w:rsidR="00432EDB">
              <w:rPr>
                <w:color w:val="4E4E4E"/>
                <w:lang w:val="en"/>
              </w:rPr>
              <w:t xml:space="preserve"> relating to</w:t>
            </w:r>
            <w:r w:rsidRPr="00CD13F9">
              <w:rPr>
                <w:color w:val="4E4E4E"/>
                <w:lang w:val="en"/>
              </w:rPr>
              <w:t>:</w:t>
            </w:r>
          </w:p>
          <w:p w14:paraId="1435CFAE" w14:textId="1B45FB89" w:rsidR="00CD13F9" w:rsidRPr="00271AE4" w:rsidRDefault="00CD13F9" w:rsidP="002A70A0">
            <w:pPr>
              <w:pStyle w:val="ListParagraph"/>
              <w:numPr>
                <w:ilvl w:val="0"/>
                <w:numId w:val="23"/>
              </w:numPr>
              <w:ind w:left="743" w:hanging="425"/>
              <w:rPr>
                <w:color w:val="4E4E4E"/>
                <w:lang w:val="en"/>
              </w:rPr>
            </w:pPr>
            <w:r w:rsidRPr="00271AE4">
              <w:rPr>
                <w:color w:val="4E4E4E"/>
                <w:lang w:val="en"/>
              </w:rPr>
              <w:t>source disposals in accordance with Regulation 53</w:t>
            </w:r>
            <w:r w:rsidR="00625B7E" w:rsidRPr="00271AE4">
              <w:rPr>
                <w:color w:val="4E4E4E"/>
                <w:lang w:val="en"/>
              </w:rPr>
              <w:t xml:space="preserve"> of the Regulations</w:t>
            </w:r>
          </w:p>
          <w:p w14:paraId="33229D76" w14:textId="38E49775" w:rsidR="0046750A" w:rsidRPr="00271AE4" w:rsidRDefault="0046750A" w:rsidP="002A70A0">
            <w:pPr>
              <w:pStyle w:val="ListParagraph"/>
              <w:numPr>
                <w:ilvl w:val="0"/>
                <w:numId w:val="23"/>
              </w:numPr>
              <w:ind w:left="743" w:hanging="425"/>
              <w:rPr>
                <w:color w:val="4E4E4E"/>
                <w:lang w:val="en"/>
              </w:rPr>
            </w:pPr>
            <w:r w:rsidRPr="00271AE4">
              <w:rPr>
                <w:color w:val="4E4E4E"/>
                <w:lang w:val="en"/>
              </w:rPr>
              <w:t>incidents, or</w:t>
            </w:r>
          </w:p>
          <w:p w14:paraId="3E1214EF" w14:textId="5F861D80" w:rsidR="00CD13F9" w:rsidRPr="00271AE4" w:rsidRDefault="00432EDB" w:rsidP="002A70A0">
            <w:pPr>
              <w:pStyle w:val="ListParagraph"/>
              <w:numPr>
                <w:ilvl w:val="0"/>
                <w:numId w:val="23"/>
              </w:numPr>
              <w:ind w:left="743" w:hanging="425"/>
              <w:rPr>
                <w:color w:val="4E4E4E"/>
                <w:lang w:val="en"/>
              </w:rPr>
            </w:pPr>
            <w:proofErr w:type="gramStart"/>
            <w:r w:rsidRPr="00271AE4">
              <w:rPr>
                <w:color w:val="4E4E4E"/>
                <w:lang w:val="en"/>
              </w:rPr>
              <w:t>the</w:t>
            </w:r>
            <w:proofErr w:type="gramEnd"/>
            <w:r w:rsidRPr="00271AE4">
              <w:rPr>
                <w:color w:val="4E4E4E"/>
                <w:lang w:val="en"/>
              </w:rPr>
              <w:t xml:space="preserve"> review and/or revision of </w:t>
            </w:r>
            <w:r w:rsidR="00CD13F9" w:rsidRPr="00271AE4">
              <w:rPr>
                <w:color w:val="4E4E4E"/>
                <w:lang w:val="en"/>
              </w:rPr>
              <w:t>plans and arrangements.</w:t>
            </w:r>
          </w:p>
          <w:p w14:paraId="56B9EE23" w14:textId="6A184317" w:rsidR="0035687D" w:rsidRDefault="00432EDB" w:rsidP="00CD13F9">
            <w:pPr>
              <w:rPr>
                <w:color w:val="4E4E4E"/>
                <w:lang w:val="en"/>
              </w:rPr>
            </w:pPr>
            <w:r>
              <w:rPr>
                <w:color w:val="4E4E4E"/>
                <w:lang w:val="en"/>
              </w:rPr>
              <w:t>Other than the potential non-compliance outlined above, t</w:t>
            </w:r>
            <w:r w:rsidR="00CD13F9" w:rsidRPr="00CD13F9">
              <w:rPr>
                <w:color w:val="4E4E4E"/>
                <w:lang w:val="en"/>
              </w:rPr>
              <w:t>he inspector</w:t>
            </w:r>
            <w:r w:rsidR="00CD13F9">
              <w:rPr>
                <w:color w:val="4E4E4E"/>
                <w:lang w:val="en"/>
              </w:rPr>
              <w:t>s</w:t>
            </w:r>
            <w:r w:rsidR="00CD13F9" w:rsidRPr="00CD13F9">
              <w:rPr>
                <w:color w:val="4E4E4E"/>
                <w:lang w:val="en"/>
              </w:rPr>
              <w:t xml:space="preserve"> found that all information</w:t>
            </w:r>
            <w:r w:rsidR="008A4C25">
              <w:rPr>
                <w:color w:val="4E4E4E"/>
                <w:lang w:val="en"/>
              </w:rPr>
              <w:t>, or lack thereof,</w:t>
            </w:r>
            <w:r w:rsidR="00CD13F9" w:rsidRPr="00CD13F9">
              <w:rPr>
                <w:color w:val="4E4E4E"/>
                <w:lang w:val="en"/>
              </w:rPr>
              <w:t xml:space="preserve"> was provided </w:t>
            </w:r>
            <w:r w:rsidR="008A4C25">
              <w:rPr>
                <w:color w:val="4E4E4E"/>
                <w:lang w:val="en"/>
              </w:rPr>
              <w:t>appropriately</w:t>
            </w:r>
            <w:r w:rsidR="00CD13F9" w:rsidRPr="00CD13F9">
              <w:rPr>
                <w:color w:val="4E4E4E"/>
                <w:lang w:val="en"/>
              </w:rPr>
              <w:t>.</w:t>
            </w:r>
          </w:p>
          <w:p w14:paraId="35F1A256" w14:textId="45E5FC61" w:rsidR="00A05425" w:rsidRDefault="00D431FD" w:rsidP="006E253C">
            <w:pPr>
              <w:rPr>
                <w:color w:val="4E4E4E"/>
                <w:lang w:val="en"/>
              </w:rPr>
            </w:pPr>
            <w:r>
              <w:rPr>
                <w:color w:val="4E4E4E"/>
                <w:lang w:val="en"/>
              </w:rPr>
              <w:t>DIRD</w:t>
            </w:r>
            <w:r w:rsidR="00134CFB">
              <w:rPr>
                <w:color w:val="4E4E4E"/>
                <w:lang w:val="en"/>
              </w:rPr>
              <w:t>C</w:t>
            </w:r>
            <w:r>
              <w:rPr>
                <w:color w:val="4E4E4E"/>
                <w:lang w:val="en"/>
              </w:rPr>
              <w:t xml:space="preserve"> </w:t>
            </w:r>
            <w:r w:rsidRPr="006E253C">
              <w:rPr>
                <w:color w:val="4E4E4E"/>
                <w:lang w:val="en"/>
              </w:rPr>
              <w:t>provided</w:t>
            </w:r>
            <w:r>
              <w:rPr>
                <w:color w:val="4E4E4E"/>
                <w:lang w:val="en"/>
              </w:rPr>
              <w:t xml:space="preserve"> the inspection team with a</w:t>
            </w:r>
            <w:r w:rsidR="006E253C">
              <w:rPr>
                <w:color w:val="4E4E4E"/>
                <w:lang w:val="en"/>
              </w:rPr>
              <w:t xml:space="preserve"> copy of </w:t>
            </w:r>
            <w:r w:rsidR="00FC10A3">
              <w:rPr>
                <w:color w:val="4E4E4E"/>
                <w:lang w:val="en"/>
              </w:rPr>
              <w:t>its</w:t>
            </w:r>
            <w:r w:rsidR="006E253C">
              <w:rPr>
                <w:color w:val="4E4E4E"/>
                <w:lang w:val="en"/>
              </w:rPr>
              <w:t xml:space="preserve"> </w:t>
            </w:r>
            <w:r w:rsidR="00EA3AFA">
              <w:rPr>
                <w:color w:val="4E4E4E"/>
                <w:lang w:val="en"/>
              </w:rPr>
              <w:t>Health and Safety Policy</w:t>
            </w:r>
            <w:r w:rsidR="006E253C">
              <w:rPr>
                <w:color w:val="4E4E4E"/>
                <w:lang w:val="en"/>
              </w:rPr>
              <w:t xml:space="preserve"> </w:t>
            </w:r>
            <w:r w:rsidR="00CC1BEA">
              <w:rPr>
                <w:color w:val="4E4E4E"/>
                <w:lang w:val="en"/>
              </w:rPr>
              <w:t xml:space="preserve">(HSP) </w:t>
            </w:r>
            <w:r w:rsidR="006E253C">
              <w:rPr>
                <w:color w:val="4E4E4E"/>
                <w:lang w:val="en"/>
              </w:rPr>
              <w:t xml:space="preserve">and standard operating procedures </w:t>
            </w:r>
            <w:r>
              <w:rPr>
                <w:color w:val="4E4E4E"/>
                <w:lang w:val="en"/>
              </w:rPr>
              <w:t xml:space="preserve">023, </w:t>
            </w:r>
            <w:r w:rsidR="00EA3AFA">
              <w:rPr>
                <w:color w:val="4E4E4E"/>
                <w:lang w:val="en"/>
              </w:rPr>
              <w:t>033</w:t>
            </w:r>
            <w:r>
              <w:rPr>
                <w:color w:val="4E4E4E"/>
                <w:lang w:val="en"/>
              </w:rPr>
              <w:t>,</w:t>
            </w:r>
            <w:r w:rsidR="00EA3AFA">
              <w:rPr>
                <w:color w:val="4E4E4E"/>
                <w:lang w:val="en"/>
              </w:rPr>
              <w:t xml:space="preserve"> 041 </w:t>
            </w:r>
            <w:r>
              <w:rPr>
                <w:color w:val="4E4E4E"/>
                <w:lang w:val="en"/>
              </w:rPr>
              <w:t xml:space="preserve">and 042 </w:t>
            </w:r>
            <w:r w:rsidR="006E253C">
              <w:rPr>
                <w:color w:val="4E4E4E"/>
                <w:lang w:val="en"/>
              </w:rPr>
              <w:t>for the baggage inspection equipment</w:t>
            </w:r>
            <w:r>
              <w:rPr>
                <w:color w:val="4E4E4E"/>
                <w:lang w:val="en"/>
              </w:rPr>
              <w:t xml:space="preserve"> for review before the inspection</w:t>
            </w:r>
            <w:r w:rsidR="006E253C" w:rsidRPr="006E253C">
              <w:rPr>
                <w:color w:val="4E4E4E"/>
                <w:lang w:val="en"/>
              </w:rPr>
              <w:t>.</w:t>
            </w:r>
            <w:r w:rsidR="006E253C">
              <w:rPr>
                <w:color w:val="4E4E4E"/>
                <w:lang w:val="en"/>
              </w:rPr>
              <w:t xml:space="preserve"> </w:t>
            </w:r>
            <w:r w:rsidR="006E253C" w:rsidRPr="006E253C">
              <w:rPr>
                <w:color w:val="4E4E4E"/>
                <w:lang w:val="en"/>
              </w:rPr>
              <w:t>Th</w:t>
            </w:r>
            <w:r w:rsidR="006E253C">
              <w:rPr>
                <w:color w:val="4E4E4E"/>
                <w:lang w:val="en"/>
              </w:rPr>
              <w:t xml:space="preserve">ese </w:t>
            </w:r>
            <w:r w:rsidR="006E253C" w:rsidRPr="006E253C">
              <w:rPr>
                <w:color w:val="4E4E4E"/>
                <w:lang w:val="en"/>
              </w:rPr>
              <w:t>document</w:t>
            </w:r>
            <w:r w:rsidR="006E253C">
              <w:rPr>
                <w:color w:val="4E4E4E"/>
                <w:lang w:val="en"/>
              </w:rPr>
              <w:t>s</w:t>
            </w:r>
            <w:r w:rsidR="006E253C" w:rsidRPr="006E253C">
              <w:rPr>
                <w:color w:val="4E4E4E"/>
                <w:lang w:val="en"/>
              </w:rPr>
              <w:t xml:space="preserve"> </w:t>
            </w:r>
            <w:r w:rsidR="006E253C">
              <w:rPr>
                <w:color w:val="4E4E4E"/>
                <w:lang w:val="en"/>
              </w:rPr>
              <w:t>ma</w:t>
            </w:r>
            <w:r w:rsidR="00A83D1D">
              <w:rPr>
                <w:color w:val="4E4E4E"/>
                <w:lang w:val="en"/>
              </w:rPr>
              <w:t>d</w:t>
            </w:r>
            <w:r w:rsidR="006E253C">
              <w:rPr>
                <w:color w:val="4E4E4E"/>
                <w:lang w:val="en"/>
              </w:rPr>
              <w:t>e up D</w:t>
            </w:r>
            <w:r>
              <w:rPr>
                <w:color w:val="4E4E4E"/>
                <w:lang w:val="en"/>
              </w:rPr>
              <w:t>IRD</w:t>
            </w:r>
            <w:r w:rsidR="00005CA6">
              <w:rPr>
                <w:color w:val="4E4E4E"/>
                <w:lang w:val="en"/>
              </w:rPr>
              <w:t>C</w:t>
            </w:r>
            <w:r w:rsidR="006E253C">
              <w:rPr>
                <w:color w:val="4E4E4E"/>
                <w:lang w:val="en"/>
              </w:rPr>
              <w:t xml:space="preserve">’s </w:t>
            </w:r>
            <w:r w:rsidR="006E253C" w:rsidRPr="006E253C">
              <w:rPr>
                <w:color w:val="4E4E4E"/>
                <w:lang w:val="en"/>
              </w:rPr>
              <w:t xml:space="preserve">plans and arrangements on radiation safety and </w:t>
            </w:r>
            <w:r w:rsidR="00A05425">
              <w:rPr>
                <w:color w:val="4E4E4E"/>
                <w:lang w:val="en"/>
              </w:rPr>
              <w:t>D</w:t>
            </w:r>
            <w:r>
              <w:rPr>
                <w:color w:val="4E4E4E"/>
                <w:lang w:val="en"/>
              </w:rPr>
              <w:t>IRD</w:t>
            </w:r>
            <w:r w:rsidR="00134CFB">
              <w:rPr>
                <w:color w:val="4E4E4E"/>
                <w:lang w:val="en"/>
              </w:rPr>
              <w:t>C</w:t>
            </w:r>
            <w:r w:rsidR="00A05425">
              <w:rPr>
                <w:color w:val="4E4E4E"/>
                <w:lang w:val="en"/>
              </w:rPr>
              <w:t xml:space="preserve"> </w:t>
            </w:r>
            <w:r w:rsidR="006E253C">
              <w:rPr>
                <w:color w:val="4E4E4E"/>
                <w:lang w:val="en"/>
              </w:rPr>
              <w:t>had review</w:t>
            </w:r>
            <w:r w:rsidR="00A05425">
              <w:rPr>
                <w:color w:val="4E4E4E"/>
                <w:lang w:val="en"/>
              </w:rPr>
              <w:t>e</w:t>
            </w:r>
            <w:r w:rsidR="006E253C">
              <w:rPr>
                <w:color w:val="4E4E4E"/>
                <w:lang w:val="en"/>
              </w:rPr>
              <w:t xml:space="preserve">d </w:t>
            </w:r>
            <w:r w:rsidR="00A05425">
              <w:rPr>
                <w:color w:val="4E4E4E"/>
                <w:lang w:val="en"/>
              </w:rPr>
              <w:t xml:space="preserve">them </w:t>
            </w:r>
            <w:r w:rsidR="006E253C">
              <w:rPr>
                <w:color w:val="4E4E4E"/>
                <w:lang w:val="en"/>
              </w:rPr>
              <w:t xml:space="preserve">within the last </w:t>
            </w:r>
            <w:r>
              <w:rPr>
                <w:color w:val="4E4E4E"/>
                <w:lang w:val="en"/>
              </w:rPr>
              <w:t xml:space="preserve">3 years, the oldest being </w:t>
            </w:r>
            <w:r w:rsidR="00FC10A3">
              <w:rPr>
                <w:color w:val="4E4E4E"/>
                <w:lang w:val="en"/>
              </w:rPr>
              <w:t xml:space="preserve">on </w:t>
            </w:r>
            <w:r>
              <w:rPr>
                <w:color w:val="4E4E4E"/>
                <w:lang w:val="en"/>
              </w:rPr>
              <w:t>14 March 2016 for SOP23, SOP33 and SOP42</w:t>
            </w:r>
            <w:r w:rsidR="006E253C" w:rsidRPr="006E253C">
              <w:rPr>
                <w:color w:val="4E4E4E"/>
                <w:lang w:val="en"/>
              </w:rPr>
              <w:t>.</w:t>
            </w:r>
          </w:p>
          <w:p w14:paraId="11ED8D1E" w14:textId="1EC6C62C" w:rsidR="00A05425" w:rsidRPr="00A05425" w:rsidRDefault="00A05425" w:rsidP="00A05425">
            <w:pPr>
              <w:pStyle w:val="Heading2"/>
              <w:outlineLvl w:val="1"/>
            </w:pPr>
            <w:r w:rsidRPr="00A05425">
              <w:t xml:space="preserve">Inspection, </w:t>
            </w:r>
            <w:r w:rsidR="00271AE4">
              <w:t>testing and m</w:t>
            </w:r>
            <w:r w:rsidRPr="00A05425">
              <w:t>aintenance (</w:t>
            </w:r>
            <w:r w:rsidR="00271AE4">
              <w:t>s</w:t>
            </w:r>
            <w:r w:rsidRPr="00A05425">
              <w:t xml:space="preserve">ervicing) </w:t>
            </w:r>
          </w:p>
          <w:p w14:paraId="614B8380" w14:textId="3A8C0B5C" w:rsidR="00A05425" w:rsidRPr="00A05425" w:rsidRDefault="00CC1BEA" w:rsidP="00A05425">
            <w:pPr>
              <w:rPr>
                <w:color w:val="4E4E4E"/>
                <w:lang w:val="en"/>
              </w:rPr>
            </w:pPr>
            <w:r w:rsidRPr="00CC1BEA">
              <w:rPr>
                <w:color w:val="4E4E4E"/>
                <w:lang w:val="en"/>
              </w:rPr>
              <w:t xml:space="preserve">Copies of recent maintenance/service reports </w:t>
            </w:r>
            <w:r>
              <w:rPr>
                <w:color w:val="4E4E4E"/>
                <w:lang w:val="en"/>
              </w:rPr>
              <w:t xml:space="preserve">of </w:t>
            </w:r>
            <w:r w:rsidRPr="00CC1BEA">
              <w:rPr>
                <w:color w:val="4E4E4E"/>
                <w:lang w:val="en"/>
              </w:rPr>
              <w:t>the baggage X-ray machine</w:t>
            </w:r>
            <w:r>
              <w:rPr>
                <w:color w:val="4E4E4E"/>
                <w:lang w:val="en"/>
              </w:rPr>
              <w:t>s</w:t>
            </w:r>
            <w:r w:rsidRPr="00CC1BEA">
              <w:rPr>
                <w:color w:val="4E4E4E"/>
                <w:lang w:val="en"/>
              </w:rPr>
              <w:t xml:space="preserve"> p</w:t>
            </w:r>
            <w:r>
              <w:rPr>
                <w:color w:val="4E4E4E"/>
                <w:lang w:val="en"/>
              </w:rPr>
              <w:t xml:space="preserve">erformed </w:t>
            </w:r>
            <w:r w:rsidRPr="00CC1BEA">
              <w:rPr>
                <w:color w:val="4E4E4E"/>
                <w:lang w:val="en"/>
              </w:rPr>
              <w:t xml:space="preserve">by the supplier were made available to the inspection team for review. These service reports included radiation monitoring results and confirmed the correct functioning of </w:t>
            </w:r>
            <w:r w:rsidR="00FC10A3">
              <w:rPr>
                <w:color w:val="4E4E4E"/>
                <w:lang w:val="en"/>
              </w:rPr>
              <w:t xml:space="preserve">warning lights and </w:t>
            </w:r>
            <w:r w:rsidRPr="00CC1BEA">
              <w:rPr>
                <w:color w:val="4E4E4E"/>
                <w:lang w:val="en"/>
              </w:rPr>
              <w:t>interlocks.</w:t>
            </w:r>
          </w:p>
          <w:p w14:paraId="2900A9E8" w14:textId="77777777" w:rsidR="00A83D1D" w:rsidRPr="00A05425" w:rsidRDefault="00A83D1D" w:rsidP="00A83D1D">
            <w:pPr>
              <w:pStyle w:val="Heading2"/>
              <w:outlineLvl w:val="1"/>
            </w:pPr>
            <w:r>
              <w:t>Training</w:t>
            </w:r>
            <w:r w:rsidRPr="00A05425">
              <w:t xml:space="preserve"> </w:t>
            </w:r>
          </w:p>
          <w:p w14:paraId="1982EC0C" w14:textId="21199632" w:rsidR="00A83D1D" w:rsidRDefault="00A83D1D" w:rsidP="00A83D1D">
            <w:pPr>
              <w:rPr>
                <w:color w:val="4E4E4E"/>
                <w:lang w:val="en"/>
              </w:rPr>
            </w:pPr>
            <w:r>
              <w:rPr>
                <w:color w:val="4E4E4E"/>
                <w:lang w:val="en"/>
              </w:rPr>
              <w:t xml:space="preserve">The </w:t>
            </w:r>
            <w:r w:rsidR="00CC1BEA">
              <w:rPr>
                <w:color w:val="4E4E4E"/>
                <w:lang w:val="en"/>
              </w:rPr>
              <w:t>HSP</w:t>
            </w:r>
            <w:r>
              <w:rPr>
                <w:color w:val="4E4E4E"/>
                <w:lang w:val="en"/>
              </w:rPr>
              <w:t xml:space="preserve"> </w:t>
            </w:r>
            <w:r w:rsidRPr="00A83D1D">
              <w:rPr>
                <w:color w:val="4E4E4E"/>
                <w:lang w:val="en"/>
              </w:rPr>
              <w:t xml:space="preserve">requires that </w:t>
            </w:r>
            <w:r>
              <w:rPr>
                <w:color w:val="4E4E4E"/>
                <w:lang w:val="en"/>
              </w:rPr>
              <w:t>each</w:t>
            </w:r>
            <w:r w:rsidRPr="00A83D1D">
              <w:rPr>
                <w:color w:val="4E4E4E"/>
                <w:lang w:val="en"/>
              </w:rPr>
              <w:t xml:space="preserve"> person using the </w:t>
            </w:r>
            <w:r>
              <w:rPr>
                <w:color w:val="4E4E4E"/>
                <w:lang w:val="en"/>
              </w:rPr>
              <w:t>X</w:t>
            </w:r>
            <w:r w:rsidRPr="00A83D1D">
              <w:rPr>
                <w:color w:val="4E4E4E"/>
                <w:lang w:val="en"/>
              </w:rPr>
              <w:t xml:space="preserve">-ray </w:t>
            </w:r>
            <w:r w:rsidR="0046750A">
              <w:rPr>
                <w:color w:val="4E4E4E"/>
                <w:lang w:val="en"/>
              </w:rPr>
              <w:t>equipment</w:t>
            </w:r>
            <w:r w:rsidRPr="00A83D1D">
              <w:rPr>
                <w:color w:val="4E4E4E"/>
                <w:lang w:val="en"/>
              </w:rPr>
              <w:t xml:space="preserve"> </w:t>
            </w:r>
            <w:r w:rsidR="00FC10A3">
              <w:rPr>
                <w:color w:val="4E4E4E"/>
                <w:lang w:val="en"/>
              </w:rPr>
              <w:t>be</w:t>
            </w:r>
            <w:r>
              <w:rPr>
                <w:color w:val="4E4E4E"/>
                <w:lang w:val="en"/>
              </w:rPr>
              <w:t xml:space="preserve"> a</w:t>
            </w:r>
            <w:r w:rsidRPr="00A83D1D">
              <w:rPr>
                <w:color w:val="4E4E4E"/>
                <w:lang w:val="en"/>
              </w:rPr>
              <w:t>ppropriate</w:t>
            </w:r>
            <w:r>
              <w:rPr>
                <w:color w:val="4E4E4E"/>
                <w:lang w:val="en"/>
              </w:rPr>
              <w:t>ly</w:t>
            </w:r>
            <w:r w:rsidRPr="00A83D1D">
              <w:rPr>
                <w:color w:val="4E4E4E"/>
                <w:lang w:val="en"/>
              </w:rPr>
              <w:t xml:space="preserve"> train</w:t>
            </w:r>
            <w:r w:rsidR="00FC10A3">
              <w:rPr>
                <w:color w:val="4E4E4E"/>
                <w:lang w:val="en"/>
              </w:rPr>
              <w:t>ed</w:t>
            </w:r>
            <w:r w:rsidRPr="00A83D1D">
              <w:rPr>
                <w:color w:val="4E4E4E"/>
                <w:lang w:val="en"/>
              </w:rPr>
              <w:t xml:space="preserve"> in </w:t>
            </w:r>
            <w:r w:rsidR="00C12F6F">
              <w:rPr>
                <w:color w:val="4E4E4E"/>
                <w:lang w:val="en"/>
              </w:rPr>
              <w:t>health and</w:t>
            </w:r>
            <w:r w:rsidRPr="00A83D1D">
              <w:rPr>
                <w:color w:val="4E4E4E"/>
                <w:lang w:val="en"/>
              </w:rPr>
              <w:t xml:space="preserve"> safety and operation of the units through internally delivered courses.</w:t>
            </w:r>
            <w:r>
              <w:rPr>
                <w:color w:val="4E4E4E"/>
                <w:lang w:val="en"/>
              </w:rPr>
              <w:t xml:space="preserve"> </w:t>
            </w:r>
            <w:r w:rsidR="00CC1BEA">
              <w:rPr>
                <w:color w:val="4E4E4E"/>
                <w:lang w:val="en"/>
              </w:rPr>
              <w:t xml:space="preserve">A copy of the </w:t>
            </w:r>
            <w:r w:rsidR="00C12F6F">
              <w:rPr>
                <w:color w:val="4E4E4E"/>
                <w:lang w:val="en"/>
              </w:rPr>
              <w:t xml:space="preserve">radiation safety </w:t>
            </w:r>
            <w:r w:rsidR="00CC1BEA">
              <w:rPr>
                <w:color w:val="4E4E4E"/>
                <w:lang w:val="en"/>
              </w:rPr>
              <w:t xml:space="preserve">training course </w:t>
            </w:r>
            <w:r w:rsidR="0046750A">
              <w:rPr>
                <w:color w:val="4E4E4E"/>
                <w:lang w:val="en"/>
              </w:rPr>
              <w:t xml:space="preserve">presentation </w:t>
            </w:r>
            <w:r w:rsidR="00CC1BEA">
              <w:rPr>
                <w:color w:val="4E4E4E"/>
                <w:lang w:val="en"/>
              </w:rPr>
              <w:t>was provided for review and r</w:t>
            </w:r>
            <w:r w:rsidRPr="00A83D1D">
              <w:rPr>
                <w:color w:val="4E4E4E"/>
                <w:lang w:val="en"/>
              </w:rPr>
              <w:t>ecords of a</w:t>
            </w:r>
            <w:r w:rsidR="00CC1BEA">
              <w:rPr>
                <w:color w:val="4E4E4E"/>
                <w:lang w:val="en"/>
              </w:rPr>
              <w:t xml:space="preserve">ppropriately trained </w:t>
            </w:r>
            <w:r w:rsidRPr="00A83D1D">
              <w:rPr>
                <w:color w:val="4E4E4E"/>
                <w:lang w:val="en"/>
              </w:rPr>
              <w:t>officers, including dates of course completion</w:t>
            </w:r>
            <w:r>
              <w:rPr>
                <w:color w:val="4E4E4E"/>
                <w:lang w:val="en"/>
              </w:rPr>
              <w:t>, for the baggage inspection equipment</w:t>
            </w:r>
            <w:r w:rsidR="00CC1BEA">
              <w:rPr>
                <w:color w:val="4E4E4E"/>
                <w:lang w:val="en"/>
              </w:rPr>
              <w:t xml:space="preserve"> were </w:t>
            </w:r>
            <w:r w:rsidR="00C12F6F">
              <w:rPr>
                <w:color w:val="4E4E4E"/>
                <w:lang w:val="en"/>
              </w:rPr>
              <w:t>observed</w:t>
            </w:r>
            <w:r w:rsidRPr="00A83D1D">
              <w:rPr>
                <w:color w:val="4E4E4E"/>
                <w:lang w:val="en"/>
              </w:rPr>
              <w:t xml:space="preserve">. </w:t>
            </w:r>
            <w:r>
              <w:rPr>
                <w:color w:val="4E4E4E"/>
                <w:lang w:val="en"/>
              </w:rPr>
              <w:t xml:space="preserve"> </w:t>
            </w:r>
          </w:p>
          <w:p w14:paraId="4EA635C4" w14:textId="735441EB" w:rsidR="00A83D1D" w:rsidRPr="00A05425" w:rsidRDefault="00A83D1D" w:rsidP="00A83D1D">
            <w:pPr>
              <w:rPr>
                <w:color w:val="4E4E4E"/>
                <w:lang w:val="en"/>
              </w:rPr>
            </w:pPr>
            <w:r>
              <w:rPr>
                <w:color w:val="4E4E4E"/>
                <w:lang w:val="en"/>
              </w:rPr>
              <w:t xml:space="preserve">Only those persons who have completed the relevant training </w:t>
            </w:r>
            <w:r w:rsidR="002E493F">
              <w:rPr>
                <w:color w:val="4E4E4E"/>
                <w:lang w:val="en"/>
              </w:rPr>
              <w:t xml:space="preserve">and deemed authorised users </w:t>
            </w:r>
            <w:r w:rsidR="00C12F6F">
              <w:rPr>
                <w:color w:val="4E4E4E"/>
                <w:lang w:val="en"/>
              </w:rPr>
              <w:t>we</w:t>
            </w:r>
            <w:r w:rsidR="00CC1BEA">
              <w:rPr>
                <w:color w:val="4E4E4E"/>
                <w:lang w:val="en"/>
              </w:rPr>
              <w:t>re permitted to</w:t>
            </w:r>
            <w:r>
              <w:rPr>
                <w:color w:val="4E4E4E"/>
                <w:lang w:val="en"/>
              </w:rPr>
              <w:t xml:space="preserve"> operate the baggage </w:t>
            </w:r>
            <w:r w:rsidR="00886552">
              <w:rPr>
                <w:color w:val="4E4E4E"/>
                <w:lang w:val="en"/>
              </w:rPr>
              <w:t xml:space="preserve">inspection </w:t>
            </w:r>
            <w:r>
              <w:rPr>
                <w:color w:val="4E4E4E"/>
                <w:lang w:val="en"/>
              </w:rPr>
              <w:t>equipment</w:t>
            </w:r>
            <w:r w:rsidRPr="00A83D1D">
              <w:rPr>
                <w:color w:val="4E4E4E"/>
                <w:lang w:val="en"/>
              </w:rPr>
              <w:t xml:space="preserve">. </w:t>
            </w:r>
          </w:p>
          <w:p w14:paraId="59697CE3" w14:textId="77777777" w:rsidR="00A83D1D" w:rsidRPr="00A05425" w:rsidRDefault="00371CBC" w:rsidP="00A83D1D">
            <w:pPr>
              <w:pStyle w:val="Heading2"/>
              <w:outlineLvl w:val="1"/>
            </w:pPr>
            <w:r>
              <w:t>Security</w:t>
            </w:r>
          </w:p>
          <w:p w14:paraId="3EE904C1" w14:textId="3CDA4799" w:rsidR="00D944EF" w:rsidRDefault="00371CBC" w:rsidP="00A83D1D">
            <w:pPr>
              <w:rPr>
                <w:color w:val="4E4E4E"/>
                <w:lang w:val="en"/>
              </w:rPr>
            </w:pPr>
            <w:r>
              <w:rPr>
                <w:color w:val="4E4E4E"/>
                <w:lang w:val="en"/>
              </w:rPr>
              <w:t>The baggage inspection unit</w:t>
            </w:r>
            <w:r w:rsidR="000E4E40">
              <w:rPr>
                <w:color w:val="4E4E4E"/>
                <w:lang w:val="en"/>
              </w:rPr>
              <w:t xml:space="preserve">s </w:t>
            </w:r>
            <w:r>
              <w:rPr>
                <w:color w:val="4E4E4E"/>
                <w:lang w:val="en"/>
              </w:rPr>
              <w:t xml:space="preserve">used </w:t>
            </w:r>
            <w:r w:rsidR="00D944EF">
              <w:rPr>
                <w:color w:val="4E4E4E"/>
                <w:lang w:val="en"/>
              </w:rPr>
              <w:t>to examine</w:t>
            </w:r>
            <w:r>
              <w:rPr>
                <w:color w:val="4E4E4E"/>
                <w:lang w:val="en"/>
              </w:rPr>
              <w:t xml:space="preserve"> check</w:t>
            </w:r>
            <w:r w:rsidR="00FC10A3">
              <w:rPr>
                <w:color w:val="4E4E4E"/>
                <w:lang w:val="en"/>
              </w:rPr>
              <w:t>ed</w:t>
            </w:r>
            <w:r>
              <w:rPr>
                <w:color w:val="4E4E4E"/>
                <w:lang w:val="en"/>
              </w:rPr>
              <w:t>-in baggage</w:t>
            </w:r>
            <w:r w:rsidR="000E4E40">
              <w:rPr>
                <w:color w:val="4E4E4E"/>
                <w:lang w:val="en"/>
              </w:rPr>
              <w:t xml:space="preserve"> are </w:t>
            </w:r>
            <w:r>
              <w:rPr>
                <w:color w:val="4E4E4E"/>
                <w:lang w:val="en"/>
              </w:rPr>
              <w:t xml:space="preserve">located in </w:t>
            </w:r>
            <w:r w:rsidR="000E4E40">
              <w:rPr>
                <w:color w:val="4E4E4E"/>
                <w:lang w:val="en"/>
              </w:rPr>
              <w:t xml:space="preserve">the </w:t>
            </w:r>
            <w:r>
              <w:rPr>
                <w:color w:val="4E4E4E"/>
                <w:lang w:val="en"/>
              </w:rPr>
              <w:t xml:space="preserve">‘clean’ area of </w:t>
            </w:r>
            <w:r w:rsidR="000E4E40">
              <w:rPr>
                <w:color w:val="4E4E4E"/>
                <w:lang w:val="en"/>
              </w:rPr>
              <w:t>both</w:t>
            </w:r>
            <w:r>
              <w:rPr>
                <w:color w:val="4E4E4E"/>
                <w:lang w:val="en"/>
              </w:rPr>
              <w:t xml:space="preserve"> airport</w:t>
            </w:r>
            <w:r w:rsidR="000E4E40">
              <w:rPr>
                <w:color w:val="4E4E4E"/>
                <w:lang w:val="en"/>
              </w:rPr>
              <w:t>s</w:t>
            </w:r>
            <w:r w:rsidR="00D944EF">
              <w:rPr>
                <w:color w:val="4E4E4E"/>
                <w:lang w:val="en"/>
              </w:rPr>
              <w:t xml:space="preserve"> </w:t>
            </w:r>
            <w:r w:rsidR="000E4E40">
              <w:rPr>
                <w:color w:val="4E4E4E"/>
                <w:lang w:val="en"/>
              </w:rPr>
              <w:t>and</w:t>
            </w:r>
            <w:r w:rsidR="00D944EF">
              <w:rPr>
                <w:color w:val="4E4E4E"/>
                <w:lang w:val="en"/>
              </w:rPr>
              <w:t xml:space="preserve"> the public </w:t>
            </w:r>
            <w:r w:rsidR="000E4E40">
              <w:rPr>
                <w:color w:val="4E4E4E"/>
                <w:lang w:val="en"/>
              </w:rPr>
              <w:t>ar</w:t>
            </w:r>
            <w:r w:rsidR="00D944EF">
              <w:rPr>
                <w:color w:val="4E4E4E"/>
                <w:lang w:val="en"/>
              </w:rPr>
              <w:t>e not permitted access.</w:t>
            </w:r>
          </w:p>
          <w:p w14:paraId="15A71920" w14:textId="1B7234E3" w:rsidR="000E4E40" w:rsidRDefault="000E4E40" w:rsidP="00A83D1D">
            <w:pPr>
              <w:rPr>
                <w:color w:val="4E4E4E"/>
                <w:lang w:val="en"/>
              </w:rPr>
            </w:pPr>
            <w:r>
              <w:rPr>
                <w:color w:val="4E4E4E"/>
                <w:lang w:val="en"/>
              </w:rPr>
              <w:t>The baggage inspection units used to examine carry-on baggage are, by definition, located in publicly accessible areas of the airports however, trained staff are positioned at the entry and exit ports as well as the assessment screen at all times that the equipment is in operation.</w:t>
            </w:r>
            <w:r w:rsidR="00552F70">
              <w:rPr>
                <w:color w:val="4E4E4E"/>
                <w:lang w:val="en"/>
              </w:rPr>
              <w:t xml:space="preserve"> The </w:t>
            </w:r>
            <w:r w:rsidR="00524C87">
              <w:rPr>
                <w:color w:val="4E4E4E"/>
                <w:lang w:val="en"/>
              </w:rPr>
              <w:t>security procedures in place are deemed adequate for the baggage inspection units. The DIRD</w:t>
            </w:r>
            <w:r w:rsidR="00134CFB">
              <w:rPr>
                <w:color w:val="4E4E4E"/>
                <w:lang w:val="en"/>
              </w:rPr>
              <w:t>C</w:t>
            </w:r>
            <w:r w:rsidR="00524C87">
              <w:rPr>
                <w:color w:val="4E4E4E"/>
                <w:lang w:val="en"/>
              </w:rPr>
              <w:t xml:space="preserve"> </w:t>
            </w:r>
            <w:r w:rsidR="00A15D1B">
              <w:rPr>
                <w:color w:val="4E4E4E"/>
                <w:lang w:val="en"/>
              </w:rPr>
              <w:t xml:space="preserve">did not deal with nor were they </w:t>
            </w:r>
            <w:r w:rsidR="00524C87">
              <w:rPr>
                <w:color w:val="4E4E4E"/>
                <w:lang w:val="en"/>
              </w:rPr>
              <w:t>licensed to use radioactive sources.</w:t>
            </w:r>
          </w:p>
          <w:p w14:paraId="14FA1D86" w14:textId="4A6ED162" w:rsidR="00D944EF" w:rsidRPr="00A05425" w:rsidRDefault="00D944EF" w:rsidP="00D944EF">
            <w:pPr>
              <w:pStyle w:val="Heading2"/>
              <w:outlineLvl w:val="1"/>
            </w:pPr>
            <w:r>
              <w:lastRenderedPageBreak/>
              <w:t xml:space="preserve">Radiation </w:t>
            </w:r>
            <w:r w:rsidR="00271AE4">
              <w:t>p</w:t>
            </w:r>
            <w:r>
              <w:t>rotection</w:t>
            </w:r>
          </w:p>
          <w:p w14:paraId="5A4B56B3" w14:textId="77EB3024" w:rsidR="00D944EF" w:rsidRPr="00D944EF" w:rsidRDefault="000E4E40" w:rsidP="00D944EF">
            <w:pPr>
              <w:rPr>
                <w:color w:val="4E4E4E"/>
                <w:lang w:val="en"/>
              </w:rPr>
            </w:pPr>
            <w:r>
              <w:rPr>
                <w:color w:val="4E4E4E"/>
                <w:lang w:val="en"/>
              </w:rPr>
              <w:t>All</w:t>
            </w:r>
            <w:r w:rsidR="00D944EF">
              <w:rPr>
                <w:color w:val="4E4E4E"/>
                <w:lang w:val="en"/>
              </w:rPr>
              <w:t xml:space="preserve"> baggage inspection unit</w:t>
            </w:r>
            <w:r>
              <w:rPr>
                <w:color w:val="4E4E4E"/>
                <w:lang w:val="en"/>
              </w:rPr>
              <w:t>s</w:t>
            </w:r>
            <w:r w:rsidR="00D944EF">
              <w:rPr>
                <w:color w:val="4E4E4E"/>
                <w:lang w:val="en"/>
              </w:rPr>
              <w:t xml:space="preserve"> </w:t>
            </w:r>
            <w:r>
              <w:rPr>
                <w:color w:val="4E4E4E"/>
                <w:lang w:val="en"/>
              </w:rPr>
              <w:t xml:space="preserve">at both airports </w:t>
            </w:r>
            <w:r w:rsidR="00D944EF" w:rsidRPr="00D944EF">
              <w:rPr>
                <w:color w:val="4E4E4E"/>
                <w:lang w:val="en"/>
              </w:rPr>
              <w:t xml:space="preserve">were fitted with indicator lights, labels, and warning signs in accordance with RHS21. </w:t>
            </w:r>
            <w:r w:rsidR="00D944EF">
              <w:rPr>
                <w:color w:val="4E4E4E"/>
                <w:lang w:val="en"/>
              </w:rPr>
              <w:t xml:space="preserve">These </w:t>
            </w:r>
            <w:r>
              <w:rPr>
                <w:color w:val="4E4E4E"/>
                <w:lang w:val="en"/>
              </w:rPr>
              <w:t>were</w:t>
            </w:r>
            <w:r w:rsidR="00D944EF">
              <w:rPr>
                <w:color w:val="4E4E4E"/>
                <w:lang w:val="en"/>
              </w:rPr>
              <w:t xml:space="preserve"> checked at the time of inspection a</w:t>
            </w:r>
            <w:r w:rsidR="00C12F6F">
              <w:rPr>
                <w:color w:val="4E4E4E"/>
                <w:lang w:val="en"/>
              </w:rPr>
              <w:t xml:space="preserve">nd were functional as per </w:t>
            </w:r>
            <w:r w:rsidR="00D944EF">
              <w:rPr>
                <w:color w:val="4E4E4E"/>
                <w:lang w:val="en"/>
              </w:rPr>
              <w:t xml:space="preserve">the </w:t>
            </w:r>
            <w:r w:rsidR="00C12F6F">
              <w:rPr>
                <w:color w:val="4E4E4E"/>
                <w:lang w:val="en"/>
              </w:rPr>
              <w:t>requirements of RHS21</w:t>
            </w:r>
            <w:r w:rsidR="00D944EF">
              <w:rPr>
                <w:color w:val="4E4E4E"/>
                <w:lang w:val="en"/>
              </w:rPr>
              <w:t>.</w:t>
            </w:r>
            <w:r w:rsidR="00C12F6F">
              <w:rPr>
                <w:color w:val="4E4E4E"/>
                <w:lang w:val="en"/>
              </w:rPr>
              <w:t xml:space="preserve"> Radiation measurements taken around the equipment </w:t>
            </w:r>
            <w:r w:rsidR="00FC10A3">
              <w:rPr>
                <w:color w:val="4E4E4E"/>
                <w:lang w:val="en"/>
              </w:rPr>
              <w:t xml:space="preserve">during operation </w:t>
            </w:r>
            <w:r w:rsidR="00C12F6F">
              <w:rPr>
                <w:color w:val="4E4E4E"/>
                <w:lang w:val="en"/>
              </w:rPr>
              <w:t>showed compliance with th</w:t>
            </w:r>
            <w:r w:rsidR="00FC10A3">
              <w:rPr>
                <w:color w:val="4E4E4E"/>
                <w:lang w:val="en"/>
              </w:rPr>
              <w:t xml:space="preserve">e maximum permitted radiation levels as specified in </w:t>
            </w:r>
            <w:r w:rsidR="00C12F6F">
              <w:rPr>
                <w:color w:val="4E4E4E"/>
                <w:lang w:val="en"/>
              </w:rPr>
              <w:t>RHS21.</w:t>
            </w:r>
          </w:p>
          <w:p w14:paraId="1749F3A3" w14:textId="48ED3552" w:rsidR="00D944EF" w:rsidRDefault="00461145" w:rsidP="00D944EF">
            <w:pPr>
              <w:rPr>
                <w:color w:val="4E4E4E"/>
                <w:lang w:val="en"/>
              </w:rPr>
            </w:pPr>
            <w:r w:rsidRPr="00461145">
              <w:rPr>
                <w:color w:val="4E4E4E"/>
                <w:lang w:val="en"/>
              </w:rPr>
              <w:t xml:space="preserve">Shielding </w:t>
            </w:r>
            <w:r>
              <w:rPr>
                <w:color w:val="4E4E4E"/>
                <w:lang w:val="en"/>
              </w:rPr>
              <w:t>for the baggage inspection unit comprised a</w:t>
            </w:r>
            <w:r w:rsidRPr="00461145">
              <w:rPr>
                <w:color w:val="4E4E4E"/>
                <w:lang w:val="en"/>
              </w:rPr>
              <w:t xml:space="preserve"> flexible curtain </w:t>
            </w:r>
            <w:r>
              <w:rPr>
                <w:color w:val="4E4E4E"/>
                <w:lang w:val="en"/>
              </w:rPr>
              <w:t xml:space="preserve">at the entry and exit parts of the conveyor line and </w:t>
            </w:r>
            <w:r w:rsidRPr="00461145">
              <w:rPr>
                <w:color w:val="4E4E4E"/>
                <w:lang w:val="en"/>
              </w:rPr>
              <w:t xml:space="preserve">fixed metal shielding </w:t>
            </w:r>
            <w:r>
              <w:rPr>
                <w:color w:val="4E4E4E"/>
                <w:lang w:val="en"/>
              </w:rPr>
              <w:t xml:space="preserve">around the unit </w:t>
            </w:r>
            <w:r w:rsidRPr="00461145">
              <w:rPr>
                <w:color w:val="4E4E4E"/>
                <w:lang w:val="en"/>
              </w:rPr>
              <w:t>consistent</w:t>
            </w:r>
            <w:r>
              <w:rPr>
                <w:color w:val="4E4E4E"/>
                <w:lang w:val="en"/>
              </w:rPr>
              <w:t xml:space="preserve"> with the requirements of </w:t>
            </w:r>
            <w:r w:rsidRPr="00461145">
              <w:rPr>
                <w:color w:val="4E4E4E"/>
                <w:lang w:val="en"/>
              </w:rPr>
              <w:t>RHS 21.</w:t>
            </w:r>
            <w:r>
              <w:rPr>
                <w:color w:val="4E4E4E"/>
                <w:lang w:val="en"/>
              </w:rPr>
              <w:t xml:space="preserve"> </w:t>
            </w:r>
            <w:r w:rsidRPr="00461145">
              <w:rPr>
                <w:color w:val="4E4E4E"/>
                <w:lang w:val="en"/>
              </w:rPr>
              <w:t>Recent survey results demonstrated the shielding was effective in controlling scatter.</w:t>
            </w:r>
          </w:p>
          <w:p w14:paraId="29144063" w14:textId="77777777" w:rsidR="0035687D" w:rsidRPr="00AF4FF3" w:rsidRDefault="0035687D" w:rsidP="0035687D">
            <w:pPr>
              <w:pStyle w:val="Heading1"/>
              <w:outlineLvl w:val="0"/>
            </w:pPr>
            <w:r w:rsidRPr="00AF4FF3">
              <w:t>Findings</w:t>
            </w:r>
          </w:p>
          <w:p w14:paraId="08710D47" w14:textId="6BE869A7" w:rsidR="00C12F6F" w:rsidRPr="00C12F6F" w:rsidRDefault="00C12F6F" w:rsidP="00C12F6F">
            <w:pPr>
              <w:pStyle w:val="Heading3list"/>
              <w:spacing w:line="240" w:lineRule="auto"/>
              <w:rPr>
                <w:rFonts w:asciiTheme="minorHAnsi" w:eastAsiaTheme="minorHAnsi" w:hAnsiTheme="minorHAnsi"/>
                <w:b w:val="0"/>
                <w:color w:val="4E4E4E"/>
                <w:sz w:val="22"/>
                <w:szCs w:val="22"/>
                <w:lang w:val="en" w:eastAsia="en-US"/>
              </w:rPr>
            </w:pPr>
            <w:r w:rsidRPr="00C12F6F">
              <w:rPr>
                <w:rFonts w:asciiTheme="minorHAnsi" w:eastAsiaTheme="minorHAnsi" w:hAnsiTheme="minorHAnsi"/>
                <w:b w:val="0"/>
                <w:color w:val="4E4E4E"/>
                <w:sz w:val="22"/>
                <w:szCs w:val="22"/>
                <w:lang w:val="en" w:eastAsia="en-US"/>
              </w:rPr>
              <w:t>The inspection revealed the following potential non-compliance:</w:t>
            </w:r>
          </w:p>
          <w:p w14:paraId="023EEC37" w14:textId="1D44CD33" w:rsidR="00BA10B2" w:rsidRDefault="00BA10B2" w:rsidP="002A70A0">
            <w:pPr>
              <w:pStyle w:val="Footer"/>
              <w:numPr>
                <w:ilvl w:val="0"/>
                <w:numId w:val="25"/>
              </w:numPr>
              <w:tabs>
                <w:tab w:val="clear" w:pos="4513"/>
              </w:tabs>
              <w:spacing w:line="276" w:lineRule="auto"/>
              <w:ind w:left="743" w:hanging="567"/>
            </w:pPr>
            <w:r>
              <w:t>The carry-on baggage inspection units at both Christmas Island and Cocos (Keeling) Island</w:t>
            </w:r>
            <w:r w:rsidR="00134CFB">
              <w:t>s</w:t>
            </w:r>
            <w:r>
              <w:t xml:space="preserve"> airports (2 units) listed on the current SIW appear to have been disposed of and replaced with similar units without the approval of the CEO. Regulation 5</w:t>
            </w:r>
            <w:r w:rsidR="00405846">
              <w:t>3</w:t>
            </w:r>
            <w:r>
              <w:t>(1) of the Regulations states, in part:</w:t>
            </w:r>
          </w:p>
          <w:p w14:paraId="3CD7EDAB" w14:textId="7D45CDE6" w:rsidR="00C12F6F" w:rsidRPr="00AF4FF3" w:rsidRDefault="00BA10B2" w:rsidP="002A70A0">
            <w:pPr>
              <w:spacing w:before="120"/>
              <w:ind w:left="1452" w:hanging="987"/>
            </w:pPr>
            <w:r>
              <w:tab/>
              <w:t>The holder of a licence m</w:t>
            </w:r>
            <w:r w:rsidR="00405846">
              <w:t>ay only dispose of controlled apparatus … with the approval of the CEO</w:t>
            </w:r>
            <w:r>
              <w:t>.</w:t>
            </w:r>
          </w:p>
          <w:p w14:paraId="4B41AECC" w14:textId="206D72D6" w:rsidR="000C65D2" w:rsidRPr="003262F5" w:rsidRDefault="000C65D2" w:rsidP="000C65D2">
            <w:pPr>
              <w:rPr>
                <w:color w:val="4E4E4E"/>
                <w:lang w:val="en"/>
              </w:rPr>
            </w:pPr>
            <w:r w:rsidRPr="00AF4FF3">
              <w:t xml:space="preserve">The inspection revealed the following </w:t>
            </w:r>
            <w:r w:rsidRPr="0035687D">
              <w:rPr>
                <w:b/>
              </w:rPr>
              <w:t>area for improvement</w:t>
            </w:r>
            <w:r w:rsidRPr="00AF4FF3">
              <w:t>:</w:t>
            </w:r>
          </w:p>
          <w:p w14:paraId="7ACD70C3" w14:textId="3A23E389" w:rsidR="0035687D" w:rsidRDefault="000C65D2" w:rsidP="002A70A0">
            <w:pPr>
              <w:pStyle w:val="Footer"/>
              <w:numPr>
                <w:ilvl w:val="0"/>
                <w:numId w:val="24"/>
              </w:numPr>
              <w:spacing w:before="120" w:line="276" w:lineRule="auto"/>
              <w:ind w:left="743" w:hanging="567"/>
            </w:pPr>
            <w:r>
              <w:t xml:space="preserve">The details of all baggage inspection equipment did not match the details listed in the SIW.  </w:t>
            </w:r>
          </w:p>
          <w:p w14:paraId="036ECE1E" w14:textId="35FB0A78" w:rsidR="008C79C8" w:rsidRPr="0035687D" w:rsidRDefault="008C79C8" w:rsidP="00C12F6F">
            <w:pPr>
              <w:pStyle w:val="Footer"/>
              <w:spacing w:line="276" w:lineRule="auto"/>
            </w:pPr>
          </w:p>
        </w:tc>
      </w:tr>
    </w:tbl>
    <w:p w14:paraId="2EB12A00" w14:textId="129B63BA" w:rsidR="0035687D" w:rsidRPr="00AF4FF3" w:rsidRDefault="00405846" w:rsidP="00461145">
      <w:pPr>
        <w:ind w:left="-426"/>
        <w:jc w:val="center"/>
        <w:rPr>
          <w:rFonts w:cs="Arial"/>
          <w:i/>
          <w:color w:val="FF0000"/>
          <w:sz w:val="18"/>
          <w:szCs w:val="18"/>
        </w:rPr>
      </w:pPr>
      <w:r w:rsidRPr="00405846">
        <w:rPr>
          <w:rFonts w:cs="Arial"/>
          <w:i/>
          <w:color w:val="4E1A74"/>
          <w:sz w:val="18"/>
          <w:szCs w:val="18"/>
        </w:rPr>
        <w:lastRenderedPageBreak/>
        <w:t>In response to any potential non-compliance, the licence holder must carry out its responsibilities under Regulation 45</w:t>
      </w:r>
    </w:p>
    <w:p w14:paraId="5DA4FB9E" w14:textId="7D88123C" w:rsidR="0035687D" w:rsidRDefault="0035687D" w:rsidP="0035687D">
      <w:pPr>
        <w:spacing w:before="0"/>
        <w:ind w:left="-709" w:right="-766"/>
        <w:jc w:val="center"/>
        <w:rPr>
          <w:rStyle w:val="Emphasis"/>
          <w:rFonts w:cs="Arial"/>
          <w:bCs/>
          <w:color w:val="4E1A74"/>
          <w:sz w:val="18"/>
          <w:szCs w:val="18"/>
        </w:rPr>
      </w:pPr>
      <w:r w:rsidRPr="00AF4FF3">
        <w:rPr>
          <w:rStyle w:val="Emphasis"/>
          <w:rFonts w:cs="Arial"/>
          <w:bCs/>
          <w:color w:val="4E1A74"/>
          <w:sz w:val="18"/>
          <w:szCs w:val="18"/>
        </w:rPr>
        <w:t>This report will be published on the ARPANSA website</w:t>
      </w:r>
    </w:p>
    <w:p w14:paraId="683085C0" w14:textId="1AB49D59" w:rsidR="00D736AD" w:rsidRDefault="00D736AD" w:rsidP="0035687D">
      <w:pPr>
        <w:spacing w:before="0"/>
        <w:ind w:left="-709" w:right="-766"/>
        <w:jc w:val="center"/>
        <w:rPr>
          <w:rStyle w:val="Emphasis"/>
          <w:rFonts w:cs="Arial"/>
          <w:bCs/>
          <w:color w:val="4E1A74"/>
          <w:sz w:val="18"/>
          <w:szCs w:val="18"/>
        </w:rPr>
      </w:pPr>
    </w:p>
    <w:p w14:paraId="1E0520E6" w14:textId="77777777" w:rsidR="00D736AD" w:rsidRPr="00AF4FF3" w:rsidRDefault="00D736AD" w:rsidP="0035687D">
      <w:pPr>
        <w:spacing w:before="0"/>
        <w:ind w:left="-709" w:right="-766"/>
        <w:jc w:val="center"/>
        <w:rPr>
          <w:rStyle w:val="Emphasis"/>
          <w:rFonts w:cs="Arial"/>
          <w:bCs/>
          <w:color w:val="4E1A74"/>
          <w:sz w:val="18"/>
          <w:szCs w:val="18"/>
        </w:rPr>
      </w:pPr>
    </w:p>
    <w:sectPr w:rsidR="00D736AD" w:rsidRPr="00AF4FF3" w:rsidSect="002356D6">
      <w:headerReference w:type="default" r:id="rId8"/>
      <w:footerReference w:type="default" r:id="rId9"/>
      <w:headerReference w:type="first" r:id="rId10"/>
      <w:footerReference w:type="first" r:id="rId11"/>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F0EF3" w14:textId="77777777" w:rsidR="0044504E" w:rsidRDefault="0044504E" w:rsidP="00037687">
      <w:r>
        <w:separator/>
      </w:r>
    </w:p>
  </w:endnote>
  <w:endnote w:type="continuationSeparator" w:id="0">
    <w:p w14:paraId="3069A674" w14:textId="77777777" w:rsidR="0044504E" w:rsidRDefault="0044504E"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CE067" w14:textId="6B4645A6" w:rsidR="00D770E7" w:rsidRPr="00FF6AB9" w:rsidRDefault="00D770E7" w:rsidP="007D153D">
    <w:pPr>
      <w:pStyle w:val="Footer"/>
      <w:tabs>
        <w:tab w:val="clear" w:pos="4513"/>
        <w:tab w:val="clear" w:pos="9026"/>
        <w:tab w:val="center" w:pos="4820"/>
        <w:tab w:val="right" w:pos="9639"/>
      </w:tabs>
      <w:spacing w:before="120" w:line="264" w:lineRule="auto"/>
      <w:rPr>
        <w:sz w:val="18"/>
      </w:rPr>
    </w:pPr>
    <w:r w:rsidRPr="00FF6AB9">
      <w:rPr>
        <w:noProof/>
        <w:sz w:val="18"/>
        <w:lang w:eastAsia="en-AU"/>
      </w:rPr>
      <w:drawing>
        <wp:anchor distT="0" distB="0" distL="114300" distR="114300" simplePos="0" relativeHeight="251663360" behindDoc="0" locked="0" layoutInCell="1" allowOverlap="1" wp14:anchorId="1457CBA1" wp14:editId="072B8D46">
          <wp:simplePos x="0" y="0"/>
          <wp:positionH relativeFrom="column">
            <wp:posOffset>0</wp:posOffset>
          </wp:positionH>
          <wp:positionV relativeFrom="paragraph">
            <wp:posOffset>175895</wp:posOffset>
          </wp:positionV>
          <wp:extent cx="6120000" cy="54000"/>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454A45">
      <w:rPr>
        <w:sz w:val="18"/>
      </w:rPr>
      <w:t>Inspection Report</w:t>
    </w:r>
    <w:r w:rsidRPr="00FF6AB9">
      <w:rPr>
        <w:sz w:val="18"/>
      </w:rPr>
      <w:tab/>
    </w:r>
    <w:r w:rsidR="00454A45">
      <w:rPr>
        <w:sz w:val="18"/>
      </w:rPr>
      <w:t xml:space="preserve">October </w:t>
    </w:r>
    <w:r w:rsidR="000257F5">
      <w:rPr>
        <w:sz w:val="18"/>
      </w:rPr>
      <w:t>2018</w:t>
    </w:r>
    <w:r w:rsidRPr="00FF6AB9">
      <w:rPr>
        <w:sz w:val="18"/>
      </w:rPr>
      <w:tab/>
    </w:r>
    <w:r w:rsidRPr="00FF6AB9">
      <w:rPr>
        <w:sz w:val="18"/>
      </w:rPr>
      <w:fldChar w:fldCharType="begin"/>
    </w:r>
    <w:r w:rsidRPr="00FF6AB9">
      <w:rPr>
        <w:sz w:val="18"/>
      </w:rPr>
      <w:instrText xml:space="preserve"> PAGE  \* Arabic  \* MERGEFORMAT </w:instrText>
    </w:r>
    <w:r w:rsidRPr="00FF6AB9">
      <w:rPr>
        <w:sz w:val="18"/>
      </w:rPr>
      <w:fldChar w:fldCharType="separate"/>
    </w:r>
    <w:r w:rsidR="00B648B5">
      <w:rPr>
        <w:noProof/>
        <w:sz w:val="18"/>
      </w:rPr>
      <w:t>3</w:t>
    </w:r>
    <w:r w:rsidRPr="00FF6AB9">
      <w:rPr>
        <w:sz w:val="18"/>
      </w:rPr>
      <w:fldChar w:fldCharType="end"/>
    </w:r>
    <w:r w:rsidRPr="00FF6AB9">
      <w:rPr>
        <w:sz w:val="18"/>
      </w:rPr>
      <w:t xml:space="preserve"> of </w:t>
    </w:r>
    <w:r w:rsidRPr="00FF6AB9">
      <w:rPr>
        <w:sz w:val="18"/>
      </w:rPr>
      <w:fldChar w:fldCharType="begin"/>
    </w:r>
    <w:r w:rsidRPr="00FF6AB9">
      <w:rPr>
        <w:sz w:val="18"/>
      </w:rPr>
      <w:instrText xml:space="preserve"> NUMPAGES  \* Arabic  \* MERGEFORMAT </w:instrText>
    </w:r>
    <w:r w:rsidRPr="00FF6AB9">
      <w:rPr>
        <w:sz w:val="18"/>
      </w:rPr>
      <w:fldChar w:fldCharType="separate"/>
    </w:r>
    <w:r w:rsidR="00B648B5">
      <w:rPr>
        <w:noProof/>
        <w:sz w:val="18"/>
      </w:rPr>
      <w:t>3</w:t>
    </w:r>
    <w:r w:rsidRPr="00FF6AB9">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01B25" w14:textId="30A02340" w:rsidR="0041148A" w:rsidRDefault="0041148A" w:rsidP="0041148A">
    <w:pPr>
      <w:tabs>
        <w:tab w:val="left" w:pos="4253"/>
        <w:tab w:val="right" w:pos="9639"/>
      </w:tabs>
      <w:spacing w:before="120" w:line="240" w:lineRule="auto"/>
      <w:rPr>
        <w:sz w:val="16"/>
      </w:rPr>
    </w:pPr>
    <w:r>
      <w:rPr>
        <w:sz w:val="16"/>
      </w:rPr>
      <w:t>REG-INS-FORM-280M</w:t>
    </w:r>
    <w:r w:rsidR="00962950">
      <w:rPr>
        <w:sz w:val="16"/>
      </w:rPr>
      <w:t>-v9.1</w:t>
    </w:r>
    <w:r w:rsidR="00962950">
      <w:rPr>
        <w:sz w:val="16"/>
      </w:rPr>
      <w:tab/>
    </w:r>
    <w:r w:rsidR="00DE4D18">
      <w:rPr>
        <w:sz w:val="16"/>
      </w:rPr>
      <w:t>April</w:t>
    </w:r>
    <w:r>
      <w:rPr>
        <w:sz w:val="16"/>
      </w:rPr>
      <w:t xml:space="preserve"> 2018</w:t>
    </w:r>
    <w:r>
      <w:rPr>
        <w:sz w:val="16"/>
      </w:rPr>
      <w:tab/>
    </w:r>
    <w:r w:rsidRPr="008243FE">
      <w:rPr>
        <w:bCs/>
        <w:sz w:val="16"/>
      </w:rPr>
      <w:fldChar w:fldCharType="begin"/>
    </w:r>
    <w:r w:rsidRPr="008243FE">
      <w:rPr>
        <w:bCs/>
        <w:sz w:val="16"/>
      </w:rPr>
      <w:instrText xml:space="preserve"> PAGE  \* Arabic  \* MERGEFORMAT </w:instrText>
    </w:r>
    <w:r w:rsidRPr="008243FE">
      <w:rPr>
        <w:bCs/>
        <w:sz w:val="16"/>
      </w:rPr>
      <w:fldChar w:fldCharType="separate"/>
    </w:r>
    <w:r w:rsidR="00B648B5">
      <w:rPr>
        <w:bCs/>
        <w:noProof/>
        <w:sz w:val="16"/>
      </w:rPr>
      <w:t>1</w:t>
    </w:r>
    <w:r w:rsidRPr="008243FE">
      <w:rPr>
        <w:bCs/>
        <w:sz w:val="16"/>
      </w:rPr>
      <w:fldChar w:fldCharType="end"/>
    </w:r>
    <w:r w:rsidRPr="0067700D">
      <w:rPr>
        <w:sz w:val="16"/>
      </w:rPr>
      <w:t xml:space="preserve"> of </w:t>
    </w:r>
    <w:r w:rsidRPr="008243FE">
      <w:rPr>
        <w:bCs/>
        <w:sz w:val="16"/>
      </w:rPr>
      <w:fldChar w:fldCharType="begin"/>
    </w:r>
    <w:r w:rsidRPr="008243FE">
      <w:rPr>
        <w:bCs/>
        <w:sz w:val="16"/>
      </w:rPr>
      <w:instrText xml:space="preserve"> NUMPAGES  \* Arabic  \* MERGEFORMAT </w:instrText>
    </w:r>
    <w:r w:rsidRPr="008243FE">
      <w:rPr>
        <w:bCs/>
        <w:sz w:val="16"/>
      </w:rPr>
      <w:fldChar w:fldCharType="separate"/>
    </w:r>
    <w:r w:rsidR="00B648B5">
      <w:rPr>
        <w:bCs/>
        <w:noProof/>
        <w:sz w:val="16"/>
      </w:rPr>
      <w:t>3</w:t>
    </w:r>
    <w:r w:rsidRPr="008243FE">
      <w:rPr>
        <w:bCs/>
        <w:sz w:val="16"/>
      </w:rPr>
      <w:fldChar w:fldCharType="end"/>
    </w:r>
  </w:p>
  <w:p w14:paraId="300E4FDB" w14:textId="77777777" w:rsidR="00037687" w:rsidRPr="002356D6" w:rsidRDefault="00751131" w:rsidP="007D153D">
    <w:pPr>
      <w:tabs>
        <w:tab w:val="left" w:pos="4253"/>
        <w:tab w:val="right" w:pos="9639"/>
      </w:tabs>
      <w:spacing w:before="120"/>
      <w:rPr>
        <w:sz w:val="16"/>
      </w:rPr>
    </w:pPr>
    <w:r w:rsidRPr="002356D6">
      <w:rPr>
        <w:noProof/>
        <w:sz w:val="16"/>
        <w:lang w:eastAsia="en-AU"/>
      </w:rPr>
      <w:drawing>
        <wp:anchor distT="0" distB="0" distL="114300" distR="114300" simplePos="0" relativeHeight="251661312" behindDoc="0" locked="0" layoutInCell="1" allowOverlap="1" wp14:anchorId="3FC54304" wp14:editId="0DA8BB4F">
          <wp:simplePos x="0" y="0"/>
          <wp:positionH relativeFrom="column">
            <wp:posOffset>0</wp:posOffset>
          </wp:positionH>
          <wp:positionV relativeFrom="paragraph">
            <wp:posOffset>161290</wp:posOffset>
          </wp:positionV>
          <wp:extent cx="6120000" cy="54000"/>
          <wp:effectExtent l="0" t="0" r="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2356D6" w:rsidRPr="002356D6">
      <w:rPr>
        <w:sz w:val="16"/>
      </w:rPr>
      <w:t>619 Lower Plenty Road, Yallambie VIC 3085</w:t>
    </w:r>
    <w:r w:rsidR="002356D6" w:rsidRPr="002356D6">
      <w:rPr>
        <w:sz w:val="16"/>
      </w:rPr>
      <w:tab/>
      <w:t>38–40 Urunga Parade, Miranda NSW 2228</w:t>
    </w:r>
    <w:r w:rsidR="002356D6" w:rsidRPr="002356D6">
      <w:rPr>
        <w:sz w:val="16"/>
      </w:rPr>
      <w:tab/>
      <w:t>info@arpansa.gov.au</w:t>
    </w:r>
    <w:r w:rsidR="002356D6" w:rsidRPr="002356D6">
      <w:rPr>
        <w:sz w:val="16"/>
      </w:rPr>
      <w:br/>
      <w:t>+61 3 94</w:t>
    </w:r>
    <w:r w:rsidR="00370113">
      <w:rPr>
        <w:sz w:val="16"/>
      </w:rPr>
      <w:t>33 2211</w:t>
    </w:r>
    <w:r w:rsidR="00370113">
      <w:rPr>
        <w:sz w:val="16"/>
      </w:rPr>
      <w:tab/>
      <w:t xml:space="preserve">PO Box 655, Miranda </w:t>
    </w:r>
    <w:r w:rsidR="009F3F6D">
      <w:rPr>
        <w:sz w:val="16"/>
      </w:rPr>
      <w:t xml:space="preserve">NSW </w:t>
    </w:r>
    <w:r w:rsidR="00370113">
      <w:rPr>
        <w:sz w:val="16"/>
      </w:rPr>
      <w:t>1490</w:t>
    </w:r>
    <w:r w:rsidR="002356D6" w:rsidRPr="002356D6">
      <w:rPr>
        <w:sz w:val="16"/>
      </w:rPr>
      <w:tab/>
      <w:t>arpansa.gov.au</w:t>
    </w:r>
    <w:r w:rsidR="002356D6" w:rsidRPr="002356D6">
      <w:rPr>
        <w:sz w:val="16"/>
      </w:rPr>
      <w:br/>
    </w:r>
    <w:r w:rsidR="002356D6" w:rsidRPr="002356D6">
      <w:rPr>
        <w:sz w:val="16"/>
      </w:rPr>
      <w:tab/>
      <w:t>+61 2 9541 8333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B9B31" w14:textId="77777777" w:rsidR="0044504E" w:rsidRDefault="0044504E" w:rsidP="00037687">
      <w:r>
        <w:separator/>
      </w:r>
    </w:p>
  </w:footnote>
  <w:footnote w:type="continuationSeparator" w:id="0">
    <w:p w14:paraId="344C1C41" w14:textId="77777777" w:rsidR="0044504E" w:rsidRDefault="0044504E"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3BF38" w14:textId="77777777" w:rsidR="0035687D" w:rsidRPr="000B6360" w:rsidRDefault="0035687D" w:rsidP="0035687D">
    <w:pPr>
      <w:pStyle w:val="Header"/>
      <w:jc w:val="center"/>
      <w:rPr>
        <w:color w:val="FF0000"/>
        <w:sz w:val="18"/>
      </w:rPr>
    </w:pPr>
    <w:r w:rsidRPr="000B6360">
      <w:rPr>
        <w:color w:val="FF0000"/>
        <w:sz w:val="18"/>
      </w:rPr>
      <w:t>UNCLASSIFIED</w:t>
    </w:r>
  </w:p>
  <w:p w14:paraId="5DCB9F62" w14:textId="77777777" w:rsidR="0035687D" w:rsidRDefault="00356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89E37" w14:textId="77777777" w:rsidR="002356D6" w:rsidRDefault="002356D6">
    <w:pPr>
      <w:pStyle w:val="Header"/>
    </w:pPr>
  </w:p>
  <w:p w14:paraId="709A6BD6" w14:textId="77777777" w:rsidR="002356D6" w:rsidRDefault="007A0993">
    <w:pPr>
      <w:pStyle w:val="Header"/>
    </w:pPr>
    <w:r>
      <w:rPr>
        <w:noProof/>
        <w:lang w:eastAsia="en-AU"/>
      </w:rPr>
      <w:drawing>
        <wp:inline distT="0" distB="0" distL="0" distR="0" wp14:anchorId="2CD7693C" wp14:editId="5EECDC1E">
          <wp:extent cx="6120384" cy="731520"/>
          <wp:effectExtent l="0" t="0" r="0" b="0"/>
          <wp:docPr id="1" name="Picture 1"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8F093C"/>
    <w:multiLevelType w:val="hybridMultilevel"/>
    <w:tmpl w:val="08E45452"/>
    <w:lvl w:ilvl="0" w:tplc="33441E6A">
      <w:numFmt w:val="bullet"/>
      <w:lvlText w:val="•"/>
      <w:lvlJc w:val="left"/>
      <w:pPr>
        <w:ind w:left="1452" w:hanging="732"/>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4" w15:restartNumberingAfterBreak="0">
    <w:nsid w:val="287C6197"/>
    <w:multiLevelType w:val="hybridMultilevel"/>
    <w:tmpl w:val="70027FAC"/>
    <w:lvl w:ilvl="0" w:tplc="33441E6A">
      <w:numFmt w:val="bullet"/>
      <w:lvlText w:val="•"/>
      <w:lvlJc w:val="left"/>
      <w:pPr>
        <w:ind w:left="1452" w:hanging="732"/>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35983D71"/>
    <w:multiLevelType w:val="hybridMultilevel"/>
    <w:tmpl w:val="D6703CDC"/>
    <w:lvl w:ilvl="0" w:tplc="33441E6A">
      <w:numFmt w:val="bullet"/>
      <w:lvlText w:val="•"/>
      <w:lvlJc w:val="left"/>
      <w:pPr>
        <w:ind w:left="1452" w:hanging="732"/>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5CB67C5"/>
    <w:multiLevelType w:val="hybridMultilevel"/>
    <w:tmpl w:val="827AF9D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2853527"/>
    <w:multiLevelType w:val="hybridMultilevel"/>
    <w:tmpl w:val="221AAD22"/>
    <w:lvl w:ilvl="0" w:tplc="0C09000F">
      <w:start w:val="1"/>
      <w:numFmt w:val="decimal"/>
      <w:lvlText w:val="%1."/>
      <w:lvlJc w:val="left"/>
      <w:pPr>
        <w:ind w:left="814" w:hanging="360"/>
      </w:p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11"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3"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4"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5" w15:restartNumberingAfterBreak="0">
    <w:nsid w:val="5FE93366"/>
    <w:multiLevelType w:val="hybridMultilevel"/>
    <w:tmpl w:val="0EF8811A"/>
    <w:lvl w:ilvl="0" w:tplc="1FB26854">
      <w:start w:val="1"/>
      <w:numFmt w:val="decimal"/>
      <w:lvlText w:val="%1."/>
      <w:lvlJc w:val="left"/>
      <w:pPr>
        <w:ind w:left="1080" w:hanging="360"/>
      </w:pPr>
      <w:rPr>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6410780F"/>
    <w:multiLevelType w:val="hybridMultilevel"/>
    <w:tmpl w:val="43766D74"/>
    <w:lvl w:ilvl="0" w:tplc="33441E6A">
      <w:numFmt w:val="bullet"/>
      <w:lvlText w:val="•"/>
      <w:lvlJc w:val="left"/>
      <w:pPr>
        <w:ind w:left="1452" w:hanging="732"/>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43046B2"/>
    <w:multiLevelType w:val="hybridMultilevel"/>
    <w:tmpl w:val="D7BE442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660760D5"/>
    <w:multiLevelType w:val="hybridMultilevel"/>
    <w:tmpl w:val="07C46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CE3E81"/>
    <w:multiLevelType w:val="hybridMultilevel"/>
    <w:tmpl w:val="1F209A24"/>
    <w:lvl w:ilvl="0" w:tplc="33441E6A">
      <w:numFmt w:val="bullet"/>
      <w:lvlText w:val="•"/>
      <w:lvlJc w:val="left"/>
      <w:pPr>
        <w:ind w:left="1092" w:hanging="732"/>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num w:numId="1">
    <w:abstractNumId w:val="2"/>
  </w:num>
  <w:num w:numId="2">
    <w:abstractNumId w:val="8"/>
  </w:num>
  <w:num w:numId="3">
    <w:abstractNumId w:val="11"/>
  </w:num>
  <w:num w:numId="4">
    <w:abstractNumId w:val="7"/>
  </w:num>
  <w:num w:numId="5">
    <w:abstractNumId w:val="9"/>
  </w:num>
  <w:num w:numId="6">
    <w:abstractNumId w:val="14"/>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14"/>
  </w:num>
  <w:num w:numId="8">
    <w:abstractNumId w:val="0"/>
  </w:num>
  <w:num w:numId="9">
    <w:abstractNumId w:val="20"/>
  </w:num>
  <w:num w:numId="10">
    <w:abstractNumId w:val="3"/>
  </w:num>
  <w:num w:numId="11">
    <w:abstractNumId w:val="12"/>
  </w:num>
  <w:num w:numId="12">
    <w:abstractNumId w:val="13"/>
  </w:num>
  <w:num w:numId="13">
    <w:abstractNumId w:val="15"/>
  </w:num>
  <w:num w:numId="14">
    <w:abstractNumId w:val="15"/>
    <w:lvlOverride w:ilvl="0">
      <w:startOverride w:val="1"/>
    </w:lvlOverride>
  </w:num>
  <w:num w:numId="15">
    <w:abstractNumId w:val="15"/>
    <w:lvlOverride w:ilvl="0">
      <w:startOverride w:val="1"/>
    </w:lvlOverride>
  </w:num>
  <w:num w:numId="16">
    <w:abstractNumId w:val="15"/>
    <w:lvlOverride w:ilvl="0">
      <w:startOverride w:val="1"/>
    </w:lvlOverride>
  </w:num>
  <w:num w:numId="17">
    <w:abstractNumId w:val="15"/>
    <w:lvlOverride w:ilvl="0">
      <w:startOverride w:val="1"/>
    </w:lvlOverride>
  </w:num>
  <w:num w:numId="18">
    <w:abstractNumId w:val="18"/>
  </w:num>
  <w:num w:numId="19">
    <w:abstractNumId w:val="6"/>
  </w:num>
  <w:num w:numId="20">
    <w:abstractNumId w:val="17"/>
  </w:num>
  <w:num w:numId="21">
    <w:abstractNumId w:val="10"/>
  </w:num>
  <w:num w:numId="22">
    <w:abstractNumId w:val="19"/>
  </w:num>
  <w:num w:numId="23">
    <w:abstractNumId w:val="1"/>
  </w:num>
  <w:num w:numId="24">
    <w:abstractNumId w:val="5"/>
  </w:num>
  <w:num w:numId="25">
    <w:abstractNumId w:val="16"/>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05"/>
    <w:rsid w:val="00005CA6"/>
    <w:rsid w:val="000257F5"/>
    <w:rsid w:val="00037687"/>
    <w:rsid w:val="00066B27"/>
    <w:rsid w:val="00082E26"/>
    <w:rsid w:val="000917AA"/>
    <w:rsid w:val="000C65D2"/>
    <w:rsid w:val="000D27C8"/>
    <w:rsid w:val="000E4E40"/>
    <w:rsid w:val="000F3AB1"/>
    <w:rsid w:val="000F73FB"/>
    <w:rsid w:val="0010348D"/>
    <w:rsid w:val="00134CFB"/>
    <w:rsid w:val="0014653F"/>
    <w:rsid w:val="001903E9"/>
    <w:rsid w:val="00192A8D"/>
    <w:rsid w:val="00196220"/>
    <w:rsid w:val="001A00B6"/>
    <w:rsid w:val="001A11CB"/>
    <w:rsid w:val="001D7A5E"/>
    <w:rsid w:val="001F5B95"/>
    <w:rsid w:val="002012E0"/>
    <w:rsid w:val="00211B48"/>
    <w:rsid w:val="00225217"/>
    <w:rsid w:val="00230512"/>
    <w:rsid w:val="002356D6"/>
    <w:rsid w:val="002449F3"/>
    <w:rsid w:val="00264B74"/>
    <w:rsid w:val="00271AE4"/>
    <w:rsid w:val="00281DA2"/>
    <w:rsid w:val="002A70A0"/>
    <w:rsid w:val="002B65B6"/>
    <w:rsid w:val="002E493F"/>
    <w:rsid w:val="003014F6"/>
    <w:rsid w:val="00327077"/>
    <w:rsid w:val="0033050E"/>
    <w:rsid w:val="0035687D"/>
    <w:rsid w:val="00370113"/>
    <w:rsid w:val="00371CBC"/>
    <w:rsid w:val="00376460"/>
    <w:rsid w:val="00381289"/>
    <w:rsid w:val="003939E0"/>
    <w:rsid w:val="003B0414"/>
    <w:rsid w:val="003D2646"/>
    <w:rsid w:val="003D265D"/>
    <w:rsid w:val="003D7146"/>
    <w:rsid w:val="003E67D3"/>
    <w:rsid w:val="003F4BB3"/>
    <w:rsid w:val="00405846"/>
    <w:rsid w:val="0041148A"/>
    <w:rsid w:val="00412CF8"/>
    <w:rsid w:val="004301CD"/>
    <w:rsid w:val="00432EDB"/>
    <w:rsid w:val="00434381"/>
    <w:rsid w:val="0044504E"/>
    <w:rsid w:val="00454A45"/>
    <w:rsid w:val="004577AE"/>
    <w:rsid w:val="00461145"/>
    <w:rsid w:val="0046750A"/>
    <w:rsid w:val="00475771"/>
    <w:rsid w:val="004E4746"/>
    <w:rsid w:val="005035C8"/>
    <w:rsid w:val="00524C87"/>
    <w:rsid w:val="0054455D"/>
    <w:rsid w:val="00552F70"/>
    <w:rsid w:val="00561136"/>
    <w:rsid w:val="00570B3E"/>
    <w:rsid w:val="0058187B"/>
    <w:rsid w:val="00586DAE"/>
    <w:rsid w:val="005B28E2"/>
    <w:rsid w:val="005E1F53"/>
    <w:rsid w:val="00610CF5"/>
    <w:rsid w:val="00621F3A"/>
    <w:rsid w:val="00625B7E"/>
    <w:rsid w:val="00635F07"/>
    <w:rsid w:val="00675E49"/>
    <w:rsid w:val="006E253C"/>
    <w:rsid w:val="006E59E8"/>
    <w:rsid w:val="00751131"/>
    <w:rsid w:val="00766317"/>
    <w:rsid w:val="0078147E"/>
    <w:rsid w:val="00787C08"/>
    <w:rsid w:val="00792A4E"/>
    <w:rsid w:val="007A0993"/>
    <w:rsid w:val="007A14CE"/>
    <w:rsid w:val="007C1B66"/>
    <w:rsid w:val="007D153D"/>
    <w:rsid w:val="007D2F49"/>
    <w:rsid w:val="007D376E"/>
    <w:rsid w:val="0083547A"/>
    <w:rsid w:val="008359EC"/>
    <w:rsid w:val="00841065"/>
    <w:rsid w:val="00886552"/>
    <w:rsid w:val="008A4C25"/>
    <w:rsid w:val="008A610E"/>
    <w:rsid w:val="008C33A7"/>
    <w:rsid w:val="008C79C8"/>
    <w:rsid w:val="008E1705"/>
    <w:rsid w:val="00915A35"/>
    <w:rsid w:val="00930805"/>
    <w:rsid w:val="00954860"/>
    <w:rsid w:val="00962950"/>
    <w:rsid w:val="00966E42"/>
    <w:rsid w:val="0098075C"/>
    <w:rsid w:val="00985B21"/>
    <w:rsid w:val="00987824"/>
    <w:rsid w:val="009A7F99"/>
    <w:rsid w:val="009F3F6D"/>
    <w:rsid w:val="00A05425"/>
    <w:rsid w:val="00A15D1B"/>
    <w:rsid w:val="00A27401"/>
    <w:rsid w:val="00A83D1D"/>
    <w:rsid w:val="00A847BC"/>
    <w:rsid w:val="00A8520D"/>
    <w:rsid w:val="00AB6DA9"/>
    <w:rsid w:val="00AD2D61"/>
    <w:rsid w:val="00AF0F65"/>
    <w:rsid w:val="00B54750"/>
    <w:rsid w:val="00B648B5"/>
    <w:rsid w:val="00BA10B2"/>
    <w:rsid w:val="00BE0B05"/>
    <w:rsid w:val="00BE37D3"/>
    <w:rsid w:val="00BE6683"/>
    <w:rsid w:val="00BF7A4B"/>
    <w:rsid w:val="00C0655B"/>
    <w:rsid w:val="00C12F6F"/>
    <w:rsid w:val="00C5543E"/>
    <w:rsid w:val="00C73B27"/>
    <w:rsid w:val="00C90747"/>
    <w:rsid w:val="00C9242D"/>
    <w:rsid w:val="00CC1541"/>
    <w:rsid w:val="00CC1BEA"/>
    <w:rsid w:val="00CD13F9"/>
    <w:rsid w:val="00CD6B52"/>
    <w:rsid w:val="00CD768F"/>
    <w:rsid w:val="00CE0F50"/>
    <w:rsid w:val="00CE7B30"/>
    <w:rsid w:val="00D02AAE"/>
    <w:rsid w:val="00D22F8B"/>
    <w:rsid w:val="00D24A37"/>
    <w:rsid w:val="00D431FD"/>
    <w:rsid w:val="00D70D97"/>
    <w:rsid w:val="00D728D9"/>
    <w:rsid w:val="00D736AD"/>
    <w:rsid w:val="00D770E7"/>
    <w:rsid w:val="00D87798"/>
    <w:rsid w:val="00D944EF"/>
    <w:rsid w:val="00DC2319"/>
    <w:rsid w:val="00DE4D18"/>
    <w:rsid w:val="00E03BDE"/>
    <w:rsid w:val="00E23345"/>
    <w:rsid w:val="00E25BD4"/>
    <w:rsid w:val="00E32A56"/>
    <w:rsid w:val="00E50AA7"/>
    <w:rsid w:val="00E54D3A"/>
    <w:rsid w:val="00E65B89"/>
    <w:rsid w:val="00EA14DE"/>
    <w:rsid w:val="00EA3AFA"/>
    <w:rsid w:val="00EA410E"/>
    <w:rsid w:val="00EC6E1D"/>
    <w:rsid w:val="00F070A3"/>
    <w:rsid w:val="00F17932"/>
    <w:rsid w:val="00F30B42"/>
    <w:rsid w:val="00F43D73"/>
    <w:rsid w:val="00F44A27"/>
    <w:rsid w:val="00F54C8C"/>
    <w:rsid w:val="00F87EA5"/>
    <w:rsid w:val="00FC01FC"/>
    <w:rsid w:val="00FC10A3"/>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AA706A0"/>
  <w15:docId w15:val="{ABDF4ED2-1334-4982-B151-55C76430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E26"/>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character" w:styleId="PlaceholderText">
    <w:name w:val="Placeholder Text"/>
    <w:basedOn w:val="DefaultParagraphFont"/>
    <w:uiPriority w:val="99"/>
    <w:semiHidden/>
    <w:rsid w:val="0035687D"/>
    <w:rPr>
      <w:color w:val="808080"/>
    </w:rPr>
  </w:style>
  <w:style w:type="paragraph" w:customStyle="1" w:styleId="Heading3list">
    <w:name w:val="Heading3list"/>
    <w:basedOn w:val="Normal"/>
    <w:rsid w:val="0035687D"/>
    <w:pPr>
      <w:spacing w:before="200" w:after="200" w:line="276" w:lineRule="auto"/>
    </w:pPr>
    <w:rPr>
      <w:rFonts w:asciiTheme="majorHAnsi" w:eastAsiaTheme="minorEastAsia" w:hAnsiTheme="majorHAnsi"/>
      <w:b/>
      <w:color w:val="9B4AD6" w:themeColor="text2" w:themeTint="99"/>
      <w:sz w:val="24"/>
      <w:szCs w:val="24"/>
      <w:lang w:eastAsia="en-AU"/>
    </w:rPr>
  </w:style>
  <w:style w:type="character" w:styleId="Emphasis">
    <w:name w:val="Emphasis"/>
    <w:uiPriority w:val="20"/>
    <w:qFormat/>
    <w:rsid w:val="0035687D"/>
    <w:rPr>
      <w:caps/>
      <w:color w:val="7927B7" w:themeColor="accent1" w:themeShade="7F"/>
      <w:spacing w:val="5"/>
    </w:rPr>
  </w:style>
  <w:style w:type="character" w:styleId="CommentReference">
    <w:name w:val="annotation reference"/>
    <w:basedOn w:val="DefaultParagraphFont"/>
    <w:uiPriority w:val="99"/>
    <w:semiHidden/>
    <w:unhideWhenUsed/>
    <w:rsid w:val="008359EC"/>
    <w:rPr>
      <w:sz w:val="16"/>
      <w:szCs w:val="16"/>
    </w:rPr>
  </w:style>
  <w:style w:type="paragraph" w:styleId="CommentText">
    <w:name w:val="annotation text"/>
    <w:basedOn w:val="Normal"/>
    <w:link w:val="CommentTextChar"/>
    <w:uiPriority w:val="99"/>
    <w:semiHidden/>
    <w:unhideWhenUsed/>
    <w:rsid w:val="008359EC"/>
    <w:pPr>
      <w:spacing w:line="240" w:lineRule="auto"/>
    </w:pPr>
    <w:rPr>
      <w:sz w:val="20"/>
      <w:szCs w:val="20"/>
    </w:rPr>
  </w:style>
  <w:style w:type="character" w:customStyle="1" w:styleId="CommentTextChar">
    <w:name w:val="Comment Text Char"/>
    <w:basedOn w:val="DefaultParagraphFont"/>
    <w:link w:val="CommentText"/>
    <w:uiPriority w:val="99"/>
    <w:semiHidden/>
    <w:rsid w:val="008359EC"/>
    <w:rPr>
      <w:sz w:val="20"/>
      <w:szCs w:val="20"/>
    </w:rPr>
  </w:style>
  <w:style w:type="paragraph" w:styleId="CommentSubject">
    <w:name w:val="annotation subject"/>
    <w:basedOn w:val="CommentText"/>
    <w:next w:val="CommentText"/>
    <w:link w:val="CommentSubjectChar"/>
    <w:uiPriority w:val="99"/>
    <w:semiHidden/>
    <w:unhideWhenUsed/>
    <w:rsid w:val="008359EC"/>
    <w:rPr>
      <w:b/>
      <w:bCs/>
    </w:rPr>
  </w:style>
  <w:style w:type="character" w:customStyle="1" w:styleId="CommentSubjectChar">
    <w:name w:val="Comment Subject Char"/>
    <w:basedOn w:val="CommentTextChar"/>
    <w:link w:val="CommentSubject"/>
    <w:uiPriority w:val="99"/>
    <w:semiHidden/>
    <w:rsid w:val="008359EC"/>
    <w:rPr>
      <w:b/>
      <w:bCs/>
      <w:sz w:val="20"/>
      <w:szCs w:val="20"/>
    </w:rPr>
  </w:style>
  <w:style w:type="paragraph" w:customStyle="1" w:styleId="Default">
    <w:name w:val="Default"/>
    <w:rsid w:val="00A05425"/>
    <w:pPr>
      <w:autoSpaceDE w:val="0"/>
      <w:autoSpaceDN w:val="0"/>
      <w:adjustRightInd w:val="0"/>
      <w:spacing w:before="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62B0F7C4FC4ECE9CE851DED11070C7"/>
        <w:category>
          <w:name w:val="General"/>
          <w:gallery w:val="placeholder"/>
        </w:category>
        <w:types>
          <w:type w:val="bbPlcHdr"/>
        </w:types>
        <w:behaviors>
          <w:behavior w:val="content"/>
        </w:behaviors>
        <w:guid w:val="{57F1D8B8-7475-49A6-882E-C463A628F6DC}"/>
      </w:docPartPr>
      <w:docPartBody>
        <w:p w:rsidR="00126119" w:rsidRDefault="00432A55">
          <w:pPr>
            <w:pStyle w:val="ED62B0F7C4FC4ECE9CE851DED11070C7"/>
          </w:pPr>
          <w:r w:rsidRPr="00CE0F50">
            <w:rPr>
              <w:color w:val="444444"/>
            </w:rPr>
            <w:t>[Licence Number S/FXXXX]</w:t>
          </w:r>
        </w:p>
      </w:docPartBody>
    </w:docPart>
    <w:docPart>
      <w:docPartPr>
        <w:name w:val="BF3AFB186BF84C19B2673D8246D7BC9F"/>
        <w:category>
          <w:name w:val="General"/>
          <w:gallery w:val="placeholder"/>
        </w:category>
        <w:types>
          <w:type w:val="bbPlcHdr"/>
        </w:types>
        <w:behaviors>
          <w:behavior w:val="content"/>
        </w:behaviors>
        <w:guid w:val="{588E9981-0F7D-42BB-9B05-B1AF94C19BA0}"/>
      </w:docPartPr>
      <w:docPartBody>
        <w:p w:rsidR="00126119" w:rsidRDefault="00432A55">
          <w:pPr>
            <w:pStyle w:val="BF3AFB186BF84C19B2673D8246D7BC9F"/>
          </w:pPr>
          <w:r w:rsidRPr="00CE0F50">
            <w:rPr>
              <w:color w:val="444444"/>
            </w:rPr>
            <w:t>[Licence Number S/FXXXX]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A55"/>
    <w:rsid w:val="00126119"/>
    <w:rsid w:val="0022183E"/>
    <w:rsid w:val="00224D03"/>
    <w:rsid w:val="003E3C78"/>
    <w:rsid w:val="00432A55"/>
    <w:rsid w:val="005251CA"/>
    <w:rsid w:val="00A47F49"/>
    <w:rsid w:val="00A950F3"/>
    <w:rsid w:val="00C5532C"/>
    <w:rsid w:val="00C6440D"/>
    <w:rsid w:val="00DF63A5"/>
    <w:rsid w:val="00E77B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3C78"/>
    <w:rPr>
      <w:color w:val="808080"/>
    </w:rPr>
  </w:style>
  <w:style w:type="paragraph" w:customStyle="1" w:styleId="D8BB739648C2456D8C56A1A3F679AFE4">
    <w:name w:val="D8BB739648C2456D8C56A1A3F679AFE4"/>
  </w:style>
  <w:style w:type="paragraph" w:customStyle="1" w:styleId="ED62B0F7C4FC4ECE9CE851DED11070C7">
    <w:name w:val="ED62B0F7C4FC4ECE9CE851DED11070C7"/>
  </w:style>
  <w:style w:type="paragraph" w:customStyle="1" w:styleId="A8A5B3D9379840C4B780340FC341B85C">
    <w:name w:val="A8A5B3D9379840C4B780340FC341B85C"/>
  </w:style>
  <w:style w:type="paragraph" w:customStyle="1" w:styleId="6CBAD92BA3554CFE84E2F76D10C01D7C">
    <w:name w:val="6CBAD92BA3554CFE84E2F76D10C01D7C"/>
  </w:style>
  <w:style w:type="paragraph" w:customStyle="1" w:styleId="4ED64170F56D461A90ABEBCFF3A626FC">
    <w:name w:val="4ED64170F56D461A90ABEBCFF3A626FC"/>
  </w:style>
  <w:style w:type="paragraph" w:customStyle="1" w:styleId="BF3AFB186BF84C19B2673D8246D7BC9F">
    <w:name w:val="BF3AFB186BF84C19B2673D8246D7BC9F"/>
  </w:style>
  <w:style w:type="paragraph" w:customStyle="1" w:styleId="861EAC04517A4B59BEC451CE7E176CDC">
    <w:name w:val="861EAC04517A4B59BEC451CE7E176CDC"/>
  </w:style>
  <w:style w:type="paragraph" w:customStyle="1" w:styleId="7588E984DD364FA0B9B84465C28CB834">
    <w:name w:val="7588E984DD364FA0B9B84465C28CB834"/>
  </w:style>
  <w:style w:type="paragraph" w:customStyle="1" w:styleId="C772A5AA7BDD4F9BA8A7B3E02C4433EE">
    <w:name w:val="C772A5AA7BDD4F9BA8A7B3E02C4433EE"/>
  </w:style>
  <w:style w:type="paragraph" w:customStyle="1" w:styleId="39B7E86B63B747DF8D686781C2C31D94">
    <w:name w:val="39B7E86B63B747DF8D686781C2C31D94"/>
  </w:style>
  <w:style w:type="paragraph" w:customStyle="1" w:styleId="B6B27AD8698C47AAA6A75A37BA7FD06A">
    <w:name w:val="B6B27AD8698C47AAA6A75A37BA7FD06A"/>
  </w:style>
  <w:style w:type="paragraph" w:customStyle="1" w:styleId="DB30F30D25704D5DB76BC5EC39A4FEE5">
    <w:name w:val="DB30F30D25704D5DB76BC5EC39A4FEE5"/>
  </w:style>
  <w:style w:type="paragraph" w:customStyle="1" w:styleId="F6632505B04F406EB7D4479C50D92182">
    <w:name w:val="F6632505B04F406EB7D4479C50D92182"/>
  </w:style>
  <w:style w:type="paragraph" w:customStyle="1" w:styleId="D44A41A7D0704D929A6A076E48AE9FC0">
    <w:name w:val="D44A41A7D0704D929A6A076E48AE9FC0"/>
  </w:style>
  <w:style w:type="paragraph" w:customStyle="1" w:styleId="A8A5B3D9379840C4B780340FC341B85C1">
    <w:name w:val="A8A5B3D9379840C4B780340FC341B85C1"/>
    <w:rsid w:val="00432A55"/>
    <w:pPr>
      <w:keepNext/>
      <w:keepLines/>
      <w:spacing w:before="240" w:after="0" w:line="264" w:lineRule="auto"/>
      <w:outlineLvl w:val="1"/>
    </w:pPr>
    <w:rPr>
      <w:rFonts w:ascii="Calibri" w:eastAsiaTheme="majorEastAsia" w:hAnsi="Calibri" w:cstheme="majorBidi"/>
      <w:b/>
      <w:bCs/>
      <w:color w:val="4E1A74"/>
      <w:sz w:val="26"/>
      <w:szCs w:val="26"/>
      <w:lang w:eastAsia="en-US"/>
    </w:rPr>
  </w:style>
  <w:style w:type="paragraph" w:styleId="FootnoteText">
    <w:name w:val="footnote text"/>
    <w:basedOn w:val="Normal"/>
    <w:link w:val="FootnoteTextChar"/>
    <w:uiPriority w:val="99"/>
    <w:qFormat/>
    <w:rsid w:val="00432A55"/>
    <w:pPr>
      <w:spacing w:before="60" w:after="0" w:line="240" w:lineRule="auto"/>
      <w:ind w:left="284" w:hanging="284"/>
    </w:pPr>
    <w:rPr>
      <w:rFonts w:eastAsiaTheme="minorHAnsi"/>
      <w:color w:val="444444"/>
      <w:sz w:val="18"/>
      <w:szCs w:val="20"/>
      <w:lang w:eastAsia="en-US"/>
    </w:rPr>
  </w:style>
  <w:style w:type="character" w:customStyle="1" w:styleId="FootnoteTextChar">
    <w:name w:val="Footnote Text Char"/>
    <w:basedOn w:val="DefaultParagraphFont"/>
    <w:link w:val="FootnoteText"/>
    <w:uiPriority w:val="99"/>
    <w:rsid w:val="00432A55"/>
    <w:rPr>
      <w:rFonts w:eastAsiaTheme="minorHAnsi"/>
      <w:color w:val="444444"/>
      <w:sz w:val="18"/>
      <w:szCs w:val="20"/>
      <w:lang w:eastAsia="en-US"/>
    </w:rPr>
  </w:style>
  <w:style w:type="paragraph" w:customStyle="1" w:styleId="7588E984DD364FA0B9B84465C28CB8341">
    <w:name w:val="7588E984DD364FA0B9B84465C28CB8341"/>
    <w:rsid w:val="00432A55"/>
    <w:pPr>
      <w:spacing w:before="240" w:after="0" w:line="264" w:lineRule="auto"/>
    </w:pPr>
    <w:rPr>
      <w:rFonts w:eastAsiaTheme="minorHAnsi"/>
      <w:color w:val="444444"/>
      <w:lang w:eastAsia="en-US"/>
    </w:rPr>
  </w:style>
  <w:style w:type="paragraph" w:customStyle="1" w:styleId="C772A5AA7BDD4F9BA8A7B3E02C4433EE1">
    <w:name w:val="C772A5AA7BDD4F9BA8A7B3E02C4433EE1"/>
    <w:rsid w:val="00432A55"/>
    <w:pPr>
      <w:spacing w:before="240" w:after="0" w:line="264" w:lineRule="auto"/>
    </w:pPr>
    <w:rPr>
      <w:rFonts w:eastAsiaTheme="minorHAnsi"/>
      <w:color w:val="444444"/>
      <w:lang w:eastAsia="en-US"/>
    </w:rPr>
  </w:style>
  <w:style w:type="paragraph" w:customStyle="1" w:styleId="39B7E86B63B747DF8D686781C2C31D941">
    <w:name w:val="39B7E86B63B747DF8D686781C2C31D941"/>
    <w:rsid w:val="00432A55"/>
    <w:pPr>
      <w:keepNext/>
      <w:keepLines/>
      <w:spacing w:before="240" w:after="0" w:line="264" w:lineRule="auto"/>
      <w:outlineLvl w:val="1"/>
    </w:pPr>
    <w:rPr>
      <w:rFonts w:ascii="Calibri" w:eastAsiaTheme="majorEastAsia" w:hAnsi="Calibri" w:cstheme="majorBidi"/>
      <w:b/>
      <w:bCs/>
      <w:color w:val="4E1A74"/>
      <w:sz w:val="26"/>
      <w:szCs w:val="26"/>
      <w:lang w:eastAsia="en-US"/>
    </w:rPr>
  </w:style>
  <w:style w:type="paragraph" w:customStyle="1" w:styleId="B6B27AD8698C47AAA6A75A37BA7FD06A1">
    <w:name w:val="B6B27AD8698C47AAA6A75A37BA7FD06A1"/>
    <w:rsid w:val="00432A55"/>
    <w:pPr>
      <w:spacing w:before="240" w:after="0" w:line="264" w:lineRule="auto"/>
    </w:pPr>
    <w:rPr>
      <w:rFonts w:eastAsiaTheme="minorHAnsi"/>
      <w:color w:val="444444"/>
      <w:lang w:eastAsia="en-US"/>
    </w:rPr>
  </w:style>
  <w:style w:type="paragraph" w:customStyle="1" w:styleId="DB30F30D25704D5DB76BC5EC39A4FEE51">
    <w:name w:val="DB30F30D25704D5DB76BC5EC39A4FEE51"/>
    <w:rsid w:val="00432A55"/>
    <w:pPr>
      <w:tabs>
        <w:tab w:val="center" w:pos="4513"/>
        <w:tab w:val="right" w:pos="9026"/>
      </w:tabs>
      <w:spacing w:after="0" w:line="240" w:lineRule="auto"/>
    </w:pPr>
    <w:rPr>
      <w:rFonts w:eastAsiaTheme="minorHAnsi"/>
      <w:color w:val="444444"/>
      <w:lang w:eastAsia="en-US"/>
    </w:rPr>
  </w:style>
  <w:style w:type="paragraph" w:customStyle="1" w:styleId="F6632505B04F406EB7D4479C50D921821">
    <w:name w:val="F6632505B04F406EB7D4479C50D921821"/>
    <w:rsid w:val="00432A55"/>
    <w:pPr>
      <w:tabs>
        <w:tab w:val="center" w:pos="4513"/>
        <w:tab w:val="right" w:pos="9026"/>
      </w:tabs>
      <w:spacing w:after="0" w:line="240" w:lineRule="auto"/>
    </w:pPr>
    <w:rPr>
      <w:rFonts w:eastAsiaTheme="minorHAnsi"/>
      <w:color w:val="444444"/>
      <w:lang w:eastAsia="en-US"/>
    </w:rPr>
  </w:style>
  <w:style w:type="paragraph" w:customStyle="1" w:styleId="D44A41A7D0704D929A6A076E48AE9FC01">
    <w:name w:val="D44A41A7D0704D929A6A076E48AE9FC01"/>
    <w:rsid w:val="00432A55"/>
    <w:pPr>
      <w:tabs>
        <w:tab w:val="center" w:pos="4513"/>
        <w:tab w:val="right" w:pos="9026"/>
      </w:tabs>
      <w:spacing w:after="0" w:line="240" w:lineRule="auto"/>
    </w:pPr>
    <w:rPr>
      <w:rFonts w:eastAsiaTheme="minorHAnsi"/>
      <w:color w:val="444444"/>
      <w:lang w:eastAsia="en-US"/>
    </w:rPr>
  </w:style>
  <w:style w:type="paragraph" w:customStyle="1" w:styleId="1B9B7560E1D04F178669C937434D1982">
    <w:name w:val="1B9B7560E1D04F178669C937434D1982"/>
    <w:rsid w:val="0022183E"/>
  </w:style>
  <w:style w:type="paragraph" w:customStyle="1" w:styleId="7A57455C94AC4C3BABA1559C54F015C7">
    <w:name w:val="7A57455C94AC4C3BABA1559C54F015C7"/>
    <w:rsid w:val="005251CA"/>
  </w:style>
  <w:style w:type="paragraph" w:customStyle="1" w:styleId="7C17BD6AAC7A4F0EB53119D54CBB49E5">
    <w:name w:val="7C17BD6AAC7A4F0EB53119D54CBB49E5"/>
    <w:rsid w:val="003E3C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64444B4B-C799-4148-AF5A-2A3CF5A29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959</Words>
  <Characters>5439</Characters>
  <Application>Microsoft Office Word</Application>
  <DocSecurity>0</DocSecurity>
  <Lines>90</Lines>
  <Paragraphs>49</Paragraphs>
  <ScaleCrop>false</ScaleCrop>
  <HeadingPairs>
    <vt:vector size="2" baseType="variant">
      <vt:variant>
        <vt:lpstr>Title</vt:lpstr>
      </vt:variant>
      <vt:variant>
        <vt:i4>1</vt:i4>
      </vt:variant>
    </vt:vector>
  </HeadingPairs>
  <TitlesOfParts>
    <vt:vector size="1" baseType="lpstr">
      <vt:lpstr>Department of Infrastructure and Regional Development (DIRD)</vt:lpstr>
    </vt:vector>
  </TitlesOfParts>
  <Company>ARPANSA</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Infrastructure and Regional Development (DIRD)</dc:title>
  <dc:creator/>
  <cp:keywords>S0288</cp:keywords>
  <cp:lastModifiedBy>Kelsie Kruse</cp:lastModifiedBy>
  <cp:revision>5</cp:revision>
  <dcterms:created xsi:type="dcterms:W3CDTF">2018-11-22T23:18:00Z</dcterms:created>
  <dcterms:modified xsi:type="dcterms:W3CDTF">2018-11-22T23:29:00Z</dcterms:modified>
</cp:coreProperties>
</file>