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AF3AD" w14:textId="77777777" w:rsidR="003D2646" w:rsidRDefault="002449F3" w:rsidP="0068389B">
      <w:pPr>
        <w:pStyle w:val="Title"/>
      </w:pPr>
      <w:r>
        <w:t>Inspection r</w:t>
      </w:r>
      <w:r w:rsidR="0035687D">
        <w:t>eport</w:t>
      </w:r>
    </w:p>
    <w:tbl>
      <w:tblPr>
        <w:tblStyle w:val="TableGrid"/>
        <w:tblW w:w="0" w:type="auto"/>
        <w:tblLook w:val="04A0" w:firstRow="1" w:lastRow="0" w:firstColumn="1" w:lastColumn="0" w:noHBand="0" w:noVBand="1"/>
      </w:tblPr>
      <w:tblGrid>
        <w:gridCol w:w="4814"/>
        <w:gridCol w:w="4814"/>
      </w:tblGrid>
      <w:tr w:rsidR="0035687D" w14:paraId="2D5232C0" w14:textId="77777777" w:rsidTr="007A14CE">
        <w:tc>
          <w:tcPr>
            <w:tcW w:w="4814" w:type="dxa"/>
            <w:vAlign w:val="center"/>
          </w:tcPr>
          <w:p w14:paraId="5F630E96" w14:textId="77777777" w:rsidR="0035687D" w:rsidRDefault="002449F3" w:rsidP="00482A83">
            <w:pPr>
              <w:spacing w:before="120" w:after="120"/>
            </w:pPr>
            <w:r>
              <w:rPr>
                <w:b/>
                <w:color w:val="4E1A74" w:themeColor="text2"/>
              </w:rPr>
              <w:t>Licence h</w:t>
            </w:r>
            <w:r w:rsidR="0035687D" w:rsidRPr="007A14CE">
              <w:rPr>
                <w:b/>
                <w:color w:val="4E1A74" w:themeColor="text2"/>
              </w:rPr>
              <w:t>older:</w:t>
            </w:r>
            <w:r w:rsidR="0035687D" w:rsidRPr="007A14CE">
              <w:rPr>
                <w:color w:val="4E1A74" w:themeColor="text2"/>
              </w:rPr>
              <w:t xml:space="preserve"> </w:t>
            </w:r>
            <w:sdt>
              <w:sdtPr>
                <w:alias w:val="Licence Holder"/>
                <w:tag w:val=""/>
                <w:id w:val="1015581482"/>
                <w:placeholder>
                  <w:docPart w:val="D8BB739648C2456D8C56A1A3F679AFE4"/>
                </w:placeholder>
                <w:dataBinding w:prefixMappings="xmlns:ns0='http://purl.org/dc/elements/1.1/' xmlns:ns1='http://schemas.openxmlformats.org/package/2006/metadata/core-properties' " w:xpath="/ns1:coreProperties[1]/ns0:title[1]" w:storeItemID="{6C3C8BC8-F283-45AE-878A-BAB7291924A1}"/>
                <w:text/>
              </w:sdtPr>
              <w:sdtEndPr/>
              <w:sdtContent>
                <w:r w:rsidR="00482A83">
                  <w:t>ANSTO</w:t>
                </w:r>
              </w:sdtContent>
            </w:sdt>
          </w:p>
        </w:tc>
        <w:tc>
          <w:tcPr>
            <w:tcW w:w="4814" w:type="dxa"/>
            <w:vAlign w:val="center"/>
          </w:tcPr>
          <w:p w14:paraId="7633690E" w14:textId="77777777" w:rsidR="0035687D" w:rsidRDefault="0035687D" w:rsidP="00482A83">
            <w:pPr>
              <w:spacing w:before="120" w:after="120"/>
            </w:pPr>
            <w:r w:rsidRPr="007A14CE">
              <w:rPr>
                <w:b/>
                <w:bCs/>
                <w:color w:val="4E1A74" w:themeColor="text2"/>
              </w:rPr>
              <w:t>Licence number:</w:t>
            </w:r>
            <w:r w:rsidRPr="007A14CE">
              <w:rPr>
                <w:b/>
                <w:color w:val="4E1A74" w:themeColor="text2"/>
              </w:rPr>
              <w:t xml:space="preserve"> </w:t>
            </w:r>
            <w:sdt>
              <w:sdtPr>
                <w:alias w:val="Licence Number"/>
                <w:tag w:val=""/>
                <w:id w:val="-1058091660"/>
                <w:placeholder>
                  <w:docPart w:val="ED62B0F7C4FC4ECE9CE851DED11070C7"/>
                </w:placeholder>
                <w:dataBinding w:prefixMappings="xmlns:ns0='http://purl.org/dc/elements/1.1/' xmlns:ns1='http://schemas.openxmlformats.org/package/2006/metadata/core-properties' " w:xpath="/ns1:coreProperties[1]/ns1:keywords[1]" w:storeItemID="{6C3C8BC8-F283-45AE-878A-BAB7291924A1}"/>
                <w:text/>
              </w:sdtPr>
              <w:sdtEndPr/>
              <w:sdtContent>
                <w:r w:rsidR="00482A83">
                  <w:t>F0251</w:t>
                </w:r>
              </w:sdtContent>
            </w:sdt>
          </w:p>
        </w:tc>
      </w:tr>
      <w:tr w:rsidR="00CE0F50" w14:paraId="3ACE6DB6" w14:textId="77777777" w:rsidTr="007A14CE">
        <w:tc>
          <w:tcPr>
            <w:tcW w:w="4814" w:type="dxa"/>
            <w:vMerge w:val="restart"/>
            <w:vAlign w:val="center"/>
          </w:tcPr>
          <w:p w14:paraId="4571C28C" w14:textId="77777777" w:rsidR="00CE0F50" w:rsidRPr="00482A83" w:rsidRDefault="00CE0F50" w:rsidP="00482A83">
            <w:pPr>
              <w:pStyle w:val="Heading2"/>
              <w:spacing w:before="120" w:after="120"/>
              <w:outlineLvl w:val="1"/>
              <w:rPr>
                <w:rFonts w:asciiTheme="minorHAnsi" w:eastAsiaTheme="minorHAnsi" w:hAnsiTheme="minorHAnsi" w:cstheme="minorBidi"/>
                <w:b w:val="0"/>
                <w:bCs w:val="0"/>
                <w:color w:val="4E1A74" w:themeColor="text2"/>
                <w:sz w:val="22"/>
                <w:szCs w:val="22"/>
              </w:rPr>
            </w:pPr>
            <w:r w:rsidRPr="007A14CE">
              <w:rPr>
                <w:rFonts w:asciiTheme="minorHAnsi" w:eastAsiaTheme="minorHAnsi" w:hAnsiTheme="minorHAnsi" w:cstheme="minorBidi"/>
                <w:bCs w:val="0"/>
                <w:color w:val="4E1A74" w:themeColor="text2"/>
                <w:sz w:val="22"/>
                <w:szCs w:val="22"/>
              </w:rPr>
              <w:t>Location inspected:</w:t>
            </w:r>
            <w:r w:rsidR="002449F3">
              <w:rPr>
                <w:rFonts w:asciiTheme="minorHAnsi" w:eastAsiaTheme="minorHAnsi" w:hAnsiTheme="minorHAnsi" w:cstheme="minorBidi"/>
                <w:bCs w:val="0"/>
                <w:color w:val="4E1A74" w:themeColor="text2"/>
                <w:sz w:val="22"/>
                <w:szCs w:val="22"/>
              </w:rPr>
              <w:t xml:space="preserve"> </w:t>
            </w:r>
            <w:r w:rsidR="00482A83" w:rsidRPr="007E0597">
              <w:rPr>
                <w:b w:val="0"/>
                <w:color w:val="444448" w:themeColor="accent4"/>
                <w:sz w:val="22"/>
              </w:rPr>
              <w:t>Camperdown</w:t>
            </w:r>
          </w:p>
        </w:tc>
        <w:tc>
          <w:tcPr>
            <w:tcW w:w="4814" w:type="dxa"/>
            <w:vAlign w:val="center"/>
          </w:tcPr>
          <w:p w14:paraId="384143AF" w14:textId="2F834FEF" w:rsidR="00CE0F50" w:rsidRDefault="00CE0F50" w:rsidP="00482A83">
            <w:pPr>
              <w:spacing w:before="120" w:after="120"/>
            </w:pPr>
            <w:r w:rsidRPr="007A14CE">
              <w:rPr>
                <w:b/>
                <w:bCs/>
                <w:color w:val="4E1A74" w:themeColor="text2"/>
              </w:rPr>
              <w:t>Date/s of inspection:</w:t>
            </w:r>
            <w:r w:rsidR="007A14CE">
              <w:t xml:space="preserve"> </w:t>
            </w:r>
            <w:r w:rsidR="007E0597">
              <w:t>28–</w:t>
            </w:r>
            <w:r w:rsidR="00482A83" w:rsidRPr="00482A83">
              <w:t>30 November</w:t>
            </w:r>
            <w:r w:rsidR="00453179">
              <w:t xml:space="preserve"> 2018</w:t>
            </w:r>
          </w:p>
        </w:tc>
      </w:tr>
      <w:tr w:rsidR="00CE0F50" w14:paraId="7DD3E897" w14:textId="77777777" w:rsidTr="007A14CE">
        <w:tc>
          <w:tcPr>
            <w:tcW w:w="4814" w:type="dxa"/>
            <w:vMerge/>
            <w:vAlign w:val="center"/>
          </w:tcPr>
          <w:p w14:paraId="1C53B07E" w14:textId="77777777" w:rsidR="00CE0F50" w:rsidRPr="0035687D" w:rsidRDefault="00CE0F50" w:rsidP="007A14CE">
            <w:pPr>
              <w:pStyle w:val="Heading2"/>
              <w:spacing w:before="120" w:after="120"/>
              <w:outlineLvl w:val="1"/>
            </w:pPr>
          </w:p>
        </w:tc>
        <w:tc>
          <w:tcPr>
            <w:tcW w:w="4814" w:type="dxa"/>
            <w:vAlign w:val="center"/>
          </w:tcPr>
          <w:p w14:paraId="51A68F4A" w14:textId="77777777" w:rsidR="00CE0F50" w:rsidRDefault="00CE0F50" w:rsidP="00CE5E1C">
            <w:pPr>
              <w:spacing w:before="120" w:after="120"/>
            </w:pPr>
            <w:r w:rsidRPr="007A14CE">
              <w:rPr>
                <w:b/>
                <w:color w:val="4E1A74" w:themeColor="text2"/>
              </w:rPr>
              <w:t xml:space="preserve">Report </w:t>
            </w:r>
            <w:r w:rsidR="002449F3">
              <w:rPr>
                <w:b/>
                <w:color w:val="4E1A74" w:themeColor="text2"/>
              </w:rPr>
              <w:t>n</w:t>
            </w:r>
            <w:r w:rsidRPr="007A14CE">
              <w:rPr>
                <w:b/>
                <w:color w:val="4E1A74" w:themeColor="text2"/>
              </w:rPr>
              <w:t>o:</w:t>
            </w:r>
            <w:r w:rsidR="007A14CE" w:rsidRPr="007A14CE">
              <w:rPr>
                <w:color w:val="4E1A74" w:themeColor="text2"/>
              </w:rPr>
              <w:t xml:space="preserve"> </w:t>
            </w:r>
            <w:bookmarkStart w:id="0" w:name="_GoBack"/>
            <w:r w:rsidR="00CE5E1C">
              <w:t>R18/14409</w:t>
            </w:r>
            <w:bookmarkEnd w:id="0"/>
          </w:p>
        </w:tc>
      </w:tr>
      <w:tr w:rsidR="0035687D" w14:paraId="2BF1A4D0" w14:textId="77777777" w:rsidTr="00F65516">
        <w:tc>
          <w:tcPr>
            <w:tcW w:w="9628" w:type="dxa"/>
            <w:gridSpan w:val="2"/>
          </w:tcPr>
          <w:p w14:paraId="458ED979" w14:textId="6BC5747D" w:rsidR="0035687D" w:rsidRPr="007E0597" w:rsidRDefault="0035687D" w:rsidP="0035687D">
            <w:pPr>
              <w:rPr>
                <w:b/>
                <w:color w:val="444448" w:themeColor="accent4"/>
              </w:rPr>
            </w:pPr>
            <w:r w:rsidRPr="007E0597">
              <w:rPr>
                <w:color w:val="444448" w:themeColor="accent4"/>
              </w:rPr>
              <w:t xml:space="preserve">An inspection was conducted as part of ARPANSA’s baseline inspection program to assess compliance with the </w:t>
            </w:r>
            <w:r w:rsidRPr="007E0597">
              <w:rPr>
                <w:i/>
                <w:color w:val="444448" w:themeColor="accent4"/>
              </w:rPr>
              <w:t>Australian Radiation Protection and Nuclear Safety Act 1998</w:t>
            </w:r>
            <w:r w:rsidRPr="007E0597">
              <w:rPr>
                <w:color w:val="444448" w:themeColor="accent4"/>
              </w:rPr>
              <w:t xml:space="preserve"> (the Act), the Australian Radiation Protection and Nuclear Safety Regulations 1999 (</w:t>
            </w:r>
            <w:r w:rsidR="00B53D29" w:rsidRPr="007E0597">
              <w:rPr>
                <w:color w:val="444448" w:themeColor="accent4"/>
              </w:rPr>
              <w:t>the Regulations in force at the time of the inspection</w:t>
            </w:r>
            <w:r w:rsidR="00604DC2" w:rsidRPr="007E0597">
              <w:rPr>
                <w:color w:val="444448" w:themeColor="accent4"/>
              </w:rPr>
              <w:t xml:space="preserve">) </w:t>
            </w:r>
            <w:r w:rsidRPr="007E0597">
              <w:rPr>
                <w:color w:val="444448" w:themeColor="accent4"/>
              </w:rPr>
              <w:t>and conditions of the Facility Licence</w:t>
            </w:r>
            <w:r w:rsidR="00CE0F50" w:rsidRPr="007E0597">
              <w:rPr>
                <w:color w:val="444448" w:themeColor="accent4"/>
              </w:rPr>
              <w:t xml:space="preserve"> </w:t>
            </w:r>
            <w:sdt>
              <w:sdtPr>
                <w:rPr>
                  <w:color w:val="444448" w:themeColor="accent4"/>
                </w:rPr>
                <w:alias w:val="Licence Number"/>
                <w:tag w:val=""/>
                <w:id w:val="-1852640385"/>
                <w:placeholder>
                  <w:docPart w:val="BF3AFB186BF84C19B2673D8246D7BC9F"/>
                </w:placeholder>
                <w:dataBinding w:prefixMappings="xmlns:ns0='http://purl.org/dc/elements/1.1/' xmlns:ns1='http://schemas.openxmlformats.org/package/2006/metadata/core-properties' " w:xpath="/ns1:coreProperties[1]/ns1:keywords[1]" w:storeItemID="{6C3C8BC8-F283-45AE-878A-BAB7291924A1}"/>
                <w:text/>
              </w:sdtPr>
              <w:sdtEndPr/>
              <w:sdtContent>
                <w:r w:rsidR="00482A83" w:rsidRPr="007E0597">
                  <w:rPr>
                    <w:color w:val="444448" w:themeColor="accent4"/>
                  </w:rPr>
                  <w:t>F0251</w:t>
                </w:r>
              </w:sdtContent>
            </w:sdt>
            <w:r w:rsidRPr="007E0597">
              <w:rPr>
                <w:color w:val="444448" w:themeColor="accent4"/>
              </w:rPr>
              <w:t xml:space="preserve">. </w:t>
            </w:r>
            <w:r w:rsidR="00B225A3" w:rsidRPr="007E0597">
              <w:rPr>
                <w:color w:val="444448" w:themeColor="accent4"/>
              </w:rPr>
              <w:t xml:space="preserve">The Regulations in force at the time of the inspection </w:t>
            </w:r>
            <w:proofErr w:type="gramStart"/>
            <w:r w:rsidR="00B225A3" w:rsidRPr="007E0597">
              <w:rPr>
                <w:color w:val="444448" w:themeColor="accent4"/>
              </w:rPr>
              <w:t>were remade</w:t>
            </w:r>
            <w:proofErr w:type="gramEnd"/>
            <w:r w:rsidR="00B225A3" w:rsidRPr="007E0597">
              <w:rPr>
                <w:color w:val="444448" w:themeColor="accent4"/>
              </w:rPr>
              <w:t xml:space="preserve"> in December 2018.</w:t>
            </w:r>
            <w:r w:rsidR="00B53D29" w:rsidRPr="007E0597">
              <w:rPr>
                <w:color w:val="444448" w:themeColor="accent4"/>
              </w:rPr>
              <w:t xml:space="preserve"> The remade</w:t>
            </w:r>
            <w:r w:rsidR="00604DC2" w:rsidRPr="007E0597">
              <w:rPr>
                <w:color w:val="444448" w:themeColor="accent4"/>
              </w:rPr>
              <w:t xml:space="preserve"> regulations are the Australian Radiation Protection and Nuclear Safety Regulations 2018 (Regulations 2018). </w:t>
            </w:r>
          </w:p>
          <w:p w14:paraId="1439D119" w14:textId="77777777" w:rsidR="0035687D" w:rsidRPr="007E0597" w:rsidRDefault="0035687D" w:rsidP="007E0597">
            <w:r w:rsidRPr="007E0597">
              <w:t xml:space="preserve">The scope of the inspection included an assessment of </w:t>
            </w:r>
            <w:sdt>
              <w:sdtPr>
                <w:alias w:val="Licence Holder"/>
                <w:tag w:val=""/>
                <w:id w:val="1374971004"/>
                <w:placeholder>
                  <w:docPart w:val="861EAC04517A4B59BEC451CE7E176CDC"/>
                </w:placeholder>
                <w:dataBinding w:prefixMappings="xmlns:ns0='http://purl.org/dc/elements/1.1/' xmlns:ns1='http://schemas.openxmlformats.org/package/2006/metadata/core-properties' " w:xpath="/ns1:coreProperties[1]/ns0:title[1]" w:storeItemID="{6C3C8BC8-F283-45AE-878A-BAB7291924A1}"/>
                <w:text/>
              </w:sdtPr>
              <w:sdtEndPr/>
              <w:sdtContent>
                <w:r w:rsidR="00482A83" w:rsidRPr="007E0597">
                  <w:t>ANSTO</w:t>
                </w:r>
              </w:sdtContent>
            </w:sdt>
            <w:r w:rsidRPr="007E0597">
              <w:t xml:space="preserve">’s performance at </w:t>
            </w:r>
            <w:r w:rsidR="00482A83" w:rsidRPr="007E0597">
              <w:t xml:space="preserve">the Camperdown facility </w:t>
            </w:r>
            <w:r w:rsidRPr="007E0597">
              <w:t>against the Performance Objectives</w:t>
            </w:r>
            <w:r w:rsidR="00482A83" w:rsidRPr="007E0597">
              <w:t xml:space="preserve"> and Criteria (PO&amp;Cs).</w:t>
            </w:r>
            <w:r w:rsidRPr="007E0597">
              <w:t xml:space="preserve"> The inspection consisted of a review of records, interviews, and </w:t>
            </w:r>
            <w:r w:rsidR="00482A83" w:rsidRPr="007E0597">
              <w:t xml:space="preserve">physical inspection of </w:t>
            </w:r>
            <w:r w:rsidRPr="007E0597">
              <w:t xml:space="preserve">the facility. </w:t>
            </w:r>
          </w:p>
          <w:p w14:paraId="09177345" w14:textId="77777777" w:rsidR="0035687D" w:rsidRPr="00AF4FF3" w:rsidRDefault="0035687D" w:rsidP="0035687D">
            <w:pPr>
              <w:pStyle w:val="Heading1"/>
              <w:outlineLvl w:val="0"/>
            </w:pPr>
            <w:r w:rsidRPr="00AF4FF3">
              <w:t>Background</w:t>
            </w:r>
          </w:p>
          <w:p w14:paraId="63ADC09B" w14:textId="5E9B2208" w:rsidR="00610CF5" w:rsidRPr="007E0597" w:rsidRDefault="00482A83" w:rsidP="00482A83">
            <w:pPr>
              <w:rPr>
                <w:color w:val="444448" w:themeColor="accent4"/>
              </w:rPr>
            </w:pPr>
            <w:r w:rsidRPr="007E0597">
              <w:rPr>
                <w:color w:val="444448" w:themeColor="accent4"/>
              </w:rPr>
              <w:t>ANSTO’s Camperdown facility houses a commercially available 18 MeV cyclotron</w:t>
            </w:r>
            <w:r w:rsidR="003121D7" w:rsidRPr="007E0597">
              <w:rPr>
                <w:color w:val="444448" w:themeColor="accent4"/>
              </w:rPr>
              <w:t xml:space="preserve"> used for the production of both </w:t>
            </w:r>
            <w:r w:rsidR="003121D7" w:rsidRPr="007E0597">
              <w:rPr>
                <w:color w:val="444448" w:themeColor="accent4"/>
                <w:vertAlign w:val="superscript"/>
              </w:rPr>
              <w:t>11</w:t>
            </w:r>
            <w:r w:rsidR="003121D7" w:rsidRPr="007E0597">
              <w:rPr>
                <w:color w:val="444448" w:themeColor="accent4"/>
              </w:rPr>
              <w:t xml:space="preserve">C and </w:t>
            </w:r>
            <w:r w:rsidR="003121D7" w:rsidRPr="007E0597">
              <w:rPr>
                <w:color w:val="444448" w:themeColor="accent4"/>
                <w:vertAlign w:val="superscript"/>
              </w:rPr>
              <w:t>18</w:t>
            </w:r>
            <w:r w:rsidR="003121D7" w:rsidRPr="007E0597">
              <w:rPr>
                <w:color w:val="444448" w:themeColor="accent4"/>
              </w:rPr>
              <w:t>F from irradiated targets. The facility also makes use of various hot</w:t>
            </w:r>
            <w:r w:rsidR="007E0597">
              <w:rPr>
                <w:color w:val="444448" w:themeColor="accent4"/>
              </w:rPr>
              <w:t xml:space="preserve"> </w:t>
            </w:r>
            <w:r w:rsidR="003121D7" w:rsidRPr="007E0597">
              <w:rPr>
                <w:color w:val="444448" w:themeColor="accent4"/>
              </w:rPr>
              <w:t xml:space="preserve">cells, laboratories and other </w:t>
            </w:r>
            <w:proofErr w:type="gramStart"/>
            <w:r w:rsidR="003121D7" w:rsidRPr="007E0597">
              <w:rPr>
                <w:color w:val="444448" w:themeColor="accent4"/>
              </w:rPr>
              <w:t>rooms which</w:t>
            </w:r>
            <w:proofErr w:type="gramEnd"/>
            <w:r w:rsidR="003121D7" w:rsidRPr="007E0597">
              <w:rPr>
                <w:color w:val="444448" w:themeColor="accent4"/>
              </w:rPr>
              <w:t xml:space="preserve"> prepare radiolabelled compoun</w:t>
            </w:r>
            <w:r w:rsidR="009C2DD7" w:rsidRPr="007E0597">
              <w:rPr>
                <w:color w:val="444448" w:themeColor="accent4"/>
              </w:rPr>
              <w:t>ds. This facility, which is primarily research focussed, collaborates with the University of Sydney’s Brain and Mind Centre.</w:t>
            </w:r>
          </w:p>
          <w:p w14:paraId="156D2CCA" w14:textId="77777777" w:rsidR="0035687D" w:rsidRPr="009C2DD7" w:rsidRDefault="0035687D" w:rsidP="009C2DD7">
            <w:pPr>
              <w:pStyle w:val="Heading1"/>
              <w:outlineLvl w:val="0"/>
              <w:rPr>
                <w:rFonts w:asciiTheme="majorHAnsi" w:hAnsiTheme="majorHAnsi"/>
                <w:color w:val="AF6FE0" w:themeColor="accent1" w:themeShade="BF"/>
              </w:rPr>
            </w:pPr>
            <w:r w:rsidRPr="00AF4FF3">
              <w:t>Observations</w:t>
            </w:r>
          </w:p>
          <w:p w14:paraId="185BF5D6" w14:textId="4C631B16" w:rsidR="0035687D" w:rsidRDefault="007E0597" w:rsidP="0035687D">
            <w:pPr>
              <w:pStyle w:val="Heading2"/>
              <w:outlineLvl w:val="1"/>
            </w:pPr>
            <w:r>
              <w:t>Performance reporting and v</w:t>
            </w:r>
            <w:r w:rsidR="009C2DD7">
              <w:t>erification</w:t>
            </w:r>
            <w:r w:rsidR="0035687D" w:rsidRPr="00AF4FF3">
              <w:t xml:space="preserve"> </w:t>
            </w:r>
          </w:p>
          <w:p w14:paraId="1AF2CBEA" w14:textId="56A8D8A2" w:rsidR="00857F75" w:rsidRPr="007E0597" w:rsidRDefault="00857F75" w:rsidP="00857F75">
            <w:pPr>
              <w:rPr>
                <w:color w:val="444448" w:themeColor="accent4"/>
              </w:rPr>
            </w:pPr>
            <w:r w:rsidRPr="007E0597">
              <w:rPr>
                <w:color w:val="444448" w:themeColor="accent4"/>
              </w:rPr>
              <w:t xml:space="preserve">It is a requirement that the licence holder provides the CEO of ARPANSA with a quarterly report which details information regarding their compliance with the Act, Regulations and any imposed licence conditions. This responsibility falls on the facility officer who supplies information </w:t>
            </w:r>
            <w:r w:rsidR="002B566B" w:rsidRPr="007E0597">
              <w:rPr>
                <w:color w:val="444448" w:themeColor="accent4"/>
              </w:rPr>
              <w:t>including but not limited to</w:t>
            </w:r>
            <w:r w:rsidRPr="007E0597">
              <w:rPr>
                <w:color w:val="444448" w:themeColor="accent4"/>
              </w:rPr>
              <w:t xml:space="preserve"> airborne discharges, movement and acquisition of sources, items significant for safety</w:t>
            </w:r>
            <w:r w:rsidR="00962C3D" w:rsidRPr="007E0597">
              <w:rPr>
                <w:color w:val="444448" w:themeColor="accent4"/>
              </w:rPr>
              <w:t xml:space="preserve"> and</w:t>
            </w:r>
            <w:r w:rsidRPr="007E0597">
              <w:rPr>
                <w:color w:val="444448" w:themeColor="accent4"/>
              </w:rPr>
              <w:t xml:space="preserve"> accidents or incidents</w:t>
            </w:r>
            <w:r w:rsidR="002B566B" w:rsidRPr="007E0597">
              <w:rPr>
                <w:rStyle w:val="CommentReference"/>
                <w:color w:val="444448" w:themeColor="accent4"/>
              </w:rPr>
              <w:t>.</w:t>
            </w:r>
            <w:r w:rsidRPr="007E0597">
              <w:rPr>
                <w:color w:val="444448" w:themeColor="accent4"/>
              </w:rPr>
              <w:t xml:space="preserve"> An important item considers the review and update of the facility’s Plans and </w:t>
            </w:r>
            <w:r w:rsidRPr="007E0597">
              <w:rPr>
                <w:color w:val="444448" w:themeColor="accent4"/>
              </w:rPr>
              <w:lastRenderedPageBreak/>
              <w:t xml:space="preserve">Arrangements for managing safety, in line with requirements of </w:t>
            </w:r>
            <w:r w:rsidR="00604DC2" w:rsidRPr="007E0597">
              <w:rPr>
                <w:color w:val="444448" w:themeColor="accent4"/>
              </w:rPr>
              <w:t>R</w:t>
            </w:r>
            <w:r w:rsidR="005D3EF9" w:rsidRPr="007E0597">
              <w:rPr>
                <w:color w:val="444448" w:themeColor="accent4"/>
              </w:rPr>
              <w:t>egulation 50</w:t>
            </w:r>
            <w:r w:rsidR="00604DC2" w:rsidRPr="007E0597">
              <w:rPr>
                <w:color w:val="444448" w:themeColor="accent4"/>
              </w:rPr>
              <w:t xml:space="preserve"> of the</w:t>
            </w:r>
            <w:r w:rsidR="001E0AD5" w:rsidRPr="007E0597">
              <w:rPr>
                <w:color w:val="444448" w:themeColor="accent4"/>
              </w:rPr>
              <w:t xml:space="preserve"> </w:t>
            </w:r>
            <w:r w:rsidR="00604DC2" w:rsidRPr="007E0597">
              <w:rPr>
                <w:color w:val="444448" w:themeColor="accent4"/>
              </w:rPr>
              <w:t>Regulations</w:t>
            </w:r>
            <w:r w:rsidR="001E0AD5" w:rsidRPr="007E0597">
              <w:rPr>
                <w:color w:val="444448" w:themeColor="accent4"/>
              </w:rPr>
              <w:t xml:space="preserve"> 1999</w:t>
            </w:r>
            <w:r w:rsidR="00B53D29" w:rsidRPr="007E0597">
              <w:rPr>
                <w:color w:val="444448" w:themeColor="accent4"/>
              </w:rPr>
              <w:t xml:space="preserve"> </w:t>
            </w:r>
            <w:r w:rsidR="005D3EF9" w:rsidRPr="007E0597">
              <w:rPr>
                <w:color w:val="444448" w:themeColor="accent4"/>
              </w:rPr>
              <w:t xml:space="preserve">(now </w:t>
            </w:r>
            <w:r w:rsidR="00451B92" w:rsidRPr="007E0597">
              <w:rPr>
                <w:color w:val="444448" w:themeColor="accent4"/>
              </w:rPr>
              <w:t xml:space="preserve">section 61 of </w:t>
            </w:r>
            <w:r w:rsidR="00604DC2" w:rsidRPr="007E0597">
              <w:rPr>
                <w:color w:val="444448" w:themeColor="accent4"/>
              </w:rPr>
              <w:t>the Regulations 2018</w:t>
            </w:r>
            <w:r w:rsidR="007D5C70" w:rsidRPr="007E0597">
              <w:rPr>
                <w:color w:val="444448" w:themeColor="accent4"/>
              </w:rPr>
              <w:t>)</w:t>
            </w:r>
            <w:r w:rsidR="00451B92" w:rsidRPr="007E0597">
              <w:rPr>
                <w:i/>
                <w:color w:val="444448" w:themeColor="accent4"/>
              </w:rPr>
              <w:t>.</w:t>
            </w:r>
            <w:r w:rsidR="00451B92" w:rsidRPr="007E0597">
              <w:rPr>
                <w:color w:val="444448" w:themeColor="accent4"/>
              </w:rPr>
              <w:t xml:space="preserve"> </w:t>
            </w:r>
          </w:p>
          <w:p w14:paraId="6F859A2F" w14:textId="6AF9D5E3" w:rsidR="00451B92" w:rsidRPr="007E0597" w:rsidRDefault="00451B92" w:rsidP="00857F75">
            <w:pPr>
              <w:rPr>
                <w:color w:val="444448" w:themeColor="accent4"/>
              </w:rPr>
            </w:pPr>
            <w:r w:rsidRPr="007E0597">
              <w:rPr>
                <w:color w:val="444448" w:themeColor="accent4"/>
              </w:rPr>
              <w:t xml:space="preserve">There was evidence that these Plans and Arrangements were in the process of </w:t>
            </w:r>
            <w:proofErr w:type="gramStart"/>
            <w:r w:rsidRPr="007E0597">
              <w:rPr>
                <w:color w:val="444448" w:themeColor="accent4"/>
              </w:rPr>
              <w:t>being reviewed</w:t>
            </w:r>
            <w:proofErr w:type="gramEnd"/>
            <w:r w:rsidRPr="007E0597">
              <w:rPr>
                <w:color w:val="444448" w:themeColor="accent4"/>
              </w:rPr>
              <w:t>, however o</w:t>
            </w:r>
            <w:r w:rsidR="007E0597">
              <w:rPr>
                <w:color w:val="444448" w:themeColor="accent4"/>
              </w:rPr>
              <w:t>nly minor changes had occurred.</w:t>
            </w:r>
            <w:r w:rsidR="00AC3127" w:rsidRPr="007E0597">
              <w:rPr>
                <w:color w:val="444448" w:themeColor="accent4"/>
              </w:rPr>
              <w:t xml:space="preserve"> There was no evidence that an in-depth review such as the identification of u</w:t>
            </w:r>
            <w:r w:rsidR="00324B89" w:rsidRPr="007E0597">
              <w:rPr>
                <w:color w:val="444448" w:themeColor="accent4"/>
              </w:rPr>
              <w:t>pdates to codes and standards,</w:t>
            </w:r>
            <w:r w:rsidR="00AC3127" w:rsidRPr="007E0597">
              <w:rPr>
                <w:color w:val="444448" w:themeColor="accent4"/>
              </w:rPr>
              <w:t xml:space="preserve"> consideration of the consequence of changes to these codes and standards to Camperdown operations</w:t>
            </w:r>
            <w:r w:rsidR="00324B89" w:rsidRPr="007E0597">
              <w:rPr>
                <w:color w:val="444448" w:themeColor="accent4"/>
              </w:rPr>
              <w:t xml:space="preserve"> or analysis against ARPANSA’s guidance</w:t>
            </w:r>
            <w:r w:rsidR="00AC3127" w:rsidRPr="007E0597">
              <w:rPr>
                <w:color w:val="444448" w:themeColor="accent4"/>
              </w:rPr>
              <w:t xml:space="preserve">. Regardless of the scope or depth of the review, </w:t>
            </w:r>
            <w:r w:rsidR="00621C0F" w:rsidRPr="007E0597">
              <w:rPr>
                <w:color w:val="444448" w:themeColor="accent4"/>
              </w:rPr>
              <w:t xml:space="preserve">all of </w:t>
            </w:r>
            <w:r w:rsidR="00AC3127" w:rsidRPr="007E0597">
              <w:rPr>
                <w:color w:val="444448" w:themeColor="accent4"/>
              </w:rPr>
              <w:t>these documents have fallen outside of the period</w:t>
            </w:r>
            <w:r w:rsidR="00621C0F" w:rsidRPr="007E0597">
              <w:rPr>
                <w:color w:val="444448" w:themeColor="accent4"/>
              </w:rPr>
              <w:t xml:space="preserve"> required for regulation 50</w:t>
            </w:r>
            <w:r w:rsidR="001E0AD5" w:rsidRPr="007E0597">
              <w:rPr>
                <w:color w:val="444448" w:themeColor="accent4"/>
              </w:rPr>
              <w:t xml:space="preserve"> of the Regulations 1999</w:t>
            </w:r>
            <w:r w:rsidR="00604DC2" w:rsidRPr="007E0597">
              <w:rPr>
                <w:color w:val="444448" w:themeColor="accent4"/>
              </w:rPr>
              <w:t xml:space="preserve"> </w:t>
            </w:r>
            <w:r w:rsidR="00A9543E" w:rsidRPr="007E0597">
              <w:rPr>
                <w:color w:val="444448" w:themeColor="accent4"/>
              </w:rPr>
              <w:t>(now section 61 of the Regulations</w:t>
            </w:r>
            <w:r w:rsidR="00D51959" w:rsidRPr="007E0597">
              <w:rPr>
                <w:color w:val="444448" w:themeColor="accent4"/>
              </w:rPr>
              <w:t xml:space="preserve"> 2018</w:t>
            </w:r>
            <w:r w:rsidR="00A9543E" w:rsidRPr="007E0597">
              <w:rPr>
                <w:color w:val="444448" w:themeColor="accent4"/>
              </w:rPr>
              <w:t>)</w:t>
            </w:r>
            <w:r w:rsidR="00196839" w:rsidRPr="007E0597">
              <w:rPr>
                <w:color w:val="444448" w:themeColor="accent4"/>
              </w:rPr>
              <w:t xml:space="preserve"> </w:t>
            </w:r>
            <w:r w:rsidR="00F65CAB" w:rsidRPr="007E0597">
              <w:rPr>
                <w:color w:val="444448" w:themeColor="accent4"/>
              </w:rPr>
              <w:t>resulting in a</w:t>
            </w:r>
            <w:r w:rsidR="00196839" w:rsidRPr="007E0597">
              <w:rPr>
                <w:color w:val="444448" w:themeColor="accent4"/>
              </w:rPr>
              <w:t xml:space="preserve"> </w:t>
            </w:r>
            <w:r w:rsidR="002F19D3" w:rsidRPr="007E0597">
              <w:rPr>
                <w:color w:val="444448" w:themeColor="accent4"/>
              </w:rPr>
              <w:t>potential non-compliance</w:t>
            </w:r>
            <w:r w:rsidR="00196839" w:rsidRPr="007E0597">
              <w:rPr>
                <w:color w:val="444448" w:themeColor="accent4"/>
              </w:rPr>
              <w:t>.</w:t>
            </w:r>
          </w:p>
          <w:p w14:paraId="7378F688" w14:textId="2534DE84" w:rsidR="00621C0F" w:rsidRPr="007E0597" w:rsidRDefault="00621C0F" w:rsidP="00857F75">
            <w:pPr>
              <w:rPr>
                <w:color w:val="444448" w:themeColor="accent4"/>
              </w:rPr>
            </w:pPr>
            <w:r w:rsidRPr="007E0597">
              <w:rPr>
                <w:color w:val="444448" w:themeColor="accent4"/>
              </w:rPr>
              <w:t xml:space="preserve">The culture of </w:t>
            </w:r>
            <w:r w:rsidR="004A3A03" w:rsidRPr="007E0597">
              <w:rPr>
                <w:color w:val="444448" w:themeColor="accent4"/>
              </w:rPr>
              <w:t xml:space="preserve">internal </w:t>
            </w:r>
            <w:r w:rsidRPr="007E0597">
              <w:rPr>
                <w:color w:val="444448" w:themeColor="accent4"/>
              </w:rPr>
              <w:t xml:space="preserve">reporting at Camperdown has improved as a result of previous inspection findings and recent events at ANSTO. </w:t>
            </w:r>
            <w:r w:rsidR="00FA3F64" w:rsidRPr="007E0597">
              <w:rPr>
                <w:color w:val="444448" w:themeColor="accent4"/>
              </w:rPr>
              <w:t xml:space="preserve">The nominee </w:t>
            </w:r>
            <w:r w:rsidR="000058D3" w:rsidRPr="007E0597">
              <w:rPr>
                <w:color w:val="444448" w:themeColor="accent4"/>
              </w:rPr>
              <w:t>reviews</w:t>
            </w:r>
            <w:r w:rsidR="00FA3F64" w:rsidRPr="007E0597">
              <w:rPr>
                <w:color w:val="444448" w:themeColor="accent4"/>
              </w:rPr>
              <w:t xml:space="preserve"> all event reports, a customised report is generated for the facility for the purposes of trending and lower level incidents are being reported in greater numbers indicating that near-misses are being captured. </w:t>
            </w:r>
            <w:r w:rsidR="00A63120" w:rsidRPr="007E0597">
              <w:rPr>
                <w:color w:val="444448" w:themeColor="accent4"/>
              </w:rPr>
              <w:t>In terms of investigating events at Camperdown, the triaging</w:t>
            </w:r>
            <w:r w:rsidRPr="007E0597">
              <w:rPr>
                <w:color w:val="444448" w:themeColor="accent4"/>
              </w:rPr>
              <w:t xml:space="preserve"> of events has been removed from the responsibility of the facility officer </w:t>
            </w:r>
            <w:r w:rsidR="00A63120" w:rsidRPr="007E0597">
              <w:rPr>
                <w:color w:val="444448" w:themeColor="accent4"/>
              </w:rPr>
              <w:t>in order to remove conflict of interest and add independence.</w:t>
            </w:r>
            <w:r w:rsidR="00342407" w:rsidRPr="007E0597">
              <w:rPr>
                <w:color w:val="444448" w:themeColor="accent4"/>
              </w:rPr>
              <w:t xml:space="preserve"> </w:t>
            </w:r>
          </w:p>
          <w:p w14:paraId="0296AA2F" w14:textId="32C9B02E" w:rsidR="00342407" w:rsidRPr="007E0597" w:rsidRDefault="00342407" w:rsidP="00857F75">
            <w:pPr>
              <w:rPr>
                <w:color w:val="444448" w:themeColor="accent4"/>
              </w:rPr>
            </w:pPr>
            <w:r w:rsidRPr="007E0597">
              <w:rPr>
                <w:color w:val="444448" w:themeColor="accent4"/>
              </w:rPr>
              <w:t>Inspectors noted there was generally good communication of certain safety incidents that have occurred at Lucas Heights to Camperdown.</w:t>
            </w:r>
          </w:p>
          <w:p w14:paraId="690B7A67" w14:textId="6773631E" w:rsidR="00621C0F" w:rsidRDefault="007E0597" w:rsidP="00621C0F">
            <w:pPr>
              <w:pStyle w:val="Heading2"/>
              <w:outlineLvl w:val="1"/>
            </w:pPr>
            <w:r>
              <w:t>Configuration m</w:t>
            </w:r>
            <w:r w:rsidR="00621C0F">
              <w:t>anagement</w:t>
            </w:r>
          </w:p>
          <w:p w14:paraId="7863BD80" w14:textId="73F39F2C" w:rsidR="00B02FAE" w:rsidRPr="007E0597" w:rsidRDefault="00621C0F" w:rsidP="00621C0F">
            <w:pPr>
              <w:rPr>
                <w:color w:val="444448" w:themeColor="accent4"/>
              </w:rPr>
            </w:pPr>
            <w:r w:rsidRPr="007E0597">
              <w:rPr>
                <w:color w:val="444448" w:themeColor="accent4"/>
              </w:rPr>
              <w:t>The afor</w:t>
            </w:r>
            <w:r w:rsidR="007E3D43" w:rsidRPr="007E0597">
              <w:rPr>
                <w:color w:val="444448" w:themeColor="accent4"/>
              </w:rPr>
              <w:t xml:space="preserve">ementioned Plans and Arrangements, having only had a minor review conducted, contain a range of out-of-date information which diminishes their usefulness. Examples include reference to obsolete organisational names and structures, safety codes, standards and guidelines. </w:t>
            </w:r>
            <w:r w:rsidR="0006644C" w:rsidRPr="007E0597">
              <w:rPr>
                <w:color w:val="444448" w:themeColor="accent4"/>
              </w:rPr>
              <w:t>In one instance (the emergency plan) reference is made to version five of the Safety Analysis Report</w:t>
            </w:r>
            <w:r w:rsidR="00B225A3" w:rsidRPr="007E0597">
              <w:rPr>
                <w:color w:val="444448" w:themeColor="accent4"/>
              </w:rPr>
              <w:t xml:space="preserve"> (SAR)</w:t>
            </w:r>
            <w:r w:rsidR="0006644C" w:rsidRPr="007E0597">
              <w:rPr>
                <w:color w:val="444448" w:themeColor="accent4"/>
              </w:rPr>
              <w:t xml:space="preserve">. This revision of the SAR had never been implemented or ratified and thus the previous iteration (version four) is still in place. </w:t>
            </w:r>
          </w:p>
          <w:p w14:paraId="2569C08D" w14:textId="77777777" w:rsidR="00B02FAE" w:rsidRPr="007E0597" w:rsidRDefault="00B02FAE" w:rsidP="00621C0F">
            <w:pPr>
              <w:rPr>
                <w:color w:val="444448" w:themeColor="accent4"/>
              </w:rPr>
            </w:pPr>
            <w:r w:rsidRPr="007E0597">
              <w:rPr>
                <w:color w:val="444448" w:themeColor="accent4"/>
              </w:rPr>
              <w:t xml:space="preserve">Another plan (waste management) </w:t>
            </w:r>
            <w:r w:rsidR="004B2371" w:rsidRPr="007E0597">
              <w:rPr>
                <w:color w:val="444448" w:themeColor="accent4"/>
              </w:rPr>
              <w:t>dated November 2014 highlights that package</w:t>
            </w:r>
            <w:r w:rsidR="00F93961" w:rsidRPr="007E0597">
              <w:rPr>
                <w:color w:val="444448" w:themeColor="accent4"/>
              </w:rPr>
              <w:t>d</w:t>
            </w:r>
            <w:r w:rsidR="004B2371" w:rsidRPr="007E0597">
              <w:rPr>
                <w:color w:val="444448" w:themeColor="accent4"/>
              </w:rPr>
              <w:t xml:space="preserve"> radioactive waste will be characterised and transported to Lucas Heights where it will enter the waste stream</w:t>
            </w:r>
            <w:r w:rsidR="00F93961" w:rsidRPr="007E0597">
              <w:rPr>
                <w:color w:val="444448" w:themeColor="accent4"/>
              </w:rPr>
              <w:t>, yet the facility does not have the capability to perform this function. ARPANSA reiterates the finding from a 2015 inspection that current plans did not properly represent actual practices and arrangements at the Camperdown facility and that these need to be subject to further review and update.</w:t>
            </w:r>
          </w:p>
          <w:p w14:paraId="650CAE2C" w14:textId="46C46801" w:rsidR="00B02FAE" w:rsidRPr="007E0597" w:rsidRDefault="00B02FAE" w:rsidP="00621C0F">
            <w:pPr>
              <w:rPr>
                <w:color w:val="444448" w:themeColor="accent4"/>
              </w:rPr>
            </w:pPr>
            <w:r w:rsidRPr="007E0597">
              <w:rPr>
                <w:color w:val="444448" w:themeColor="accent4"/>
              </w:rPr>
              <w:t xml:space="preserve">ANSTO have contracted MSS Security for their services in relation to managing the security and emergency response at the Camperdown </w:t>
            </w:r>
            <w:r w:rsidR="000836F7" w:rsidRPr="007E0597">
              <w:rPr>
                <w:color w:val="444448" w:themeColor="accent4"/>
              </w:rPr>
              <w:t>f</w:t>
            </w:r>
            <w:r w:rsidRPr="007E0597">
              <w:rPr>
                <w:color w:val="444448" w:themeColor="accent4"/>
              </w:rPr>
              <w:t>acility. MSS had drafted their own security plan for the facility in January 2017. This plan has been put in place as of September 2018 but has not yet been approved by ANSTO Security or reviewed as required by ANSTO internal procedures.</w:t>
            </w:r>
            <w:r w:rsidR="005206C8" w:rsidRPr="007E0597">
              <w:rPr>
                <w:color w:val="444448" w:themeColor="accent4"/>
              </w:rPr>
              <w:t xml:space="preserve"> This security plan has not been seen by Camperdown staff.</w:t>
            </w:r>
          </w:p>
          <w:p w14:paraId="3282BCBB" w14:textId="3F0843D9" w:rsidR="00DB0AF9" w:rsidRPr="007E0597" w:rsidRDefault="00DB0AF9" w:rsidP="00621C0F">
            <w:pPr>
              <w:rPr>
                <w:color w:val="444448" w:themeColor="accent4"/>
              </w:rPr>
            </w:pPr>
            <w:r w:rsidRPr="007E0597">
              <w:rPr>
                <w:color w:val="444448" w:themeColor="accent4"/>
              </w:rPr>
              <w:lastRenderedPageBreak/>
              <w:t>As previously mentioned, the current SAR in place is version four. This is a report that has been in place since the facility</w:t>
            </w:r>
            <w:r w:rsidR="00B86A0B" w:rsidRPr="007E0597">
              <w:rPr>
                <w:color w:val="444448" w:themeColor="accent4"/>
              </w:rPr>
              <w:t xml:space="preserve"> was commissioned in 2012. While approvals have been given to ANSTO for various operations to t</w:t>
            </w:r>
            <w:r w:rsidR="0065318B" w:rsidRPr="007E0597">
              <w:rPr>
                <w:color w:val="444448" w:themeColor="accent4"/>
              </w:rPr>
              <w:t>ake place, this document does not</w:t>
            </w:r>
            <w:r w:rsidR="00B86A0B" w:rsidRPr="007E0597">
              <w:rPr>
                <w:color w:val="444448" w:themeColor="accent4"/>
              </w:rPr>
              <w:t xml:space="preserve"> completely reflect the current facility. Version five has since been skipped and development of version </w:t>
            </w:r>
            <w:r w:rsidR="00AA08E9" w:rsidRPr="007E0597">
              <w:rPr>
                <w:color w:val="444448" w:themeColor="accent4"/>
              </w:rPr>
              <w:t>six</w:t>
            </w:r>
            <w:r w:rsidR="0065318B" w:rsidRPr="007E0597">
              <w:rPr>
                <w:color w:val="444448" w:themeColor="accent4"/>
              </w:rPr>
              <w:t xml:space="preserve"> has been in process</w:t>
            </w:r>
            <w:r w:rsidR="00B86A0B" w:rsidRPr="007E0597">
              <w:rPr>
                <w:color w:val="444448" w:themeColor="accent4"/>
              </w:rPr>
              <w:t xml:space="preserve"> for the past </w:t>
            </w:r>
            <w:r w:rsidR="00AA08E9" w:rsidRPr="007E0597">
              <w:rPr>
                <w:color w:val="444448" w:themeColor="accent4"/>
              </w:rPr>
              <w:t>two</w:t>
            </w:r>
            <w:r w:rsidR="00B86A0B" w:rsidRPr="007E0597">
              <w:rPr>
                <w:color w:val="444448" w:themeColor="accent4"/>
              </w:rPr>
              <w:t xml:space="preserve"> years. ANSTO have advised that</w:t>
            </w:r>
            <w:r w:rsidR="00C41848" w:rsidRPr="007E0597">
              <w:rPr>
                <w:color w:val="444448" w:themeColor="accent4"/>
              </w:rPr>
              <w:t xml:space="preserve"> amendments with significance to safety</w:t>
            </w:r>
            <w:r w:rsidR="00071009" w:rsidRPr="007E0597">
              <w:rPr>
                <w:color w:val="444448" w:themeColor="accent4"/>
              </w:rPr>
              <w:t xml:space="preserve"> would be submitted to ARPANSA for approval.</w:t>
            </w:r>
          </w:p>
          <w:p w14:paraId="7A3F8FCE" w14:textId="1884046D" w:rsidR="00196839" w:rsidRPr="007E0597" w:rsidRDefault="00196839" w:rsidP="00621C0F">
            <w:pPr>
              <w:rPr>
                <w:color w:val="444448" w:themeColor="accent4"/>
              </w:rPr>
            </w:pPr>
            <w:r w:rsidRPr="007E0597">
              <w:rPr>
                <w:color w:val="444448" w:themeColor="accent4"/>
              </w:rPr>
              <w:t>A general risk review for many ANSTO activities is ongoing. ANSTO’s Systems Safety and Reliability (SSR) team are currently working with Camperdown staff to review evidence supporting the worker risks and mitigatio</w:t>
            </w:r>
            <w:r w:rsidR="0065318B" w:rsidRPr="007E0597">
              <w:rPr>
                <w:color w:val="444448" w:themeColor="accent4"/>
              </w:rPr>
              <w:t>n methods associated with licens</w:t>
            </w:r>
            <w:r w:rsidRPr="007E0597">
              <w:rPr>
                <w:color w:val="444448" w:themeColor="accent4"/>
              </w:rPr>
              <w:t>ed activities. This has contributed to a lengthy review process and halted the approval and implementation of the revised SAR.</w:t>
            </w:r>
          </w:p>
          <w:p w14:paraId="787B8009" w14:textId="7E35E5EF" w:rsidR="00341ED9" w:rsidRPr="007E0597" w:rsidRDefault="00341ED9" w:rsidP="00621C0F">
            <w:pPr>
              <w:rPr>
                <w:color w:val="444448" w:themeColor="accent4"/>
              </w:rPr>
            </w:pPr>
            <w:r w:rsidRPr="007E0597">
              <w:rPr>
                <w:color w:val="444448" w:themeColor="accent4"/>
              </w:rPr>
              <w:t xml:space="preserve">There are other aspects of the out-of-date SAR whose implications on the safety case have not been stated to ARPANSA. These include the future refinement of the operating limits and conditions as parameters of surveillance requirements are </w:t>
            </w:r>
            <w:r w:rsidR="0055200E" w:rsidRPr="007E0597">
              <w:rPr>
                <w:color w:val="444448" w:themeColor="accent4"/>
              </w:rPr>
              <w:t xml:space="preserve">currently </w:t>
            </w:r>
            <w:r w:rsidRPr="007E0597">
              <w:rPr>
                <w:color w:val="444448" w:themeColor="accent4"/>
              </w:rPr>
              <w:t>not fully defined, as well as the maintenance requirements and scheduling of the cyclotron, hot cells and other</w:t>
            </w:r>
            <w:r w:rsidR="00964361" w:rsidRPr="007E0597">
              <w:rPr>
                <w:color w:val="444448" w:themeColor="accent4"/>
              </w:rPr>
              <w:t xml:space="preserve"> equipment not being entered into the ANSTO SAP maintenance system. Only building services are managed via SAP. The Camperdown facility wishes to eventually have these requirements in SAP but is currently managed manually through a paper based system relying on individuals to organise maintenance activities. While the management of maintenance activities is not in-line with the SAR, there was no evidence that critical maintenance activities had not been performed.</w:t>
            </w:r>
          </w:p>
          <w:p w14:paraId="34EBC34B" w14:textId="1FB82AB2" w:rsidR="001D0CBB" w:rsidRPr="007E0597" w:rsidRDefault="001D0CBB" w:rsidP="00621C0F">
            <w:pPr>
              <w:rPr>
                <w:color w:val="444448" w:themeColor="accent4"/>
              </w:rPr>
            </w:pPr>
            <w:r w:rsidRPr="007E0597">
              <w:rPr>
                <w:color w:val="444448" w:themeColor="accent4"/>
              </w:rPr>
              <w:t>The Camperdown</w:t>
            </w:r>
            <w:r w:rsidR="00935BC1" w:rsidRPr="007E0597">
              <w:rPr>
                <w:color w:val="444448" w:themeColor="accent4"/>
              </w:rPr>
              <w:t xml:space="preserve"> facility has its own </w:t>
            </w:r>
            <w:r w:rsidR="0055200E" w:rsidRPr="007E0597">
              <w:rPr>
                <w:color w:val="444448" w:themeColor="accent4"/>
              </w:rPr>
              <w:t xml:space="preserve">change control </w:t>
            </w:r>
            <w:r w:rsidR="00935BC1" w:rsidRPr="007E0597">
              <w:rPr>
                <w:color w:val="444448" w:themeColor="accent4"/>
              </w:rPr>
              <w:t>procedure (P-4084)</w:t>
            </w:r>
            <w:r w:rsidRPr="007E0597">
              <w:rPr>
                <w:color w:val="444448" w:themeColor="accent4"/>
              </w:rPr>
              <w:t>. The procedure</w:t>
            </w:r>
            <w:r w:rsidR="00935BC1" w:rsidRPr="007E0597">
              <w:rPr>
                <w:color w:val="444448" w:themeColor="accent4"/>
              </w:rPr>
              <w:t xml:space="preserve"> states that all changes which may alter the current state of</w:t>
            </w:r>
            <w:r w:rsidR="000836F7" w:rsidRPr="007E0597">
              <w:rPr>
                <w:color w:val="444448" w:themeColor="accent4"/>
              </w:rPr>
              <w:t>,</w:t>
            </w:r>
            <w:r w:rsidR="00935BC1" w:rsidRPr="007E0597">
              <w:rPr>
                <w:color w:val="444448" w:themeColor="accent4"/>
              </w:rPr>
              <w:t xml:space="preserve"> for example, a piece of equipment, an item of plant or a process (including procedures and instructions)</w:t>
            </w:r>
            <w:r w:rsidR="000836F7" w:rsidRPr="007E0597">
              <w:rPr>
                <w:color w:val="444448" w:themeColor="accent4"/>
              </w:rPr>
              <w:t>,</w:t>
            </w:r>
            <w:r w:rsidR="00935BC1" w:rsidRPr="007E0597">
              <w:rPr>
                <w:color w:val="444448" w:themeColor="accent4"/>
              </w:rPr>
              <w:t xml:space="preserve"> must follow the procedure and be recorded in the change register (F-4100). While this had been demonstrated for a modification to equipment, there was no documented change control process governing amendment and revision of management system documents, including Plans and Arrangements and the SAR. Other than tracked changes in draft revisions, there was no tracking of changes or information on the assessment of safety risk associated with those changes.</w:t>
            </w:r>
          </w:p>
          <w:p w14:paraId="53AFEEFC" w14:textId="523F805D" w:rsidR="00A36649" w:rsidRPr="007E0597" w:rsidRDefault="00A36649" w:rsidP="00621C0F">
            <w:pPr>
              <w:rPr>
                <w:color w:val="444448" w:themeColor="accent4"/>
              </w:rPr>
            </w:pPr>
            <w:r w:rsidRPr="007E0597">
              <w:rPr>
                <w:color w:val="444448" w:themeColor="accent4"/>
              </w:rPr>
              <w:t xml:space="preserve">During the physical inspection, a fume cupboard </w:t>
            </w:r>
            <w:proofErr w:type="gramStart"/>
            <w:r w:rsidRPr="007E0597">
              <w:rPr>
                <w:color w:val="444448" w:themeColor="accent4"/>
              </w:rPr>
              <w:t>was found to have been fitted</w:t>
            </w:r>
            <w:proofErr w:type="gramEnd"/>
            <w:r w:rsidRPr="007E0597">
              <w:rPr>
                <w:color w:val="444448" w:themeColor="accent4"/>
              </w:rPr>
              <w:t xml:space="preserve"> with equipment to reproduce the same process for </w:t>
            </w:r>
            <w:r w:rsidRPr="007E0597">
              <w:rPr>
                <w:color w:val="444448" w:themeColor="accent4"/>
                <w:vertAlign w:val="superscript"/>
              </w:rPr>
              <w:t>18</w:t>
            </w:r>
            <w:r w:rsidRPr="007E0597">
              <w:rPr>
                <w:color w:val="444448" w:themeColor="accent4"/>
              </w:rPr>
              <w:t>F as is currently performed in the hot</w:t>
            </w:r>
            <w:r w:rsidR="007E0597">
              <w:rPr>
                <w:color w:val="444448" w:themeColor="accent4"/>
              </w:rPr>
              <w:t xml:space="preserve"> </w:t>
            </w:r>
            <w:r w:rsidRPr="007E0597">
              <w:rPr>
                <w:color w:val="444448" w:themeColor="accent4"/>
              </w:rPr>
              <w:t>cells but on a smaller scale. This equipment would be used by staff and PhD students with less experience. This equipment is not currently in operation but was</w:t>
            </w:r>
            <w:r w:rsidR="002F19D3" w:rsidRPr="007E0597">
              <w:rPr>
                <w:color w:val="444448" w:themeColor="accent4"/>
              </w:rPr>
              <w:t xml:space="preserve"> operated a number of times to obtain </w:t>
            </w:r>
            <w:r w:rsidR="00211753" w:rsidRPr="007E0597">
              <w:rPr>
                <w:color w:val="444448" w:themeColor="accent4"/>
              </w:rPr>
              <w:t xml:space="preserve">dose </w:t>
            </w:r>
            <w:r w:rsidR="00196839" w:rsidRPr="007E0597">
              <w:rPr>
                <w:color w:val="444448" w:themeColor="accent4"/>
              </w:rPr>
              <w:t>rate</w:t>
            </w:r>
            <w:r w:rsidR="002F19D3" w:rsidRPr="007E0597">
              <w:rPr>
                <w:color w:val="444448" w:themeColor="accent4"/>
              </w:rPr>
              <w:t xml:space="preserve"> and performance data</w:t>
            </w:r>
            <w:r w:rsidRPr="007E0597">
              <w:rPr>
                <w:color w:val="444448" w:themeColor="accent4"/>
              </w:rPr>
              <w:t xml:space="preserve">. </w:t>
            </w:r>
            <w:r w:rsidR="00A9543E" w:rsidRPr="007E0597">
              <w:rPr>
                <w:color w:val="444448" w:themeColor="accent4"/>
              </w:rPr>
              <w:t xml:space="preserve">A Safe Work Method and Environment Statement (SWMES) was developed </w:t>
            </w:r>
            <w:r w:rsidR="002F19D3" w:rsidRPr="007E0597">
              <w:rPr>
                <w:color w:val="444448" w:themeColor="accent4"/>
              </w:rPr>
              <w:t xml:space="preserve">in consultation with Radiation Protection Services </w:t>
            </w:r>
            <w:r w:rsidR="00A9543E" w:rsidRPr="007E0597">
              <w:rPr>
                <w:color w:val="444448" w:themeColor="accent4"/>
              </w:rPr>
              <w:t xml:space="preserve">for the work in December 2015 and a proposal for the work was created in November 2016. In order to have enough data, the equipment was essentially hot commissioned by scaling up the amount of activity used to upwards of 5 </w:t>
            </w:r>
            <w:proofErr w:type="spellStart"/>
            <w:r w:rsidR="00A9543E" w:rsidRPr="007E0597">
              <w:rPr>
                <w:color w:val="444448" w:themeColor="accent4"/>
              </w:rPr>
              <w:t>GBq</w:t>
            </w:r>
            <w:proofErr w:type="spellEnd"/>
            <w:r w:rsidR="00A9543E" w:rsidRPr="007E0597">
              <w:rPr>
                <w:color w:val="444448" w:themeColor="accent4"/>
              </w:rPr>
              <w:t xml:space="preserve">. The SWMES details a moderate risk is generated due to the &lt;860 </w:t>
            </w:r>
            <w:proofErr w:type="spellStart"/>
            <w:r w:rsidR="00A9543E" w:rsidRPr="007E0597">
              <w:rPr>
                <w:color w:val="444448" w:themeColor="accent4"/>
              </w:rPr>
              <w:t>mSv</w:t>
            </w:r>
            <w:proofErr w:type="spellEnd"/>
            <w:r w:rsidR="00A9543E" w:rsidRPr="007E0597">
              <w:rPr>
                <w:color w:val="444448" w:themeColor="accent4"/>
              </w:rPr>
              <w:t xml:space="preserve"> extremity dose potentially received by the operator as the result of a contamination incident from </w:t>
            </w:r>
            <w:r w:rsidR="00AA08E9" w:rsidRPr="007E0597">
              <w:rPr>
                <w:color w:val="444448" w:themeColor="accent4"/>
              </w:rPr>
              <w:t>a</w:t>
            </w:r>
            <w:r w:rsidR="00A9543E" w:rsidRPr="007E0597">
              <w:rPr>
                <w:color w:val="444448" w:themeColor="accent4"/>
              </w:rPr>
              <w:t xml:space="preserve">n activity 50 </w:t>
            </w:r>
            <w:proofErr w:type="spellStart"/>
            <w:r w:rsidR="00A9543E" w:rsidRPr="007E0597">
              <w:rPr>
                <w:color w:val="444448" w:themeColor="accent4"/>
              </w:rPr>
              <w:t>MBq</w:t>
            </w:r>
            <w:proofErr w:type="spellEnd"/>
            <w:r w:rsidR="00A9543E" w:rsidRPr="007E0597">
              <w:rPr>
                <w:color w:val="444448" w:themeColor="accent4"/>
              </w:rPr>
              <w:t xml:space="preserve"> in 300µL. The statutory extremity dose limit, which ARPANSA uses a</w:t>
            </w:r>
            <w:r w:rsidR="00AA08E9" w:rsidRPr="007E0597">
              <w:rPr>
                <w:color w:val="444448" w:themeColor="accent4"/>
              </w:rPr>
              <w:t xml:space="preserve">s </w:t>
            </w:r>
            <w:r w:rsidR="0009025F" w:rsidRPr="007E0597">
              <w:rPr>
                <w:color w:val="444448" w:themeColor="accent4"/>
              </w:rPr>
              <w:t>a</w:t>
            </w:r>
            <w:r w:rsidR="00A9543E" w:rsidRPr="007E0597">
              <w:rPr>
                <w:color w:val="444448" w:themeColor="accent4"/>
              </w:rPr>
              <w:t xml:space="preserve"> threshold for triggering regulation 51</w:t>
            </w:r>
            <w:r w:rsidR="005D5B90" w:rsidRPr="007E0597">
              <w:rPr>
                <w:color w:val="444448" w:themeColor="accent4"/>
              </w:rPr>
              <w:t xml:space="preserve"> of the Regulations </w:t>
            </w:r>
            <w:r w:rsidR="001E0AD5" w:rsidRPr="007E0597">
              <w:rPr>
                <w:color w:val="444448" w:themeColor="accent4"/>
              </w:rPr>
              <w:t>1999</w:t>
            </w:r>
            <w:r w:rsidR="00A9543E" w:rsidRPr="007E0597">
              <w:rPr>
                <w:color w:val="444448" w:themeColor="accent4"/>
              </w:rPr>
              <w:t xml:space="preserve"> (now section 63 of </w:t>
            </w:r>
            <w:r w:rsidR="00AA08E9" w:rsidRPr="007E0597">
              <w:rPr>
                <w:color w:val="444448" w:themeColor="accent4"/>
              </w:rPr>
              <w:t xml:space="preserve">the </w:t>
            </w:r>
            <w:r w:rsidR="00A9543E" w:rsidRPr="007E0597">
              <w:rPr>
                <w:color w:val="444448" w:themeColor="accent4"/>
              </w:rPr>
              <w:t>Regulations</w:t>
            </w:r>
            <w:r w:rsidR="00604DC2" w:rsidRPr="007E0597">
              <w:rPr>
                <w:color w:val="444448" w:themeColor="accent4"/>
              </w:rPr>
              <w:t xml:space="preserve"> </w:t>
            </w:r>
            <w:r w:rsidR="00D51959" w:rsidRPr="007E0597">
              <w:rPr>
                <w:color w:val="444448" w:themeColor="accent4"/>
              </w:rPr>
              <w:t>2018</w:t>
            </w:r>
            <w:r w:rsidR="00A9543E" w:rsidRPr="007E0597">
              <w:rPr>
                <w:color w:val="444448" w:themeColor="accent4"/>
              </w:rPr>
              <w:t xml:space="preserve">) is 500 </w:t>
            </w:r>
            <w:proofErr w:type="spellStart"/>
            <w:r w:rsidR="00A9543E" w:rsidRPr="007E0597">
              <w:rPr>
                <w:color w:val="444448" w:themeColor="accent4"/>
              </w:rPr>
              <w:t>mSv</w:t>
            </w:r>
            <w:proofErr w:type="spellEnd"/>
            <w:r w:rsidR="00A9543E" w:rsidRPr="007E0597">
              <w:rPr>
                <w:color w:val="444448" w:themeColor="accent4"/>
              </w:rPr>
              <w:t xml:space="preserve"> and therefore this process should have been submitted to ARPANSA for </w:t>
            </w:r>
            <w:r w:rsidR="00A9543E" w:rsidRPr="007E0597">
              <w:rPr>
                <w:color w:val="444448" w:themeColor="accent4"/>
              </w:rPr>
              <w:lastRenderedPageBreak/>
              <w:t xml:space="preserve">prior approval. </w:t>
            </w:r>
            <w:r w:rsidR="00382ACE" w:rsidRPr="007E0597">
              <w:rPr>
                <w:color w:val="444448" w:themeColor="accent4"/>
              </w:rPr>
              <w:t>This process has not gone before the Safety Assurance Committee (SAC) and SS</w:t>
            </w:r>
            <w:r w:rsidR="00043A34" w:rsidRPr="007E0597">
              <w:rPr>
                <w:color w:val="444448" w:themeColor="accent4"/>
              </w:rPr>
              <w:t>R</w:t>
            </w:r>
            <w:r w:rsidR="00211753" w:rsidRPr="007E0597">
              <w:rPr>
                <w:color w:val="444448" w:themeColor="accent4"/>
              </w:rPr>
              <w:t>,</w:t>
            </w:r>
            <w:r w:rsidR="00043A34" w:rsidRPr="007E0597">
              <w:rPr>
                <w:color w:val="444448" w:themeColor="accent4"/>
              </w:rPr>
              <w:t xml:space="preserve"> </w:t>
            </w:r>
            <w:r w:rsidR="00CA07EF" w:rsidRPr="007E0597">
              <w:rPr>
                <w:color w:val="444448" w:themeColor="accent4"/>
              </w:rPr>
              <w:t>however</w:t>
            </w:r>
            <w:r w:rsidR="00043A34" w:rsidRPr="007E0597">
              <w:rPr>
                <w:color w:val="444448" w:themeColor="accent4"/>
              </w:rPr>
              <w:t xml:space="preserve"> ANSTO has indica</w:t>
            </w:r>
            <w:r w:rsidR="00BE5505" w:rsidRPr="007E0597">
              <w:rPr>
                <w:color w:val="444448" w:themeColor="accent4"/>
              </w:rPr>
              <w:t>ted that it will</w:t>
            </w:r>
            <w:r w:rsidR="002F19D3" w:rsidRPr="007E0597">
              <w:rPr>
                <w:color w:val="444448" w:themeColor="accent4"/>
              </w:rPr>
              <w:t xml:space="preserve"> in the future</w:t>
            </w:r>
            <w:r w:rsidR="00BE5505" w:rsidRPr="007E0597">
              <w:rPr>
                <w:color w:val="444448" w:themeColor="accent4"/>
              </w:rPr>
              <w:t>. ANSTO had</w:t>
            </w:r>
            <w:r w:rsidR="00043A34" w:rsidRPr="007E0597">
              <w:rPr>
                <w:color w:val="444448" w:themeColor="accent4"/>
              </w:rPr>
              <w:t xml:space="preserve"> </w:t>
            </w:r>
            <w:r w:rsidR="00CA07EF" w:rsidRPr="007E0597">
              <w:rPr>
                <w:color w:val="444448" w:themeColor="accent4"/>
              </w:rPr>
              <w:t xml:space="preserve">also </w:t>
            </w:r>
            <w:r w:rsidR="00043A34" w:rsidRPr="007E0597">
              <w:rPr>
                <w:color w:val="444448" w:themeColor="accent4"/>
              </w:rPr>
              <w:t xml:space="preserve">not completed a </w:t>
            </w:r>
            <w:r w:rsidR="002F19D3" w:rsidRPr="007E0597">
              <w:rPr>
                <w:color w:val="444448" w:themeColor="accent4"/>
              </w:rPr>
              <w:t xml:space="preserve">safety </w:t>
            </w:r>
            <w:r w:rsidR="00043A34" w:rsidRPr="007E0597">
              <w:rPr>
                <w:color w:val="444448" w:themeColor="accent4"/>
              </w:rPr>
              <w:t xml:space="preserve">categorisation </w:t>
            </w:r>
            <w:r w:rsidR="00CA07EF" w:rsidRPr="007E0597">
              <w:rPr>
                <w:color w:val="444448" w:themeColor="accent4"/>
              </w:rPr>
              <w:t xml:space="preserve">assessment </w:t>
            </w:r>
            <w:r w:rsidR="00043A34" w:rsidRPr="007E0597">
              <w:rPr>
                <w:color w:val="444448" w:themeColor="accent4"/>
              </w:rPr>
              <w:t>from a regulatory standpoint</w:t>
            </w:r>
            <w:r w:rsidR="00BE5505" w:rsidRPr="007E0597">
              <w:rPr>
                <w:color w:val="444448" w:themeColor="accent4"/>
              </w:rPr>
              <w:t xml:space="preserve"> and</w:t>
            </w:r>
            <w:r w:rsidR="00211753" w:rsidRPr="007E0597">
              <w:rPr>
                <w:color w:val="444448" w:themeColor="accent4"/>
              </w:rPr>
              <w:t>,</w:t>
            </w:r>
            <w:r w:rsidR="00BE5505" w:rsidRPr="007E0597">
              <w:rPr>
                <w:color w:val="444448" w:themeColor="accent4"/>
              </w:rPr>
              <w:t xml:space="preserve"> as such</w:t>
            </w:r>
            <w:r w:rsidR="00211753" w:rsidRPr="007E0597">
              <w:rPr>
                <w:color w:val="444448" w:themeColor="accent4"/>
              </w:rPr>
              <w:t>,</w:t>
            </w:r>
            <w:r w:rsidR="00BE5505" w:rsidRPr="007E0597">
              <w:rPr>
                <w:color w:val="444448" w:themeColor="accent4"/>
              </w:rPr>
              <w:t xml:space="preserve"> no request for approval ha</w:t>
            </w:r>
            <w:r w:rsidR="00AA08E9" w:rsidRPr="007E0597">
              <w:rPr>
                <w:color w:val="444448" w:themeColor="accent4"/>
              </w:rPr>
              <w:t>s</w:t>
            </w:r>
            <w:r w:rsidR="00BE5505" w:rsidRPr="007E0597">
              <w:rPr>
                <w:color w:val="444448" w:themeColor="accent4"/>
              </w:rPr>
              <w:t xml:space="preserve"> been submitted</w:t>
            </w:r>
            <w:r w:rsidR="00211753" w:rsidRPr="007E0597">
              <w:rPr>
                <w:color w:val="444448" w:themeColor="accent4"/>
              </w:rPr>
              <w:t>. H</w:t>
            </w:r>
            <w:r w:rsidR="00CA07EF" w:rsidRPr="007E0597">
              <w:rPr>
                <w:color w:val="444448" w:themeColor="accent4"/>
              </w:rPr>
              <w:t>owever</w:t>
            </w:r>
            <w:r w:rsidR="00BE5505" w:rsidRPr="007E0597">
              <w:rPr>
                <w:color w:val="444448" w:themeColor="accent4"/>
              </w:rPr>
              <w:t xml:space="preserve"> </w:t>
            </w:r>
            <w:r w:rsidR="00211753" w:rsidRPr="007E0597">
              <w:rPr>
                <w:color w:val="444448" w:themeColor="accent4"/>
              </w:rPr>
              <w:t xml:space="preserve">ANSTO </w:t>
            </w:r>
            <w:r w:rsidR="00BE5505" w:rsidRPr="007E0597">
              <w:rPr>
                <w:color w:val="444448" w:themeColor="accent4"/>
              </w:rPr>
              <w:t xml:space="preserve">indicated that a submission would be prepared and </w:t>
            </w:r>
            <w:r w:rsidR="00CA07EF" w:rsidRPr="007E0597">
              <w:rPr>
                <w:color w:val="444448" w:themeColor="accent4"/>
              </w:rPr>
              <w:t>submitted</w:t>
            </w:r>
            <w:r w:rsidR="00BE5505" w:rsidRPr="007E0597">
              <w:rPr>
                <w:color w:val="444448" w:themeColor="accent4"/>
              </w:rPr>
              <w:t xml:space="preserve"> to ARPANSA before the equipment </w:t>
            </w:r>
            <w:r w:rsidR="00AA08E9" w:rsidRPr="007E0597">
              <w:rPr>
                <w:color w:val="444448" w:themeColor="accent4"/>
              </w:rPr>
              <w:t>is</w:t>
            </w:r>
            <w:r w:rsidR="00BE5505" w:rsidRPr="007E0597">
              <w:rPr>
                <w:color w:val="444448" w:themeColor="accent4"/>
              </w:rPr>
              <w:t xml:space="preserve"> operated.</w:t>
            </w:r>
            <w:r w:rsidR="002F19D3" w:rsidRPr="007E0597">
              <w:rPr>
                <w:color w:val="444448" w:themeColor="accent4"/>
              </w:rPr>
              <w:t xml:space="preserve"> This is a potential non-compliance with </w:t>
            </w:r>
            <w:r w:rsidR="00611263" w:rsidRPr="007E0597">
              <w:rPr>
                <w:color w:val="444448" w:themeColor="accent4"/>
              </w:rPr>
              <w:t xml:space="preserve">Regulation 51 of the Regulations </w:t>
            </w:r>
            <w:r w:rsidR="001E0AD5" w:rsidRPr="007E0597">
              <w:rPr>
                <w:color w:val="444448" w:themeColor="accent4"/>
              </w:rPr>
              <w:t>1999</w:t>
            </w:r>
            <w:r w:rsidR="00611263" w:rsidRPr="007E0597">
              <w:rPr>
                <w:color w:val="444448" w:themeColor="accent4"/>
              </w:rPr>
              <w:t xml:space="preserve"> (now </w:t>
            </w:r>
            <w:r w:rsidR="00CA07EF" w:rsidRPr="007E0597">
              <w:rPr>
                <w:color w:val="444448" w:themeColor="accent4"/>
              </w:rPr>
              <w:t>section 63</w:t>
            </w:r>
            <w:r w:rsidR="00D51959" w:rsidRPr="007E0597">
              <w:rPr>
                <w:color w:val="444448" w:themeColor="accent4"/>
              </w:rPr>
              <w:t xml:space="preserve"> of the Regulations 2018</w:t>
            </w:r>
            <w:r w:rsidR="00611263" w:rsidRPr="007E0597">
              <w:rPr>
                <w:color w:val="444448" w:themeColor="accent4"/>
              </w:rPr>
              <w:t>).</w:t>
            </w:r>
          </w:p>
          <w:p w14:paraId="1F70121D" w14:textId="2C44CF37" w:rsidR="00D8260E" w:rsidRDefault="00D8260E" w:rsidP="00D8260E">
            <w:pPr>
              <w:pStyle w:val="Heading2"/>
              <w:outlineLvl w:val="1"/>
            </w:pPr>
            <w:r>
              <w:t xml:space="preserve">Inspection, </w:t>
            </w:r>
            <w:r w:rsidR="007E0597">
              <w:t>testing and m</w:t>
            </w:r>
            <w:r>
              <w:t>aintenance</w:t>
            </w:r>
          </w:p>
          <w:p w14:paraId="2973B0D6" w14:textId="3C161B10" w:rsidR="00D8260E" w:rsidRPr="007E0597" w:rsidRDefault="00196839" w:rsidP="00D8260E">
            <w:pPr>
              <w:rPr>
                <w:color w:val="444448" w:themeColor="accent4"/>
              </w:rPr>
            </w:pPr>
            <w:r w:rsidRPr="007E0597">
              <w:rPr>
                <w:color w:val="444448" w:themeColor="accent4"/>
              </w:rPr>
              <w:t>R</w:t>
            </w:r>
            <w:r w:rsidR="00D8260E" w:rsidRPr="007E0597">
              <w:rPr>
                <w:color w:val="444448" w:themeColor="accent4"/>
              </w:rPr>
              <w:t>esponsibility for maintenance falls on the facility officer. This performance of maintenance is then placed upon the on-site support staff. ANSTO’s asset management group are also involved at Camperdown</w:t>
            </w:r>
            <w:r w:rsidR="00A21F05" w:rsidRPr="007E0597">
              <w:rPr>
                <w:color w:val="444448" w:themeColor="accent4"/>
              </w:rPr>
              <w:t xml:space="preserve"> and provide support when required</w:t>
            </w:r>
            <w:r w:rsidR="00D8260E" w:rsidRPr="007E0597">
              <w:rPr>
                <w:color w:val="444448" w:themeColor="accent4"/>
              </w:rPr>
              <w:t>.</w:t>
            </w:r>
            <w:r w:rsidR="005B664C" w:rsidRPr="007E0597">
              <w:rPr>
                <w:color w:val="444448" w:themeColor="accent4"/>
              </w:rPr>
              <w:t xml:space="preserve"> ANSTO employs contractors for maintenance of certain systems such a</w:t>
            </w:r>
            <w:r w:rsidR="001E33E4" w:rsidRPr="007E0597">
              <w:rPr>
                <w:color w:val="444448" w:themeColor="accent4"/>
              </w:rPr>
              <w:t>s</w:t>
            </w:r>
            <w:r w:rsidR="005B664C" w:rsidRPr="007E0597">
              <w:rPr>
                <w:color w:val="444448" w:themeColor="accent4"/>
              </w:rPr>
              <w:t xml:space="preserve"> fire detection (</w:t>
            </w:r>
            <w:proofErr w:type="spellStart"/>
            <w:r w:rsidR="005B664C" w:rsidRPr="007E0597">
              <w:rPr>
                <w:color w:val="444448" w:themeColor="accent4"/>
              </w:rPr>
              <w:t>Wormald</w:t>
            </w:r>
            <w:proofErr w:type="spellEnd"/>
            <w:r w:rsidR="005B664C" w:rsidRPr="007E0597">
              <w:rPr>
                <w:color w:val="444448" w:themeColor="accent4"/>
              </w:rPr>
              <w:t xml:space="preserve">) and its </w:t>
            </w:r>
            <w:proofErr w:type="spellStart"/>
            <w:r w:rsidR="005B664C" w:rsidRPr="007E0597">
              <w:rPr>
                <w:color w:val="444448" w:themeColor="accent4"/>
              </w:rPr>
              <w:t>hotcells</w:t>
            </w:r>
            <w:proofErr w:type="spellEnd"/>
            <w:r w:rsidR="005B664C" w:rsidRPr="007E0597">
              <w:rPr>
                <w:color w:val="444448" w:themeColor="accent4"/>
              </w:rPr>
              <w:t xml:space="preserve"> (</w:t>
            </w:r>
            <w:proofErr w:type="spellStart"/>
            <w:r w:rsidR="005B664C" w:rsidRPr="007E0597">
              <w:rPr>
                <w:color w:val="444448" w:themeColor="accent4"/>
              </w:rPr>
              <w:t>Comecer</w:t>
            </w:r>
            <w:proofErr w:type="spellEnd"/>
            <w:r w:rsidR="005B664C" w:rsidRPr="007E0597">
              <w:rPr>
                <w:color w:val="444448" w:themeColor="accent4"/>
              </w:rPr>
              <w:t xml:space="preserve"> and GMS). As it currently stands, the hot</w:t>
            </w:r>
            <w:r w:rsidR="007E0597">
              <w:rPr>
                <w:color w:val="444448" w:themeColor="accent4"/>
              </w:rPr>
              <w:t xml:space="preserve"> </w:t>
            </w:r>
            <w:r w:rsidR="005B664C" w:rsidRPr="007E0597">
              <w:rPr>
                <w:color w:val="444448" w:themeColor="accent4"/>
              </w:rPr>
              <w:t xml:space="preserve">cells </w:t>
            </w:r>
            <w:proofErr w:type="gramStart"/>
            <w:r w:rsidR="005B664C" w:rsidRPr="007E0597">
              <w:rPr>
                <w:color w:val="444448" w:themeColor="accent4"/>
              </w:rPr>
              <w:t>are maintained</w:t>
            </w:r>
            <w:proofErr w:type="gramEnd"/>
            <w:r w:rsidR="005B664C" w:rsidRPr="007E0597">
              <w:rPr>
                <w:color w:val="444448" w:themeColor="accent4"/>
              </w:rPr>
              <w:t xml:space="preserve"> </w:t>
            </w:r>
            <w:r w:rsidR="001F23C0" w:rsidRPr="007E0597">
              <w:rPr>
                <w:color w:val="444448" w:themeColor="accent4"/>
              </w:rPr>
              <w:t>on failure</w:t>
            </w:r>
            <w:r w:rsidR="006A5510" w:rsidRPr="007E0597">
              <w:rPr>
                <w:color w:val="444448" w:themeColor="accent4"/>
              </w:rPr>
              <w:t xml:space="preserve"> but there is the intention to place the hot</w:t>
            </w:r>
            <w:r w:rsidR="007E0597">
              <w:rPr>
                <w:color w:val="444448" w:themeColor="accent4"/>
              </w:rPr>
              <w:t xml:space="preserve"> </w:t>
            </w:r>
            <w:r w:rsidR="006A5510" w:rsidRPr="007E0597">
              <w:rPr>
                <w:color w:val="444448" w:themeColor="accent4"/>
              </w:rPr>
              <w:t>cells</w:t>
            </w:r>
            <w:r w:rsidR="005B664C" w:rsidRPr="007E0597">
              <w:rPr>
                <w:color w:val="444448" w:themeColor="accent4"/>
              </w:rPr>
              <w:t xml:space="preserve"> on a preventative maintenance schedule.</w:t>
            </w:r>
          </w:p>
          <w:p w14:paraId="5653D476" w14:textId="1D159DAB" w:rsidR="00A21F05" w:rsidRPr="007E0597" w:rsidRDefault="00BC353F" w:rsidP="00D8260E">
            <w:pPr>
              <w:rPr>
                <w:color w:val="444448" w:themeColor="accent4"/>
              </w:rPr>
            </w:pPr>
            <w:r w:rsidRPr="007E0597">
              <w:rPr>
                <w:color w:val="444448" w:themeColor="accent4"/>
              </w:rPr>
              <w:t xml:space="preserve">Cyclotron maintenance is currently performed by trained staff at Camperdown. Staff responsible for cyclotron maintenance have been certified </w:t>
            </w:r>
            <w:r w:rsidR="00CA07EF" w:rsidRPr="007E0597">
              <w:rPr>
                <w:color w:val="444448" w:themeColor="accent4"/>
              </w:rPr>
              <w:t>by</w:t>
            </w:r>
            <w:r w:rsidRPr="007E0597">
              <w:rPr>
                <w:color w:val="444448" w:themeColor="accent4"/>
              </w:rPr>
              <w:t xml:space="preserve"> the original equipment manufacturer, IBA, and have previous experience at another ANSTO facility which operates cyclotrons. </w:t>
            </w:r>
            <w:r w:rsidR="00A21F05" w:rsidRPr="007E0597">
              <w:rPr>
                <w:color w:val="444448" w:themeColor="accent4"/>
              </w:rPr>
              <w:t>It is the future intent of the facility to have IBA on 24/7 remote support and potentially allow for an annual visit. Training for specific cyclotron maintenance will continue with staff to attend an advance</w:t>
            </w:r>
            <w:r w:rsidR="00CA07EF" w:rsidRPr="007E0597">
              <w:rPr>
                <w:color w:val="444448" w:themeColor="accent4"/>
              </w:rPr>
              <w:t>d</w:t>
            </w:r>
            <w:r w:rsidR="00A21F05" w:rsidRPr="007E0597">
              <w:rPr>
                <w:color w:val="444448" w:themeColor="accent4"/>
              </w:rPr>
              <w:t xml:space="preserve"> IBA course. </w:t>
            </w:r>
          </w:p>
          <w:p w14:paraId="690AA116" w14:textId="77777777" w:rsidR="00A21F05" w:rsidRPr="007E0597" w:rsidRDefault="00A21F05" w:rsidP="00D8260E">
            <w:pPr>
              <w:rPr>
                <w:color w:val="444448" w:themeColor="accent4"/>
              </w:rPr>
            </w:pPr>
            <w:r w:rsidRPr="007E0597">
              <w:rPr>
                <w:color w:val="444448" w:themeColor="accent4"/>
              </w:rPr>
              <w:t>As previously indicated, while there are issues relating to the management of maintenance, it was evident that maintenance activities were still being performed.</w:t>
            </w:r>
          </w:p>
          <w:p w14:paraId="57D2AA3F" w14:textId="77777777" w:rsidR="006A0A24" w:rsidRDefault="006A0A24" w:rsidP="006A0A24">
            <w:pPr>
              <w:pStyle w:val="Heading2"/>
              <w:outlineLvl w:val="1"/>
            </w:pPr>
            <w:r>
              <w:t>Training</w:t>
            </w:r>
          </w:p>
          <w:p w14:paraId="47DA2A3F" w14:textId="514CCD3C" w:rsidR="001D452A" w:rsidRPr="007E0597" w:rsidRDefault="00810928" w:rsidP="001D452A">
            <w:pPr>
              <w:rPr>
                <w:color w:val="444448" w:themeColor="accent4"/>
              </w:rPr>
            </w:pPr>
            <w:r w:rsidRPr="007E0597">
              <w:rPr>
                <w:color w:val="444448" w:themeColor="accent4"/>
              </w:rPr>
              <w:t>ANSTO uses its Learning Management System (LMS) to monitor, organise, schedule and deliver training. While the identification of training needs is not a formalised process, managers will assess the development needs of staff through analysis of Camperdown’s training matrix, which is not currently linked with the LMS</w:t>
            </w:r>
            <w:r w:rsidR="00691153" w:rsidRPr="007E0597">
              <w:rPr>
                <w:color w:val="444448" w:themeColor="accent4"/>
              </w:rPr>
              <w:t xml:space="preserve"> and separate to ANSTO’s organisational training matrix</w:t>
            </w:r>
            <w:r w:rsidRPr="007E0597">
              <w:rPr>
                <w:color w:val="444448" w:themeColor="accent4"/>
              </w:rPr>
              <w:t>, and its Annual Performance and Effectiveness Appraisals (APEA).</w:t>
            </w:r>
          </w:p>
          <w:p w14:paraId="17939A4A" w14:textId="710EFFAF" w:rsidR="00BB5453" w:rsidRPr="007E0597" w:rsidRDefault="002C672A" w:rsidP="00BB5453">
            <w:pPr>
              <w:rPr>
                <w:color w:val="444448" w:themeColor="accent4"/>
              </w:rPr>
            </w:pPr>
            <w:r w:rsidRPr="007E0597">
              <w:rPr>
                <w:color w:val="444448" w:themeColor="accent4"/>
              </w:rPr>
              <w:t>It is recognised that staff are employed based on pre-existing knowledge and expertise</w:t>
            </w:r>
            <w:r w:rsidR="006A5510" w:rsidRPr="007E0597">
              <w:rPr>
                <w:color w:val="444448" w:themeColor="accent4"/>
              </w:rPr>
              <w:t>,</w:t>
            </w:r>
            <w:r w:rsidRPr="007E0597">
              <w:rPr>
                <w:color w:val="444448" w:themeColor="accent4"/>
              </w:rPr>
              <w:t xml:space="preserve"> </w:t>
            </w:r>
            <w:r w:rsidR="00CA07EF" w:rsidRPr="007E0597">
              <w:rPr>
                <w:color w:val="444448" w:themeColor="accent4"/>
              </w:rPr>
              <w:t>however</w:t>
            </w:r>
            <w:r w:rsidRPr="007E0597">
              <w:rPr>
                <w:color w:val="444448" w:themeColor="accent4"/>
              </w:rPr>
              <w:t xml:space="preserve"> must still be trained to work in accordance with ANSTO’</w:t>
            </w:r>
            <w:r w:rsidR="00F8615E" w:rsidRPr="007E0597">
              <w:rPr>
                <w:color w:val="444448" w:themeColor="accent4"/>
              </w:rPr>
              <w:t>s safety objective</w:t>
            </w:r>
            <w:r w:rsidRPr="007E0597">
              <w:rPr>
                <w:color w:val="444448" w:themeColor="accent4"/>
              </w:rPr>
              <w:t>. This is important to achi</w:t>
            </w:r>
            <w:r w:rsidR="00541311" w:rsidRPr="007E0597">
              <w:rPr>
                <w:color w:val="444448" w:themeColor="accent4"/>
              </w:rPr>
              <w:t>eving</w:t>
            </w:r>
            <w:r w:rsidR="00411106" w:rsidRPr="007E0597">
              <w:rPr>
                <w:color w:val="444448" w:themeColor="accent4"/>
              </w:rPr>
              <w:t xml:space="preserve"> the high level of safety that</w:t>
            </w:r>
            <w:r w:rsidRPr="007E0597">
              <w:rPr>
                <w:color w:val="444448" w:themeColor="accent4"/>
              </w:rPr>
              <w:t xml:space="preserve"> ANSTO wishes to demonstrate for its activities. While processes are described or demonstrated by supervisors and guided by instructions</w:t>
            </w:r>
            <w:r w:rsidR="00BB5453" w:rsidRPr="007E0597">
              <w:rPr>
                <w:color w:val="444448" w:themeColor="accent4"/>
              </w:rPr>
              <w:t xml:space="preserve">, specific detail on how to perform the task and its associated consequences is lacking. </w:t>
            </w:r>
            <w:r w:rsidR="00D51959" w:rsidRPr="007E0597">
              <w:rPr>
                <w:color w:val="444448" w:themeColor="accent4"/>
              </w:rPr>
              <w:t xml:space="preserve"> </w:t>
            </w:r>
          </w:p>
          <w:p w14:paraId="1492D5D6" w14:textId="6FF8A57C" w:rsidR="00BB5453" w:rsidRPr="007E0597" w:rsidRDefault="00BB5453" w:rsidP="00BB5453">
            <w:pPr>
              <w:rPr>
                <w:color w:val="444448" w:themeColor="accent4"/>
              </w:rPr>
            </w:pPr>
            <w:r w:rsidRPr="007E0597">
              <w:rPr>
                <w:color w:val="444448" w:themeColor="accent4"/>
              </w:rPr>
              <w:t xml:space="preserve">Camperdown specific training is delivered by more experienced supervisory staff through on-the-job training. Currently those staff who provide the training are also responsible for its authorisation upon completion. This method of delivery heavily relies on the teaching ability of the trainer to instil safe work </w:t>
            </w:r>
            <w:r w:rsidRPr="007E0597">
              <w:rPr>
                <w:color w:val="444448" w:themeColor="accent4"/>
              </w:rPr>
              <w:lastRenderedPageBreak/>
              <w:t xml:space="preserve">practices, lacks independent assessment and does not allow for independent verification of training effectiveness. </w:t>
            </w:r>
          </w:p>
          <w:p w14:paraId="60223B1F" w14:textId="6FA68D20" w:rsidR="00750F6F" w:rsidRPr="00750F6F" w:rsidRDefault="00750F6F" w:rsidP="00750F6F">
            <w:pPr>
              <w:pStyle w:val="Heading2"/>
              <w:outlineLvl w:val="1"/>
            </w:pPr>
            <w:r>
              <w:t xml:space="preserve">Radiation </w:t>
            </w:r>
            <w:r w:rsidR="007E0597">
              <w:t>p</w:t>
            </w:r>
            <w:r>
              <w:t>rotection</w:t>
            </w:r>
          </w:p>
          <w:p w14:paraId="1C42FFF0" w14:textId="74971ED1" w:rsidR="00F37637" w:rsidRPr="007E0597" w:rsidRDefault="00750F6F" w:rsidP="001D452A">
            <w:pPr>
              <w:rPr>
                <w:color w:val="444448" w:themeColor="accent4"/>
              </w:rPr>
            </w:pPr>
            <w:r w:rsidRPr="007E0597">
              <w:rPr>
                <w:color w:val="444448" w:themeColor="accent4"/>
              </w:rPr>
              <w:t>Camperdown has both a lead and deputy Radiation Protection Advisor</w:t>
            </w:r>
            <w:r w:rsidR="00035F6E" w:rsidRPr="007E0597">
              <w:rPr>
                <w:color w:val="444448" w:themeColor="accent4"/>
              </w:rPr>
              <w:t xml:space="preserve"> (RPA)</w:t>
            </w:r>
            <w:r w:rsidRPr="007E0597">
              <w:rPr>
                <w:color w:val="444448" w:themeColor="accent4"/>
              </w:rPr>
              <w:t xml:space="preserve"> and are supported by the Health Physics Surveyors</w:t>
            </w:r>
            <w:r w:rsidR="00035F6E" w:rsidRPr="007E0597">
              <w:rPr>
                <w:color w:val="444448" w:themeColor="accent4"/>
              </w:rPr>
              <w:t xml:space="preserve"> (HPS)</w:t>
            </w:r>
            <w:r w:rsidRPr="007E0597">
              <w:rPr>
                <w:color w:val="444448" w:themeColor="accent4"/>
              </w:rPr>
              <w:t>.</w:t>
            </w:r>
            <w:r w:rsidR="00AB7A5B" w:rsidRPr="007E0597">
              <w:rPr>
                <w:color w:val="444448" w:themeColor="accent4"/>
              </w:rPr>
              <w:t xml:space="preserve"> Support is provided through a mix of on-site and on-call services that includes radiation assurance</w:t>
            </w:r>
            <w:r w:rsidR="00D17742" w:rsidRPr="007E0597">
              <w:rPr>
                <w:color w:val="444448" w:themeColor="accent4"/>
              </w:rPr>
              <w:t xml:space="preserve"> surveys, clearances of items from</w:t>
            </w:r>
            <w:r w:rsidR="00AB7A5B" w:rsidRPr="007E0597">
              <w:rPr>
                <w:color w:val="444448" w:themeColor="accent4"/>
              </w:rPr>
              <w:t xml:space="preserve"> radiological areas,</w:t>
            </w:r>
            <w:r w:rsidR="009D3EFC" w:rsidRPr="007E0597">
              <w:rPr>
                <w:color w:val="444448" w:themeColor="accent4"/>
              </w:rPr>
              <w:t xml:space="preserve"> and</w:t>
            </w:r>
            <w:r w:rsidR="00AB7A5B" w:rsidRPr="007E0597">
              <w:rPr>
                <w:color w:val="444448" w:themeColor="accent4"/>
              </w:rPr>
              <w:t xml:space="preserve"> providing advice on radiological risk</w:t>
            </w:r>
            <w:r w:rsidR="009D3EFC" w:rsidRPr="007E0597">
              <w:rPr>
                <w:color w:val="444448" w:themeColor="accent4"/>
              </w:rPr>
              <w:t>.</w:t>
            </w:r>
            <w:r w:rsidR="00AB7A5B" w:rsidRPr="007E0597">
              <w:rPr>
                <w:color w:val="444448" w:themeColor="accent4"/>
              </w:rPr>
              <w:t xml:space="preserve"> </w:t>
            </w:r>
          </w:p>
          <w:p w14:paraId="51614E56" w14:textId="1651EB03" w:rsidR="00D74DEE" w:rsidRPr="007E0597" w:rsidRDefault="00F37637" w:rsidP="001D452A">
            <w:pPr>
              <w:rPr>
                <w:color w:val="444448" w:themeColor="accent4"/>
              </w:rPr>
            </w:pPr>
            <w:r w:rsidRPr="007E0597">
              <w:rPr>
                <w:color w:val="444448" w:themeColor="accent4"/>
              </w:rPr>
              <w:t>In the e</w:t>
            </w:r>
            <w:r w:rsidR="009D7033" w:rsidRPr="007E0597">
              <w:rPr>
                <w:color w:val="444448" w:themeColor="accent4"/>
              </w:rPr>
              <w:t>vent of a radiological incident</w:t>
            </w:r>
            <w:r w:rsidRPr="007E0597">
              <w:rPr>
                <w:color w:val="444448" w:themeColor="accent4"/>
              </w:rPr>
              <w:t xml:space="preserve"> both the RPA and H</w:t>
            </w:r>
            <w:r w:rsidR="009D7033" w:rsidRPr="007E0597">
              <w:rPr>
                <w:color w:val="444448" w:themeColor="accent4"/>
              </w:rPr>
              <w:t>PS will be contacted,</w:t>
            </w:r>
            <w:r w:rsidRPr="007E0597">
              <w:rPr>
                <w:color w:val="444448" w:themeColor="accent4"/>
              </w:rPr>
              <w:t xml:space="preserve"> the area will be cordoned off and the scene preserved. Radiation Protection Services</w:t>
            </w:r>
            <w:r w:rsidR="00035F6E" w:rsidRPr="007E0597">
              <w:rPr>
                <w:color w:val="444448" w:themeColor="accent4"/>
              </w:rPr>
              <w:t xml:space="preserve"> (RPS)</w:t>
            </w:r>
            <w:r w:rsidRPr="007E0597">
              <w:rPr>
                <w:color w:val="444448" w:themeColor="accent4"/>
              </w:rPr>
              <w:t xml:space="preserve"> is currently developing guidance surrounding scene preservation. Staff </w:t>
            </w:r>
            <w:r w:rsidR="001F23C0" w:rsidRPr="007E0597">
              <w:rPr>
                <w:color w:val="444448" w:themeColor="accent4"/>
              </w:rPr>
              <w:t xml:space="preserve">should </w:t>
            </w:r>
            <w:r w:rsidRPr="007E0597">
              <w:rPr>
                <w:color w:val="444448" w:themeColor="accent4"/>
              </w:rPr>
              <w:t xml:space="preserve">then follow ANSTO’s investigation methodology. </w:t>
            </w:r>
          </w:p>
          <w:p w14:paraId="1D072345" w14:textId="4D1BB7F4" w:rsidR="00F37637" w:rsidRPr="007E0597" w:rsidRDefault="00F37637" w:rsidP="001D452A">
            <w:pPr>
              <w:rPr>
                <w:color w:val="444448" w:themeColor="accent4"/>
              </w:rPr>
            </w:pPr>
            <w:r w:rsidRPr="007E0597">
              <w:rPr>
                <w:color w:val="444448" w:themeColor="accent4"/>
              </w:rPr>
              <w:t>It is worth noting, dep</w:t>
            </w:r>
            <w:r w:rsidR="004A398C" w:rsidRPr="007E0597">
              <w:rPr>
                <w:color w:val="444448" w:themeColor="accent4"/>
              </w:rPr>
              <w:t>ending on the radiological incident, that risk</w:t>
            </w:r>
            <w:r w:rsidR="006D7FF6" w:rsidRPr="007E0597">
              <w:rPr>
                <w:color w:val="444448" w:themeColor="accent4"/>
              </w:rPr>
              <w:t>s</w:t>
            </w:r>
            <w:r w:rsidR="004A398C" w:rsidRPr="007E0597">
              <w:rPr>
                <w:color w:val="444448" w:themeColor="accent4"/>
              </w:rPr>
              <w:t xml:space="preserve"> to staff can be mitigated by avoiding the area and allowing for decay due to the nature of short-lived radioisotopes.</w:t>
            </w:r>
            <w:r w:rsidR="00D74DEE" w:rsidRPr="007E0597">
              <w:rPr>
                <w:color w:val="444448" w:themeColor="accent4"/>
              </w:rPr>
              <w:t xml:space="preserve"> In the instance of contamination, decontamination procedure </w:t>
            </w:r>
            <w:r w:rsidR="005204E9" w:rsidRPr="007E0597">
              <w:rPr>
                <w:color w:val="444448" w:themeColor="accent4"/>
              </w:rPr>
              <w:t xml:space="preserve">exists within ANSTO’s Work Health and Safety Management System </w:t>
            </w:r>
            <w:r w:rsidR="00D74DEE" w:rsidRPr="007E0597">
              <w:rPr>
                <w:color w:val="444448" w:themeColor="accent4"/>
              </w:rPr>
              <w:t xml:space="preserve">and basic </w:t>
            </w:r>
            <w:r w:rsidR="003D0EBD" w:rsidRPr="007E0597">
              <w:rPr>
                <w:color w:val="444448" w:themeColor="accent4"/>
              </w:rPr>
              <w:t xml:space="preserve">radiation safety </w:t>
            </w:r>
            <w:r w:rsidR="00D74DEE" w:rsidRPr="007E0597">
              <w:rPr>
                <w:color w:val="444448" w:themeColor="accent4"/>
              </w:rPr>
              <w:t>training provided during induction</w:t>
            </w:r>
            <w:r w:rsidR="005204E9" w:rsidRPr="007E0597">
              <w:rPr>
                <w:color w:val="444448" w:themeColor="accent4"/>
              </w:rPr>
              <w:t>. R</w:t>
            </w:r>
            <w:r w:rsidR="00D74DEE" w:rsidRPr="007E0597">
              <w:rPr>
                <w:color w:val="444448" w:themeColor="accent4"/>
              </w:rPr>
              <w:t>ecent events at ANSTO have highlight</w:t>
            </w:r>
            <w:r w:rsidR="005204E9" w:rsidRPr="007E0597">
              <w:rPr>
                <w:color w:val="444448" w:themeColor="accent4"/>
              </w:rPr>
              <w:t>ed the importance of quick and effective personal decontamination but no procedures for Camperdown are in place.</w:t>
            </w:r>
            <w:r w:rsidR="00994809" w:rsidRPr="007E0597">
              <w:rPr>
                <w:color w:val="444448" w:themeColor="accent4"/>
              </w:rPr>
              <w:t xml:space="preserve"> If staff require personal decontamination</w:t>
            </w:r>
            <w:r w:rsidR="009D3EFC" w:rsidRPr="007E0597">
              <w:rPr>
                <w:color w:val="444448" w:themeColor="accent4"/>
              </w:rPr>
              <w:t xml:space="preserve"> they</w:t>
            </w:r>
            <w:r w:rsidR="003D0EBD" w:rsidRPr="007E0597">
              <w:rPr>
                <w:color w:val="444448" w:themeColor="accent4"/>
              </w:rPr>
              <w:t xml:space="preserve"> </w:t>
            </w:r>
            <w:r w:rsidR="009D3EFC" w:rsidRPr="007E0597">
              <w:rPr>
                <w:color w:val="444448" w:themeColor="accent4"/>
              </w:rPr>
              <w:t xml:space="preserve">would </w:t>
            </w:r>
            <w:r w:rsidR="003D0EBD" w:rsidRPr="007E0597">
              <w:rPr>
                <w:color w:val="444448" w:themeColor="accent4"/>
              </w:rPr>
              <w:t>then lean on their training</w:t>
            </w:r>
            <w:r w:rsidR="00994809" w:rsidRPr="007E0597">
              <w:rPr>
                <w:color w:val="444448" w:themeColor="accent4"/>
              </w:rPr>
              <w:t>,</w:t>
            </w:r>
            <w:r w:rsidR="003D0EBD" w:rsidRPr="007E0597">
              <w:rPr>
                <w:color w:val="444448" w:themeColor="accent4"/>
              </w:rPr>
              <w:t xml:space="preserve"> </w:t>
            </w:r>
            <w:r w:rsidR="00994809" w:rsidRPr="007E0597">
              <w:rPr>
                <w:color w:val="444448" w:themeColor="accent4"/>
              </w:rPr>
              <w:t>the area RP</w:t>
            </w:r>
            <w:r w:rsidR="009D7033" w:rsidRPr="007E0597">
              <w:rPr>
                <w:color w:val="444448" w:themeColor="accent4"/>
              </w:rPr>
              <w:t>A</w:t>
            </w:r>
            <w:r w:rsidR="00994809" w:rsidRPr="007E0597">
              <w:rPr>
                <w:color w:val="444448" w:themeColor="accent4"/>
              </w:rPr>
              <w:t>/HPS would be contacted immediately and offer advice</w:t>
            </w:r>
            <w:r w:rsidR="009D7033" w:rsidRPr="007E0597">
              <w:rPr>
                <w:color w:val="444448" w:themeColor="accent4"/>
              </w:rPr>
              <w:t>,</w:t>
            </w:r>
            <w:r w:rsidR="00994809" w:rsidRPr="007E0597">
              <w:rPr>
                <w:color w:val="444448" w:themeColor="accent4"/>
              </w:rPr>
              <w:t xml:space="preserve"> if not on-site</w:t>
            </w:r>
            <w:r w:rsidR="009D7033" w:rsidRPr="007E0597">
              <w:rPr>
                <w:color w:val="444448" w:themeColor="accent4"/>
              </w:rPr>
              <w:t>,</w:t>
            </w:r>
            <w:r w:rsidR="00994809" w:rsidRPr="007E0597">
              <w:rPr>
                <w:color w:val="444448" w:themeColor="accent4"/>
              </w:rPr>
              <w:t xml:space="preserve"> or immediately attend to the person in question.</w:t>
            </w:r>
          </w:p>
          <w:p w14:paraId="35E0C25E" w14:textId="77777777" w:rsidR="00F55ED8" w:rsidRPr="007E0597" w:rsidRDefault="00035F6E" w:rsidP="001D452A">
            <w:pPr>
              <w:rPr>
                <w:color w:val="444448" w:themeColor="accent4"/>
              </w:rPr>
            </w:pPr>
            <w:r w:rsidRPr="007E0597">
              <w:rPr>
                <w:color w:val="444448" w:themeColor="accent4"/>
              </w:rPr>
              <w:t xml:space="preserve">Clearance of items from radiological areas by non-RPS staff is limited to small personal items. A small number of staff at Camperdown have been certified by RPS to clear product from the facility, however given recent events at Camperdown, this arrangement may be handed back to HPS. </w:t>
            </w:r>
          </w:p>
          <w:p w14:paraId="0A8D61C0" w14:textId="7CCD7DBA" w:rsidR="000D161A" w:rsidRPr="000D161A" w:rsidRDefault="007E0597" w:rsidP="000D161A">
            <w:pPr>
              <w:pStyle w:val="Heading2"/>
              <w:outlineLvl w:val="1"/>
            </w:pPr>
            <w:r>
              <w:t>Event p</w:t>
            </w:r>
            <w:r w:rsidR="000D161A">
              <w:t>rotection</w:t>
            </w:r>
            <w:r w:rsidR="00D51959">
              <w:t xml:space="preserve"> </w:t>
            </w:r>
          </w:p>
          <w:p w14:paraId="4611FC70" w14:textId="06D3AC38" w:rsidR="00877D67" w:rsidRPr="007E0597" w:rsidRDefault="000D161A" w:rsidP="00C04364">
            <w:pPr>
              <w:rPr>
                <w:color w:val="444448" w:themeColor="accent4"/>
              </w:rPr>
            </w:pPr>
            <w:r w:rsidRPr="007E0597">
              <w:rPr>
                <w:color w:val="444448" w:themeColor="accent4"/>
              </w:rPr>
              <w:t>Given the geographical location of the Camperdo</w:t>
            </w:r>
            <w:r w:rsidR="0074434D" w:rsidRPr="007E0597">
              <w:rPr>
                <w:color w:val="444448" w:themeColor="accent4"/>
              </w:rPr>
              <w:t>wn facility and its design, inspectors found the measures in place in relation to event protection management to be sound. On physical inspection, pest control measures could be seen and records related to fire detection systems were able to be shown.</w:t>
            </w:r>
          </w:p>
          <w:p w14:paraId="289E0D8C" w14:textId="49D3312A" w:rsidR="000B6FEE" w:rsidRDefault="000B6FEE" w:rsidP="000B6FEE">
            <w:pPr>
              <w:pStyle w:val="Heading2"/>
              <w:outlineLvl w:val="1"/>
            </w:pPr>
            <w:r>
              <w:t>Security</w:t>
            </w:r>
          </w:p>
          <w:p w14:paraId="527A7F50" w14:textId="4F478571" w:rsidR="000B6FEE" w:rsidRPr="007E0597" w:rsidRDefault="000B6FEE" w:rsidP="000B6FEE">
            <w:pPr>
              <w:rPr>
                <w:color w:val="444448" w:themeColor="accent4"/>
              </w:rPr>
            </w:pPr>
            <w:r w:rsidRPr="007E0597">
              <w:rPr>
                <w:color w:val="444448" w:themeColor="accent4"/>
              </w:rPr>
              <w:t>For an extended period</w:t>
            </w:r>
            <w:r w:rsidR="00C04364" w:rsidRPr="007E0597">
              <w:rPr>
                <w:color w:val="444448" w:themeColor="accent4"/>
              </w:rPr>
              <w:t xml:space="preserve"> of</w:t>
            </w:r>
            <w:r w:rsidRPr="007E0597">
              <w:rPr>
                <w:color w:val="444448" w:themeColor="accent4"/>
              </w:rPr>
              <w:t xml:space="preserve"> time dating back to 2016</w:t>
            </w:r>
            <w:r w:rsidR="008658CA" w:rsidRPr="007E0597">
              <w:rPr>
                <w:color w:val="444448" w:themeColor="accent4"/>
              </w:rPr>
              <w:t>, the</w:t>
            </w:r>
            <w:r w:rsidRPr="007E0597">
              <w:rPr>
                <w:color w:val="444448" w:themeColor="accent4"/>
              </w:rPr>
              <w:t xml:space="preserve"> Camperdown Security </w:t>
            </w:r>
            <w:r w:rsidR="002E14F1" w:rsidRPr="007E0597">
              <w:rPr>
                <w:color w:val="444448" w:themeColor="accent4"/>
              </w:rPr>
              <w:t>P</w:t>
            </w:r>
            <w:r w:rsidRPr="007E0597">
              <w:rPr>
                <w:color w:val="444448" w:themeColor="accent4"/>
              </w:rPr>
              <w:t>lan had not been review</w:t>
            </w:r>
            <w:r w:rsidR="002E14F1" w:rsidRPr="007E0597">
              <w:rPr>
                <w:color w:val="444448" w:themeColor="accent4"/>
              </w:rPr>
              <w:t>ed</w:t>
            </w:r>
            <w:r w:rsidRPr="007E0597">
              <w:rPr>
                <w:color w:val="444448" w:themeColor="accent4"/>
              </w:rPr>
              <w:t xml:space="preserve"> or endorsed by an ANSTO </w:t>
            </w:r>
            <w:r w:rsidR="002E14F1" w:rsidRPr="007E0597">
              <w:rPr>
                <w:color w:val="444448" w:themeColor="accent4"/>
              </w:rPr>
              <w:t>S</w:t>
            </w:r>
            <w:r w:rsidRPr="007E0597">
              <w:rPr>
                <w:color w:val="444448" w:themeColor="accent4"/>
              </w:rPr>
              <w:t>ecurity expert</w:t>
            </w:r>
            <w:r w:rsidR="006C0268" w:rsidRPr="007E0597">
              <w:rPr>
                <w:color w:val="444448" w:themeColor="accent4"/>
              </w:rPr>
              <w:t xml:space="preserve"> to ensure it </w:t>
            </w:r>
            <w:r w:rsidR="008658CA" w:rsidRPr="007E0597">
              <w:rPr>
                <w:color w:val="444448" w:themeColor="accent4"/>
              </w:rPr>
              <w:t xml:space="preserve">aligned with the ANSTO Security </w:t>
            </w:r>
            <w:r w:rsidR="002E14F1" w:rsidRPr="007E0597">
              <w:rPr>
                <w:color w:val="444448" w:themeColor="accent4"/>
              </w:rPr>
              <w:t>P</w:t>
            </w:r>
            <w:r w:rsidR="008658CA" w:rsidRPr="007E0597">
              <w:rPr>
                <w:color w:val="444448" w:themeColor="accent4"/>
              </w:rPr>
              <w:t>lan and to ensure it included up-to-date-information on threat assessment, person</w:t>
            </w:r>
            <w:r w:rsidR="002E14F1" w:rsidRPr="007E0597">
              <w:rPr>
                <w:color w:val="444448" w:themeColor="accent4"/>
              </w:rPr>
              <w:t>nel</w:t>
            </w:r>
            <w:r w:rsidR="008658CA" w:rsidRPr="007E0597">
              <w:rPr>
                <w:color w:val="444448" w:themeColor="accent4"/>
              </w:rPr>
              <w:t xml:space="preserve"> security, IT, </w:t>
            </w:r>
            <w:r w:rsidR="002E14F1" w:rsidRPr="007E0597">
              <w:rPr>
                <w:color w:val="444448" w:themeColor="accent4"/>
              </w:rPr>
              <w:t>among other</w:t>
            </w:r>
            <w:r w:rsidR="008F543D" w:rsidRPr="007E0597">
              <w:rPr>
                <w:color w:val="444448" w:themeColor="accent4"/>
              </w:rPr>
              <w:t>s</w:t>
            </w:r>
            <w:r w:rsidR="008658CA" w:rsidRPr="007E0597">
              <w:rPr>
                <w:color w:val="444448" w:themeColor="accent4"/>
              </w:rPr>
              <w:t xml:space="preserve">. This document has only recently been reviewed and endorsed by ANSTO </w:t>
            </w:r>
            <w:r w:rsidR="002E14F1" w:rsidRPr="007E0597">
              <w:rPr>
                <w:color w:val="444448" w:themeColor="accent4"/>
              </w:rPr>
              <w:t>S</w:t>
            </w:r>
            <w:r w:rsidR="008658CA" w:rsidRPr="007E0597">
              <w:rPr>
                <w:color w:val="444448" w:themeColor="accent4"/>
              </w:rPr>
              <w:t xml:space="preserve">ecurity. While it was highlighted that this document would follow the ANSTO template, it could not be confirmed as to whether or not this document takes </w:t>
            </w:r>
            <w:r w:rsidR="002E14F1" w:rsidRPr="007E0597">
              <w:rPr>
                <w:color w:val="444448" w:themeColor="accent4"/>
              </w:rPr>
              <w:t xml:space="preserve">into account </w:t>
            </w:r>
            <w:r w:rsidR="008658CA" w:rsidRPr="007E0597">
              <w:rPr>
                <w:color w:val="444448" w:themeColor="accent4"/>
              </w:rPr>
              <w:t>the IAEA’s Nuclear Security Series 14, Nuclear Security Recommendations on Radioactive Material and Associated Facilities.</w:t>
            </w:r>
          </w:p>
          <w:p w14:paraId="4072F688" w14:textId="6B22E732" w:rsidR="00986EE8" w:rsidRPr="007E0597" w:rsidRDefault="00986EE8" w:rsidP="000B6FEE">
            <w:pPr>
              <w:rPr>
                <w:color w:val="444448" w:themeColor="accent4"/>
              </w:rPr>
            </w:pPr>
            <w:r w:rsidRPr="007E0597">
              <w:rPr>
                <w:color w:val="444448" w:themeColor="accent4"/>
              </w:rPr>
              <w:lastRenderedPageBreak/>
              <w:t xml:space="preserve">While ANSTO adopts the attitude that everyone is responsible for security, the contracted MSS Security officer has specific responsibilities at Camperdown. Previously, ANSTO Security presence at Camperdown </w:t>
            </w:r>
            <w:r w:rsidR="00A53C69" w:rsidRPr="007E0597">
              <w:rPr>
                <w:color w:val="444448" w:themeColor="accent4"/>
              </w:rPr>
              <w:t xml:space="preserve">has </w:t>
            </w:r>
            <w:r w:rsidRPr="007E0597">
              <w:rPr>
                <w:color w:val="444448" w:themeColor="accent4"/>
              </w:rPr>
              <w:t>only be</w:t>
            </w:r>
            <w:r w:rsidR="00A53C69" w:rsidRPr="007E0597">
              <w:rPr>
                <w:color w:val="444448" w:themeColor="accent4"/>
              </w:rPr>
              <w:t>en</w:t>
            </w:r>
            <w:r w:rsidRPr="007E0597">
              <w:rPr>
                <w:color w:val="444448" w:themeColor="accent4"/>
              </w:rPr>
              <w:t xml:space="preserve"> on a quarterly </w:t>
            </w:r>
            <w:r w:rsidR="002E14F1" w:rsidRPr="007E0597">
              <w:rPr>
                <w:color w:val="444448" w:themeColor="accent4"/>
              </w:rPr>
              <w:t>basis</w:t>
            </w:r>
            <w:r w:rsidRPr="007E0597">
              <w:rPr>
                <w:color w:val="444448" w:themeColor="accent4"/>
              </w:rPr>
              <w:t xml:space="preserve"> with regular communication via email and telephone. Given current changes to ANSTO Security personnel, Camp</w:t>
            </w:r>
            <w:r w:rsidR="00324B89" w:rsidRPr="007E0597">
              <w:rPr>
                <w:color w:val="444448" w:themeColor="accent4"/>
              </w:rPr>
              <w:t xml:space="preserve">erdown is looking to have this presence increased with </w:t>
            </w:r>
            <w:r w:rsidR="004F1D33" w:rsidRPr="007E0597">
              <w:rPr>
                <w:color w:val="444448" w:themeColor="accent4"/>
              </w:rPr>
              <w:t xml:space="preserve">an </w:t>
            </w:r>
            <w:r w:rsidR="00324B89" w:rsidRPr="007E0597">
              <w:rPr>
                <w:color w:val="444448" w:themeColor="accent4"/>
              </w:rPr>
              <w:t>even greater level of communication.</w:t>
            </w:r>
            <w:r w:rsidR="00D51959" w:rsidRPr="007E0597">
              <w:rPr>
                <w:color w:val="444448" w:themeColor="accent4"/>
              </w:rPr>
              <w:t xml:space="preserve"> </w:t>
            </w:r>
          </w:p>
          <w:p w14:paraId="15688A6A" w14:textId="5F4C5429" w:rsidR="004F1D33" w:rsidRPr="007E0597" w:rsidRDefault="004F1D33" w:rsidP="000B6FEE">
            <w:pPr>
              <w:rPr>
                <w:color w:val="444448" w:themeColor="accent4"/>
              </w:rPr>
            </w:pPr>
            <w:r w:rsidRPr="007E0597">
              <w:rPr>
                <w:color w:val="444448" w:themeColor="accent4"/>
              </w:rPr>
              <w:t xml:space="preserve">Security is also a standing agenda item at the weekly operations meeting which the MSS </w:t>
            </w:r>
            <w:r w:rsidR="002E14F1" w:rsidRPr="007E0597">
              <w:rPr>
                <w:color w:val="444448" w:themeColor="accent4"/>
              </w:rPr>
              <w:t>S</w:t>
            </w:r>
            <w:r w:rsidRPr="007E0597">
              <w:rPr>
                <w:color w:val="444448" w:themeColor="accent4"/>
              </w:rPr>
              <w:t>ecurity officer attends to inform or gather new security information.</w:t>
            </w:r>
          </w:p>
          <w:p w14:paraId="6692B12A" w14:textId="421BBB79" w:rsidR="004F1D33" w:rsidRPr="007E0597" w:rsidRDefault="004F1D33" w:rsidP="000B6FEE">
            <w:pPr>
              <w:rPr>
                <w:color w:val="444448" w:themeColor="accent4"/>
              </w:rPr>
            </w:pPr>
            <w:r w:rsidRPr="007E0597">
              <w:rPr>
                <w:color w:val="444448" w:themeColor="accent4"/>
              </w:rPr>
              <w:t>Access to the s</w:t>
            </w:r>
            <w:r w:rsidR="001C676A" w:rsidRPr="007E0597">
              <w:rPr>
                <w:color w:val="444448" w:themeColor="accent4"/>
              </w:rPr>
              <w:t xml:space="preserve">ite follows the standard ANSTO </w:t>
            </w:r>
            <w:r w:rsidR="002E14F1" w:rsidRPr="007E0597">
              <w:rPr>
                <w:color w:val="444448" w:themeColor="accent4"/>
              </w:rPr>
              <w:t>o</w:t>
            </w:r>
            <w:r w:rsidRPr="007E0597">
              <w:rPr>
                <w:color w:val="444448" w:themeColor="accent4"/>
              </w:rPr>
              <w:t>n</w:t>
            </w:r>
            <w:r w:rsidR="002E14F1" w:rsidRPr="007E0597">
              <w:rPr>
                <w:color w:val="444448" w:themeColor="accent4"/>
              </w:rPr>
              <w:t>-</w:t>
            </w:r>
            <w:r w:rsidRPr="007E0597">
              <w:rPr>
                <w:color w:val="444448" w:themeColor="accent4"/>
              </w:rPr>
              <w:t>boarding process with authorisation of acces</w:t>
            </w:r>
            <w:r w:rsidR="008B0221" w:rsidRPr="007E0597">
              <w:rPr>
                <w:color w:val="444448" w:themeColor="accent4"/>
              </w:rPr>
              <w:t>s ultimately residing with the Facility M</w:t>
            </w:r>
            <w:r w:rsidRPr="007E0597">
              <w:rPr>
                <w:color w:val="444448" w:themeColor="accent4"/>
              </w:rPr>
              <w:t>anager. In regard to access, Camperdown ha</w:t>
            </w:r>
            <w:r w:rsidR="00A53C69" w:rsidRPr="007E0597">
              <w:rPr>
                <w:color w:val="444448" w:themeColor="accent4"/>
              </w:rPr>
              <w:t>s</w:t>
            </w:r>
            <w:r w:rsidRPr="007E0597">
              <w:rPr>
                <w:color w:val="444448" w:themeColor="accent4"/>
              </w:rPr>
              <w:t xml:space="preserve"> an emergency pass system and also a policy surrounding lone working. Lone working in the laboratory environment is not allowed</w:t>
            </w:r>
            <w:r w:rsidR="008B0221" w:rsidRPr="007E0597">
              <w:rPr>
                <w:color w:val="444448" w:themeColor="accent4"/>
              </w:rPr>
              <w:t>,</w:t>
            </w:r>
            <w:r w:rsidRPr="007E0597">
              <w:rPr>
                <w:color w:val="444448" w:themeColor="accent4"/>
              </w:rPr>
              <w:t xml:space="preserve"> however </w:t>
            </w:r>
            <w:r w:rsidR="00E57AF9" w:rsidRPr="007E0597">
              <w:rPr>
                <w:color w:val="444448" w:themeColor="accent4"/>
              </w:rPr>
              <w:t xml:space="preserve">special access can be authorised for desk work. Staff </w:t>
            </w:r>
            <w:r w:rsidR="00A53C69" w:rsidRPr="007E0597">
              <w:rPr>
                <w:color w:val="444448" w:themeColor="accent4"/>
              </w:rPr>
              <w:t>are required</w:t>
            </w:r>
            <w:r w:rsidR="00E57AF9" w:rsidRPr="007E0597">
              <w:rPr>
                <w:color w:val="444448" w:themeColor="accent4"/>
              </w:rPr>
              <w:t xml:space="preserve"> to carry a lone work radio and alert the ANSTO Site Operations Centre.</w:t>
            </w:r>
          </w:p>
          <w:p w14:paraId="24A37BFD" w14:textId="0E7C56BC" w:rsidR="00A5453D" w:rsidRPr="007E0597" w:rsidRDefault="00A5453D" w:rsidP="000B6FEE">
            <w:pPr>
              <w:rPr>
                <w:color w:val="444448" w:themeColor="accent4"/>
              </w:rPr>
            </w:pPr>
            <w:r w:rsidRPr="007E0597">
              <w:rPr>
                <w:color w:val="444448" w:themeColor="accent4"/>
              </w:rPr>
              <w:t>Overall, the security measures in place at Camperdown are deemed to be appropriate.</w:t>
            </w:r>
            <w:r w:rsidR="00D51959" w:rsidRPr="007E0597">
              <w:rPr>
                <w:color w:val="444448" w:themeColor="accent4"/>
              </w:rPr>
              <w:t xml:space="preserve"> </w:t>
            </w:r>
          </w:p>
          <w:p w14:paraId="2ED869AF" w14:textId="11981875" w:rsidR="001C676A" w:rsidRDefault="007E0597" w:rsidP="001C676A">
            <w:pPr>
              <w:pStyle w:val="Heading2"/>
              <w:outlineLvl w:val="1"/>
            </w:pPr>
            <w:r>
              <w:t>Emergency preparedness and r</w:t>
            </w:r>
            <w:r w:rsidR="001C676A">
              <w:t>esponse</w:t>
            </w:r>
          </w:p>
          <w:p w14:paraId="3F5B3112" w14:textId="78FE0518" w:rsidR="001C676A" w:rsidRPr="007E0597" w:rsidRDefault="001B5E10" w:rsidP="001C676A">
            <w:pPr>
              <w:rPr>
                <w:color w:val="444448" w:themeColor="accent4"/>
              </w:rPr>
            </w:pPr>
            <w:r w:rsidRPr="007E0597">
              <w:rPr>
                <w:color w:val="444448" w:themeColor="accent4"/>
              </w:rPr>
              <w:t xml:space="preserve">ANSTO’s Camperdown facility is geographically disconnected </w:t>
            </w:r>
            <w:r w:rsidR="002F03D3" w:rsidRPr="007E0597">
              <w:rPr>
                <w:color w:val="444448" w:themeColor="accent4"/>
              </w:rPr>
              <w:t>from</w:t>
            </w:r>
            <w:r w:rsidRPr="007E0597">
              <w:rPr>
                <w:color w:val="444448" w:themeColor="accent4"/>
              </w:rPr>
              <w:t xml:space="preserve"> the main site at Lucas Heights. As such the ANSTO Emergency Response Team (ERT) has no real presence at Camperdown and the responsibilities fall on the Facility Manager and MSS Security Officer. Without the aid of the ERT, response to emergency situations is handled in communication with external emergency services such as local police and fire services.</w:t>
            </w:r>
          </w:p>
          <w:p w14:paraId="287658DB" w14:textId="04FFD650" w:rsidR="001B5E10" w:rsidRPr="007E0597" w:rsidRDefault="001B5E10" w:rsidP="001C676A">
            <w:pPr>
              <w:rPr>
                <w:color w:val="444448" w:themeColor="accent4"/>
              </w:rPr>
            </w:pPr>
            <w:r w:rsidRPr="007E0597">
              <w:rPr>
                <w:color w:val="444448" w:themeColor="accent4"/>
              </w:rPr>
              <w:t xml:space="preserve">Throughout the office areas there are facility maps showing fire exits, muster points, first aid boxes, fire extinguishers and emergency showers/eyewash stations are present. </w:t>
            </w:r>
            <w:r w:rsidR="0009025F" w:rsidRPr="007E0597">
              <w:rPr>
                <w:color w:val="444448" w:themeColor="accent4"/>
              </w:rPr>
              <w:t>However, t</w:t>
            </w:r>
            <w:r w:rsidRPr="007E0597">
              <w:rPr>
                <w:color w:val="444448" w:themeColor="accent4"/>
              </w:rPr>
              <w:t>hese maps are not present within the radiological areas of the facility. The maps also do not alert staff to the locations of spill kits. In the event of a spill, a specific radiological spill response document for Camperdown has not been developed. There is also no formalised audit process for restocking of spill kits.</w:t>
            </w:r>
          </w:p>
          <w:p w14:paraId="5F3B90D0" w14:textId="7D483AC9" w:rsidR="001B5E10" w:rsidRPr="007E0597" w:rsidRDefault="001B5E10" w:rsidP="001C676A">
            <w:pPr>
              <w:rPr>
                <w:color w:val="444448" w:themeColor="accent4"/>
              </w:rPr>
            </w:pPr>
            <w:r w:rsidRPr="007E0597">
              <w:rPr>
                <w:color w:val="444448" w:themeColor="accent4"/>
              </w:rPr>
              <w:t>The emergency procedure (P-4092) lists emergency</w:t>
            </w:r>
            <w:r w:rsidR="00D51959" w:rsidRPr="007E0597">
              <w:rPr>
                <w:color w:val="444448" w:themeColor="accent4"/>
              </w:rPr>
              <w:t xml:space="preserve"> </w:t>
            </w:r>
            <w:r w:rsidRPr="007E0597">
              <w:rPr>
                <w:color w:val="444448" w:themeColor="accent4"/>
              </w:rPr>
              <w:t>posters that have been p</w:t>
            </w:r>
            <w:r w:rsidR="006C0268" w:rsidRPr="007E0597">
              <w:rPr>
                <w:color w:val="444448" w:themeColor="accent4"/>
              </w:rPr>
              <w:t>laced around the building. They</w:t>
            </w:r>
            <w:r w:rsidRPr="007E0597">
              <w:rPr>
                <w:color w:val="444448" w:themeColor="accent4"/>
              </w:rPr>
              <w:t xml:space="preserve"> describe the immediate actions to be takin in the event of fire, radioactive contamination, a general accident requiring ambulance, electric shock, or a major chemical spill or release.</w:t>
            </w:r>
            <w:r w:rsidR="006C0268" w:rsidRPr="007E0597">
              <w:rPr>
                <w:color w:val="444448" w:themeColor="accent4"/>
              </w:rPr>
              <w:t xml:space="preserve"> On inspection, they</w:t>
            </w:r>
            <w:r w:rsidR="00597A3D" w:rsidRPr="007E0597">
              <w:rPr>
                <w:color w:val="444448" w:themeColor="accent4"/>
              </w:rPr>
              <w:t xml:space="preserve"> were not present within th</w:t>
            </w:r>
            <w:r w:rsidR="00FF654F" w:rsidRPr="007E0597">
              <w:rPr>
                <w:color w:val="444448" w:themeColor="accent4"/>
              </w:rPr>
              <w:t>e</w:t>
            </w:r>
            <w:r w:rsidR="00597A3D" w:rsidRPr="007E0597">
              <w:rPr>
                <w:color w:val="444448" w:themeColor="accent4"/>
              </w:rPr>
              <w:t xml:space="preserve"> facility and could not be produced</w:t>
            </w:r>
            <w:r w:rsidR="00FF654F" w:rsidRPr="007E0597">
              <w:rPr>
                <w:color w:val="444448" w:themeColor="accent4"/>
              </w:rPr>
              <w:t xml:space="preserve"> when requested</w:t>
            </w:r>
            <w:r w:rsidR="00597A3D" w:rsidRPr="007E0597">
              <w:rPr>
                <w:color w:val="444448" w:themeColor="accent4"/>
              </w:rPr>
              <w:t>.</w:t>
            </w:r>
          </w:p>
          <w:p w14:paraId="362D9114" w14:textId="03646637" w:rsidR="004713CB" w:rsidRPr="007E0597" w:rsidRDefault="004713CB" w:rsidP="004713CB">
            <w:pPr>
              <w:rPr>
                <w:color w:val="444448" w:themeColor="accent4"/>
              </w:rPr>
            </w:pPr>
            <w:r w:rsidRPr="007E0597">
              <w:rPr>
                <w:color w:val="444448" w:themeColor="accent4"/>
              </w:rPr>
              <w:t xml:space="preserve">Inspectors noted that there was inconsistency between Camperdown’s Operations Management Procedure (P-4000) and the Emergency Procedure (P-4092). </w:t>
            </w:r>
            <w:r w:rsidR="005F64B3" w:rsidRPr="007E0597">
              <w:rPr>
                <w:color w:val="444448" w:themeColor="accent4"/>
              </w:rPr>
              <w:t>The first indicates exercises are to be performed every 12 months whil</w:t>
            </w:r>
            <w:r w:rsidR="00FF654F" w:rsidRPr="007E0597">
              <w:rPr>
                <w:color w:val="444448" w:themeColor="accent4"/>
              </w:rPr>
              <w:t>e</w:t>
            </w:r>
            <w:r w:rsidR="00877D67" w:rsidRPr="007E0597">
              <w:rPr>
                <w:color w:val="444448" w:themeColor="accent4"/>
              </w:rPr>
              <w:t xml:space="preserve"> </w:t>
            </w:r>
            <w:r w:rsidR="005F64B3" w:rsidRPr="007E0597">
              <w:rPr>
                <w:color w:val="444448" w:themeColor="accent4"/>
              </w:rPr>
              <w:t>the latter increases the frequency to biannual. It was then indicated to inspectors that exercises are conducted annually.</w:t>
            </w:r>
            <w:r w:rsidR="00C90045" w:rsidRPr="007E0597">
              <w:rPr>
                <w:color w:val="444448" w:themeColor="accent4"/>
              </w:rPr>
              <w:t xml:space="preserve"> Communication of lessons learnt from exercises between Lucas Heights and Camperdown was found </w:t>
            </w:r>
            <w:r w:rsidR="00FF654F" w:rsidRPr="007E0597">
              <w:rPr>
                <w:color w:val="444448" w:themeColor="accent4"/>
              </w:rPr>
              <w:t xml:space="preserve">to </w:t>
            </w:r>
            <w:r w:rsidR="00C90045" w:rsidRPr="007E0597">
              <w:rPr>
                <w:color w:val="444448" w:themeColor="accent4"/>
              </w:rPr>
              <w:t xml:space="preserve">not </w:t>
            </w:r>
            <w:r w:rsidR="0009025F" w:rsidRPr="007E0597">
              <w:rPr>
                <w:color w:val="444448" w:themeColor="accent4"/>
              </w:rPr>
              <w:t xml:space="preserve">be </w:t>
            </w:r>
            <w:r w:rsidR="00C90045" w:rsidRPr="007E0597">
              <w:rPr>
                <w:color w:val="444448" w:themeColor="accent4"/>
              </w:rPr>
              <w:t>effective and therefore their relevance to Camperdown is unknown.</w:t>
            </w:r>
          </w:p>
          <w:p w14:paraId="22B21B76" w14:textId="03059558" w:rsidR="0035687D" w:rsidRPr="00AF4FF3" w:rsidRDefault="0035687D" w:rsidP="0035687D">
            <w:pPr>
              <w:pStyle w:val="Heading1"/>
              <w:outlineLvl w:val="0"/>
            </w:pPr>
            <w:r w:rsidRPr="00AF4FF3">
              <w:lastRenderedPageBreak/>
              <w:t>Findings</w:t>
            </w:r>
            <w:r w:rsidR="0009025F">
              <w:t xml:space="preserve"> </w:t>
            </w:r>
          </w:p>
          <w:p w14:paraId="5D4CB6E6" w14:textId="77777777" w:rsidR="0035687D" w:rsidRPr="007E0597" w:rsidRDefault="0035687D" w:rsidP="0035687D">
            <w:pPr>
              <w:pStyle w:val="Heading3list"/>
              <w:spacing w:line="240" w:lineRule="auto"/>
              <w:rPr>
                <w:rFonts w:asciiTheme="minorHAnsi" w:hAnsiTheme="minorHAnsi"/>
                <w:b w:val="0"/>
                <w:color w:val="444448" w:themeColor="accent4"/>
                <w:sz w:val="22"/>
                <w:szCs w:val="22"/>
              </w:rPr>
            </w:pPr>
            <w:r w:rsidRPr="007E0597">
              <w:rPr>
                <w:rFonts w:asciiTheme="minorHAnsi" w:hAnsiTheme="minorHAnsi"/>
                <w:b w:val="0"/>
                <w:color w:val="444448" w:themeColor="accent4"/>
                <w:sz w:val="22"/>
                <w:szCs w:val="22"/>
              </w:rPr>
              <w:t xml:space="preserve">The inspection revealed the following </w:t>
            </w:r>
            <w:r w:rsidRPr="007E0597">
              <w:rPr>
                <w:rFonts w:asciiTheme="minorHAnsi" w:hAnsiTheme="minorHAnsi"/>
                <w:color w:val="444448" w:themeColor="accent4"/>
                <w:sz w:val="22"/>
                <w:szCs w:val="22"/>
              </w:rPr>
              <w:t>potential non-compliance/s:</w:t>
            </w:r>
          </w:p>
          <w:p w14:paraId="631189D7" w14:textId="174A264E" w:rsidR="00B76590" w:rsidRPr="007E0597" w:rsidRDefault="00B53D29" w:rsidP="007E0597">
            <w:pPr>
              <w:pStyle w:val="Footer"/>
              <w:numPr>
                <w:ilvl w:val="0"/>
                <w:numId w:val="20"/>
              </w:numPr>
              <w:spacing w:line="276" w:lineRule="auto"/>
              <w:rPr>
                <w:color w:val="444448" w:themeColor="accent4"/>
              </w:rPr>
            </w:pPr>
            <w:r w:rsidRPr="007E0597">
              <w:rPr>
                <w:color w:val="444448" w:themeColor="accent4"/>
              </w:rPr>
              <w:t xml:space="preserve">Regulation 50 of the </w:t>
            </w:r>
            <w:r w:rsidR="00A010D8" w:rsidRPr="007E0597">
              <w:rPr>
                <w:color w:val="444448" w:themeColor="accent4"/>
              </w:rPr>
              <w:t>R</w:t>
            </w:r>
            <w:r w:rsidRPr="007E0597">
              <w:rPr>
                <w:color w:val="444448" w:themeColor="accent4"/>
              </w:rPr>
              <w:t>egulations in force at the time of the inspection</w:t>
            </w:r>
            <w:r w:rsidR="00A010D8" w:rsidRPr="007E0597">
              <w:rPr>
                <w:color w:val="444448" w:themeColor="accent4"/>
              </w:rPr>
              <w:t xml:space="preserve"> (now section 61 of the Regulations 2018</w:t>
            </w:r>
            <w:r w:rsidR="005D5B90" w:rsidRPr="007E0597">
              <w:rPr>
                <w:color w:val="444448" w:themeColor="accent4"/>
              </w:rPr>
              <w:t>)</w:t>
            </w:r>
            <w:r w:rsidR="00B76590" w:rsidRPr="007E0597">
              <w:rPr>
                <w:color w:val="444448" w:themeColor="accent4"/>
              </w:rPr>
              <w:t xml:space="preserve">– </w:t>
            </w:r>
            <w:r w:rsidR="00B76590" w:rsidRPr="007E0597">
              <w:rPr>
                <w:color w:val="444448" w:themeColor="accent4"/>
                <w:shd w:val="clear" w:color="auto" w:fill="FFFFFF"/>
              </w:rPr>
              <w:t xml:space="preserve">The holder of a licence must, at least once every 3 years, review and update the plans and arrangements mentioned in </w:t>
            </w:r>
            <w:r w:rsidR="00A010D8" w:rsidRPr="007E0597">
              <w:rPr>
                <w:color w:val="444448" w:themeColor="accent4"/>
                <w:shd w:val="clear" w:color="auto" w:fill="FFFFFF"/>
              </w:rPr>
              <w:t>regulation 49</w:t>
            </w:r>
            <w:r w:rsidR="001E0AD5" w:rsidRPr="007E0597">
              <w:rPr>
                <w:color w:val="444448" w:themeColor="accent4"/>
                <w:shd w:val="clear" w:color="auto" w:fill="FFFFFF"/>
              </w:rPr>
              <w:t xml:space="preserve"> (now section 60 of the Regulations 2018)</w:t>
            </w:r>
            <w:r w:rsidR="00B76590" w:rsidRPr="007E0597">
              <w:rPr>
                <w:color w:val="444448" w:themeColor="accent4"/>
                <w:shd w:val="clear" w:color="auto" w:fill="FFFFFF"/>
              </w:rPr>
              <w:t xml:space="preserve"> in relation to the licence. A</w:t>
            </w:r>
            <w:r w:rsidR="00B76590" w:rsidRPr="007E0597">
              <w:rPr>
                <w:color w:val="444448" w:themeColor="accent4"/>
              </w:rPr>
              <w:t xml:space="preserve">ll of these documents have fallen outside of the </w:t>
            </w:r>
            <w:proofErr w:type="gramStart"/>
            <w:r w:rsidR="00B76590" w:rsidRPr="007E0597">
              <w:rPr>
                <w:color w:val="444448" w:themeColor="accent4"/>
              </w:rPr>
              <w:t>3 year</w:t>
            </w:r>
            <w:proofErr w:type="gramEnd"/>
            <w:r w:rsidR="00B76590" w:rsidRPr="007E0597">
              <w:rPr>
                <w:color w:val="444448" w:themeColor="accent4"/>
              </w:rPr>
              <w:t xml:space="preserve"> period.</w:t>
            </w:r>
          </w:p>
          <w:p w14:paraId="32E1F9B6" w14:textId="0447CC3F" w:rsidR="00B76590" w:rsidRPr="007E0597" w:rsidRDefault="0037104D" w:rsidP="007E0597">
            <w:pPr>
              <w:pStyle w:val="Footer"/>
              <w:numPr>
                <w:ilvl w:val="0"/>
                <w:numId w:val="20"/>
              </w:numPr>
              <w:spacing w:line="276" w:lineRule="auto"/>
              <w:rPr>
                <w:color w:val="444448" w:themeColor="accent4"/>
              </w:rPr>
            </w:pPr>
            <w:r w:rsidRPr="007E0597">
              <w:rPr>
                <w:color w:val="444448" w:themeColor="accent4"/>
              </w:rPr>
              <w:t>Regulation 51 of the Regulations in force at the time of the inspection (now s</w:t>
            </w:r>
            <w:r w:rsidR="00B76590" w:rsidRPr="007E0597">
              <w:rPr>
                <w:color w:val="444448" w:themeColor="accent4"/>
              </w:rPr>
              <w:t>ection 63 of the Regulation</w:t>
            </w:r>
            <w:r w:rsidR="00D51959" w:rsidRPr="007E0597">
              <w:rPr>
                <w:color w:val="444448" w:themeColor="accent4"/>
              </w:rPr>
              <w:t>s</w:t>
            </w:r>
            <w:r w:rsidR="00B76590" w:rsidRPr="007E0597">
              <w:rPr>
                <w:color w:val="444448" w:themeColor="accent4"/>
              </w:rPr>
              <w:t xml:space="preserve"> 2018</w:t>
            </w:r>
            <w:r w:rsidRPr="007E0597">
              <w:rPr>
                <w:color w:val="444448" w:themeColor="accent4"/>
              </w:rPr>
              <w:t xml:space="preserve">) </w:t>
            </w:r>
            <w:r w:rsidR="00B76590" w:rsidRPr="007E0597">
              <w:rPr>
                <w:color w:val="444448" w:themeColor="accent4"/>
              </w:rPr>
              <w:t xml:space="preserve">– the holder of a licence must obtain the prior approval of the CEO if a change will have significant implications for safety. The statutory extremity dose limit is a </w:t>
            </w:r>
            <w:proofErr w:type="gramStart"/>
            <w:r w:rsidR="00B76590" w:rsidRPr="007E0597">
              <w:rPr>
                <w:color w:val="444448" w:themeColor="accent4"/>
              </w:rPr>
              <w:t>threshold which</w:t>
            </w:r>
            <w:proofErr w:type="gramEnd"/>
            <w:r w:rsidR="00B76590" w:rsidRPr="007E0597">
              <w:rPr>
                <w:color w:val="444448" w:themeColor="accent4"/>
              </w:rPr>
              <w:t xml:space="preserve"> triggers this section. The conduct inside the aforementioned fume cupboard was risked assessed to exceed this and was not submitted for approval prior to implementation.</w:t>
            </w:r>
          </w:p>
          <w:p w14:paraId="22359795" w14:textId="77777777" w:rsidR="0035687D" w:rsidRPr="007E0597" w:rsidRDefault="0035687D" w:rsidP="0035687D">
            <w:pPr>
              <w:rPr>
                <w:b/>
                <w:color w:val="444448" w:themeColor="accent4"/>
              </w:rPr>
            </w:pPr>
            <w:r w:rsidRPr="007E0597">
              <w:rPr>
                <w:color w:val="444448" w:themeColor="accent4"/>
              </w:rPr>
              <w:t xml:space="preserve">The inspection revealed the following </w:t>
            </w:r>
            <w:r w:rsidRPr="007E0597">
              <w:rPr>
                <w:b/>
                <w:color w:val="444448" w:themeColor="accent4"/>
              </w:rPr>
              <w:t>areas for improvement</w:t>
            </w:r>
            <w:r w:rsidRPr="007E0597">
              <w:rPr>
                <w:color w:val="444448" w:themeColor="accent4"/>
              </w:rPr>
              <w:t>:</w:t>
            </w:r>
            <w:r w:rsidRPr="007E0597">
              <w:rPr>
                <w:color w:val="444448" w:themeColor="accent4"/>
              </w:rPr>
              <w:br/>
            </w:r>
          </w:p>
          <w:p w14:paraId="7D04E825" w14:textId="166BE575" w:rsidR="0035687D" w:rsidRPr="007E0597" w:rsidRDefault="00B76590" w:rsidP="007E0597">
            <w:pPr>
              <w:pStyle w:val="Footer"/>
              <w:numPr>
                <w:ilvl w:val="0"/>
                <w:numId w:val="19"/>
              </w:numPr>
              <w:spacing w:line="276" w:lineRule="auto"/>
              <w:rPr>
                <w:color w:val="444448" w:themeColor="accent4"/>
              </w:rPr>
            </w:pPr>
            <w:r w:rsidRPr="007E0597">
              <w:rPr>
                <w:color w:val="444448" w:themeColor="accent4"/>
              </w:rPr>
              <w:t>Review and update the Safety Analysis Report</w:t>
            </w:r>
            <w:r w:rsidR="00C96841" w:rsidRPr="007E0597">
              <w:rPr>
                <w:color w:val="444448" w:themeColor="accent4"/>
              </w:rPr>
              <w:t xml:space="preserve"> to reflect the </w:t>
            </w:r>
            <w:proofErr w:type="gramStart"/>
            <w:r w:rsidR="00C96841" w:rsidRPr="007E0597">
              <w:rPr>
                <w:color w:val="444448" w:themeColor="accent4"/>
              </w:rPr>
              <w:t>current status</w:t>
            </w:r>
            <w:proofErr w:type="gramEnd"/>
            <w:r w:rsidR="00C96841" w:rsidRPr="007E0597">
              <w:rPr>
                <w:color w:val="444448" w:themeColor="accent4"/>
              </w:rPr>
              <w:t xml:space="preserve"> of the facility</w:t>
            </w:r>
            <w:r w:rsidR="008B0221" w:rsidRPr="007E0597">
              <w:rPr>
                <w:color w:val="444448" w:themeColor="accent4"/>
              </w:rPr>
              <w:t>.</w:t>
            </w:r>
          </w:p>
          <w:p w14:paraId="404ADC69" w14:textId="31CFE0E0" w:rsidR="00B76590" w:rsidRPr="007E0597" w:rsidRDefault="00D1371A" w:rsidP="007E0597">
            <w:pPr>
              <w:pStyle w:val="Footer"/>
              <w:numPr>
                <w:ilvl w:val="0"/>
                <w:numId w:val="19"/>
              </w:numPr>
              <w:spacing w:line="276" w:lineRule="auto"/>
              <w:rPr>
                <w:color w:val="444448" w:themeColor="accent4"/>
              </w:rPr>
            </w:pPr>
            <w:r w:rsidRPr="007E0597">
              <w:rPr>
                <w:color w:val="444448" w:themeColor="accent4"/>
              </w:rPr>
              <w:t>Change management arrangements not adequately addressed</w:t>
            </w:r>
            <w:r w:rsidR="008B0221" w:rsidRPr="007E0597">
              <w:rPr>
                <w:color w:val="444448" w:themeColor="accent4"/>
              </w:rPr>
              <w:t>.</w:t>
            </w:r>
          </w:p>
          <w:p w14:paraId="12F6837C" w14:textId="51535057" w:rsidR="00D1371A" w:rsidRPr="007E0597" w:rsidRDefault="00D1371A" w:rsidP="007E0597">
            <w:pPr>
              <w:pStyle w:val="Footer"/>
              <w:numPr>
                <w:ilvl w:val="0"/>
                <w:numId w:val="19"/>
              </w:numPr>
              <w:spacing w:line="276" w:lineRule="auto"/>
              <w:rPr>
                <w:color w:val="444448" w:themeColor="accent4"/>
              </w:rPr>
            </w:pPr>
            <w:r w:rsidRPr="007E0597">
              <w:rPr>
                <w:color w:val="444448" w:themeColor="accent4"/>
              </w:rPr>
              <w:t xml:space="preserve">Authorisation of trained workers is </w:t>
            </w:r>
            <w:proofErr w:type="gramStart"/>
            <w:r w:rsidRPr="007E0597">
              <w:rPr>
                <w:color w:val="444448" w:themeColor="accent4"/>
              </w:rPr>
              <w:t>not independent</w:t>
            </w:r>
            <w:proofErr w:type="gramEnd"/>
            <w:r w:rsidR="008B0221" w:rsidRPr="007E0597">
              <w:rPr>
                <w:color w:val="444448" w:themeColor="accent4"/>
              </w:rPr>
              <w:t>.</w:t>
            </w:r>
          </w:p>
          <w:p w14:paraId="161EEFA3" w14:textId="07F4F72D" w:rsidR="00D1371A" w:rsidRPr="007E0597" w:rsidRDefault="00D1371A" w:rsidP="007E0597">
            <w:pPr>
              <w:pStyle w:val="Footer"/>
              <w:numPr>
                <w:ilvl w:val="0"/>
                <w:numId w:val="19"/>
              </w:numPr>
              <w:spacing w:line="276" w:lineRule="auto"/>
              <w:rPr>
                <w:color w:val="444448" w:themeColor="accent4"/>
              </w:rPr>
            </w:pPr>
            <w:r w:rsidRPr="007E0597">
              <w:rPr>
                <w:color w:val="444448" w:themeColor="accent4"/>
              </w:rPr>
              <w:t>Review and update of emergency arrangements</w:t>
            </w:r>
            <w:r w:rsidR="00C96841" w:rsidRPr="007E0597">
              <w:rPr>
                <w:color w:val="444448" w:themeColor="accent4"/>
              </w:rPr>
              <w:t>, inclusive of response documentation and spill kit arrangements</w:t>
            </w:r>
            <w:r w:rsidR="008B0221" w:rsidRPr="007E0597">
              <w:rPr>
                <w:color w:val="444448" w:themeColor="accent4"/>
              </w:rPr>
              <w:t>.</w:t>
            </w:r>
          </w:p>
          <w:p w14:paraId="3BDBED8C" w14:textId="54B95864" w:rsidR="0035687D" w:rsidRPr="007E0597" w:rsidRDefault="0035687D" w:rsidP="0035687D">
            <w:pPr>
              <w:rPr>
                <w:color w:val="444448" w:themeColor="accent4"/>
              </w:rPr>
            </w:pPr>
            <w:r w:rsidRPr="007E0597">
              <w:rPr>
                <w:color w:val="444448" w:themeColor="accent4"/>
              </w:rPr>
              <w:t xml:space="preserve">It </w:t>
            </w:r>
            <w:proofErr w:type="gramStart"/>
            <w:r w:rsidRPr="007E0597">
              <w:rPr>
                <w:color w:val="444448" w:themeColor="accent4"/>
              </w:rPr>
              <w:t>is expected</w:t>
            </w:r>
            <w:proofErr w:type="gramEnd"/>
            <w:r w:rsidRPr="007E0597">
              <w:rPr>
                <w:color w:val="444448" w:themeColor="accent4"/>
              </w:rPr>
              <w:t xml:space="preserve"> that improvement actions </w:t>
            </w:r>
            <w:r w:rsidR="0009025F" w:rsidRPr="007E0597">
              <w:rPr>
                <w:color w:val="444448" w:themeColor="accent4"/>
              </w:rPr>
              <w:t xml:space="preserve">will </w:t>
            </w:r>
            <w:r w:rsidRPr="007E0597">
              <w:rPr>
                <w:color w:val="444448" w:themeColor="accent4"/>
              </w:rPr>
              <w:t>be taken in a timely manner.</w:t>
            </w:r>
          </w:p>
          <w:p w14:paraId="7F34E993" w14:textId="77777777" w:rsidR="0035687D" w:rsidRPr="0035687D" w:rsidRDefault="0035687D" w:rsidP="00D1371A">
            <w:pPr>
              <w:pStyle w:val="Footer"/>
              <w:spacing w:line="276" w:lineRule="auto"/>
              <w:ind w:left="1440"/>
            </w:pPr>
          </w:p>
        </w:tc>
      </w:tr>
    </w:tbl>
    <w:p w14:paraId="2A3D1F96" w14:textId="77777777" w:rsidR="00DD3824" w:rsidRDefault="00DD3824" w:rsidP="0035687D">
      <w:pPr>
        <w:spacing w:before="0"/>
        <w:ind w:left="-567" w:right="-341"/>
        <w:jc w:val="center"/>
        <w:rPr>
          <w:rFonts w:cs="Arial"/>
          <w:i/>
          <w:color w:val="4E1A74"/>
          <w:sz w:val="18"/>
          <w:szCs w:val="18"/>
        </w:rPr>
      </w:pPr>
    </w:p>
    <w:p w14:paraId="45105CD1" w14:textId="34841662" w:rsidR="0035687D" w:rsidRPr="00DD3824" w:rsidRDefault="0035687D" w:rsidP="0035687D">
      <w:pPr>
        <w:spacing w:before="0"/>
        <w:ind w:left="-567" w:right="-341"/>
        <w:jc w:val="center"/>
        <w:rPr>
          <w:rFonts w:cs="Arial"/>
          <w:i/>
          <w:color w:val="4E1A74"/>
          <w:sz w:val="18"/>
          <w:szCs w:val="18"/>
        </w:rPr>
      </w:pPr>
      <w:r w:rsidRPr="00DD3824">
        <w:rPr>
          <w:rFonts w:cs="Arial"/>
          <w:i/>
          <w:color w:val="4E1A74"/>
          <w:sz w:val="18"/>
          <w:szCs w:val="18"/>
        </w:rPr>
        <w:t xml:space="preserve">In response to any potential non-compliance, the licence holder must carry out its responsibilities under </w:t>
      </w:r>
      <w:r w:rsidR="00DD3824">
        <w:rPr>
          <w:rFonts w:cs="Arial"/>
          <w:i/>
          <w:color w:val="4E1A74"/>
          <w:sz w:val="18"/>
          <w:szCs w:val="18"/>
        </w:rPr>
        <w:t>section</w:t>
      </w:r>
      <w:r w:rsidRPr="00DD3824">
        <w:rPr>
          <w:rFonts w:cs="Arial"/>
          <w:i/>
          <w:color w:val="4E1A74"/>
          <w:sz w:val="18"/>
          <w:szCs w:val="18"/>
        </w:rPr>
        <w:t xml:space="preserve"> </w:t>
      </w:r>
      <w:r w:rsidR="00C07670">
        <w:rPr>
          <w:rFonts w:cs="Arial"/>
          <w:i/>
          <w:color w:val="4E1A74"/>
          <w:sz w:val="18"/>
          <w:szCs w:val="18"/>
        </w:rPr>
        <w:t>57</w:t>
      </w:r>
      <w:r w:rsidR="00DD3824">
        <w:rPr>
          <w:rFonts w:cs="Arial"/>
          <w:i/>
          <w:color w:val="4E1A74"/>
          <w:sz w:val="18"/>
          <w:szCs w:val="18"/>
        </w:rPr>
        <w:t xml:space="preserve"> of the Regulations 2018</w:t>
      </w:r>
    </w:p>
    <w:p w14:paraId="1FC58795" w14:textId="77777777" w:rsidR="0035687D" w:rsidRPr="00DD3824" w:rsidRDefault="0035687D" w:rsidP="0035687D">
      <w:pPr>
        <w:spacing w:before="0"/>
        <w:ind w:left="-709" w:right="-766"/>
        <w:jc w:val="center"/>
        <w:rPr>
          <w:rStyle w:val="Emphasis"/>
          <w:rFonts w:cs="Arial"/>
          <w:bCs/>
          <w:color w:val="4E1A74"/>
          <w:sz w:val="18"/>
          <w:szCs w:val="18"/>
        </w:rPr>
      </w:pPr>
      <w:r w:rsidRPr="00DD3824">
        <w:rPr>
          <w:rStyle w:val="Emphasis"/>
          <w:rFonts w:cs="Arial"/>
          <w:bCs/>
          <w:color w:val="4E1A74"/>
          <w:sz w:val="18"/>
          <w:szCs w:val="18"/>
        </w:rPr>
        <w:t>This report will be published on the ARPANSA website</w:t>
      </w:r>
    </w:p>
    <w:p w14:paraId="51C2A6B4" w14:textId="77777777" w:rsidR="0035687D" w:rsidRDefault="0035687D" w:rsidP="0035687D"/>
    <w:sectPr w:rsidR="0035687D" w:rsidSect="002356D6">
      <w:headerReference w:type="default" r:id="rId8"/>
      <w:footerReference w:type="default" r:id="rId9"/>
      <w:headerReference w:type="first" r:id="rId10"/>
      <w:footerReference w:type="first" r:id="rId11"/>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97F23" w14:textId="77777777" w:rsidR="001903E9" w:rsidRDefault="001903E9" w:rsidP="00037687">
      <w:r>
        <w:separator/>
      </w:r>
    </w:p>
  </w:endnote>
  <w:endnote w:type="continuationSeparator" w:id="0">
    <w:p w14:paraId="2B768834" w14:textId="77777777" w:rsidR="001903E9" w:rsidRDefault="001903E9"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A3CDA" w14:textId="4B445897" w:rsidR="00D770E7" w:rsidRPr="00FF6AB9" w:rsidRDefault="00D770E7" w:rsidP="007D153D">
    <w:pPr>
      <w:pStyle w:val="Footer"/>
      <w:tabs>
        <w:tab w:val="clear" w:pos="4513"/>
        <w:tab w:val="clear" w:pos="9026"/>
        <w:tab w:val="center" w:pos="4820"/>
        <w:tab w:val="right" w:pos="9639"/>
      </w:tabs>
      <w:spacing w:before="120" w:line="264" w:lineRule="auto"/>
      <w:rPr>
        <w:sz w:val="18"/>
      </w:rPr>
    </w:pPr>
    <w:r w:rsidRPr="00FF6AB9">
      <w:rPr>
        <w:noProof/>
        <w:sz w:val="18"/>
        <w:lang w:eastAsia="en-AU"/>
      </w:rPr>
      <w:drawing>
        <wp:anchor distT="0" distB="0" distL="114300" distR="114300" simplePos="0" relativeHeight="251663360" behindDoc="0" locked="0" layoutInCell="1" allowOverlap="1" wp14:anchorId="1B2F5028" wp14:editId="0122C9E1">
          <wp:simplePos x="0" y="0"/>
          <wp:positionH relativeFrom="column">
            <wp:posOffset>0</wp:posOffset>
          </wp:positionH>
          <wp:positionV relativeFrom="paragraph">
            <wp:posOffset>175895</wp:posOffset>
          </wp:positionV>
          <wp:extent cx="6120000" cy="54000"/>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FF6AB9">
      <w:rPr>
        <w:sz w:val="18"/>
      </w:rPr>
      <w:t>Document title</w:t>
    </w:r>
    <w:r w:rsidRPr="00FF6AB9">
      <w:rPr>
        <w:sz w:val="18"/>
      </w:rPr>
      <w:tab/>
    </w:r>
    <w:r w:rsidR="000257F5">
      <w:rPr>
        <w:sz w:val="18"/>
      </w:rPr>
      <w:t>April 2018</w:t>
    </w:r>
    <w:r w:rsidRPr="00FF6AB9">
      <w:rPr>
        <w:sz w:val="18"/>
      </w:rPr>
      <w:tab/>
    </w:r>
    <w:r w:rsidRPr="00FF6AB9">
      <w:rPr>
        <w:sz w:val="18"/>
      </w:rPr>
      <w:fldChar w:fldCharType="begin"/>
    </w:r>
    <w:r w:rsidRPr="00FF6AB9">
      <w:rPr>
        <w:sz w:val="18"/>
      </w:rPr>
      <w:instrText xml:space="preserve"> PAGE  \* Arabic  \* MERGEFORMAT </w:instrText>
    </w:r>
    <w:r w:rsidRPr="00FF6AB9">
      <w:rPr>
        <w:sz w:val="18"/>
      </w:rPr>
      <w:fldChar w:fldCharType="separate"/>
    </w:r>
    <w:r w:rsidR="007E0597">
      <w:rPr>
        <w:noProof/>
        <w:sz w:val="18"/>
      </w:rPr>
      <w:t>6</w:t>
    </w:r>
    <w:r w:rsidRPr="00FF6AB9">
      <w:rPr>
        <w:sz w:val="18"/>
      </w:rPr>
      <w:fldChar w:fldCharType="end"/>
    </w:r>
    <w:r w:rsidRPr="00FF6AB9">
      <w:rPr>
        <w:sz w:val="18"/>
      </w:rPr>
      <w:t xml:space="preserve"> of </w:t>
    </w:r>
    <w:r w:rsidRPr="00FF6AB9">
      <w:rPr>
        <w:sz w:val="18"/>
      </w:rPr>
      <w:fldChar w:fldCharType="begin"/>
    </w:r>
    <w:r w:rsidRPr="00FF6AB9">
      <w:rPr>
        <w:sz w:val="18"/>
      </w:rPr>
      <w:instrText xml:space="preserve"> NUMPAGES  \* Arabic  \* MERGEFORMAT </w:instrText>
    </w:r>
    <w:r w:rsidRPr="00FF6AB9">
      <w:rPr>
        <w:sz w:val="18"/>
      </w:rPr>
      <w:fldChar w:fldCharType="separate"/>
    </w:r>
    <w:r w:rsidR="007E0597">
      <w:rPr>
        <w:noProof/>
        <w:sz w:val="18"/>
      </w:rPr>
      <w:t>6</w:t>
    </w:r>
    <w:r w:rsidRPr="00FF6AB9">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BFA52" w14:textId="619F5577" w:rsidR="0041148A" w:rsidRDefault="0041148A" w:rsidP="0041148A">
    <w:pPr>
      <w:tabs>
        <w:tab w:val="left" w:pos="4253"/>
        <w:tab w:val="right" w:pos="9639"/>
      </w:tabs>
      <w:spacing w:before="120" w:line="240" w:lineRule="auto"/>
      <w:rPr>
        <w:sz w:val="16"/>
      </w:rPr>
    </w:pPr>
    <w:r>
      <w:rPr>
        <w:sz w:val="16"/>
      </w:rPr>
      <w:t>REG-INS-FORM-280M</w:t>
    </w:r>
    <w:r w:rsidR="00962950">
      <w:rPr>
        <w:sz w:val="16"/>
      </w:rPr>
      <w:t>-v9.1</w:t>
    </w:r>
    <w:r w:rsidR="00962950">
      <w:rPr>
        <w:sz w:val="16"/>
      </w:rPr>
      <w:tab/>
    </w:r>
    <w:r w:rsidR="00DE4D18">
      <w:rPr>
        <w:sz w:val="16"/>
      </w:rPr>
      <w:t>April</w:t>
    </w:r>
    <w:r>
      <w:rPr>
        <w:sz w:val="16"/>
      </w:rPr>
      <w:t xml:space="preserve"> 2018</w:t>
    </w:r>
    <w:r>
      <w:rPr>
        <w:sz w:val="16"/>
      </w:rPr>
      <w:tab/>
    </w:r>
    <w:r w:rsidRPr="008243FE">
      <w:rPr>
        <w:bCs/>
        <w:sz w:val="16"/>
      </w:rPr>
      <w:fldChar w:fldCharType="begin"/>
    </w:r>
    <w:r w:rsidRPr="008243FE">
      <w:rPr>
        <w:bCs/>
        <w:sz w:val="16"/>
      </w:rPr>
      <w:instrText xml:space="preserve"> PAGE  \* Arabic  \* MERGEFORMAT </w:instrText>
    </w:r>
    <w:r w:rsidRPr="008243FE">
      <w:rPr>
        <w:bCs/>
        <w:sz w:val="16"/>
      </w:rPr>
      <w:fldChar w:fldCharType="separate"/>
    </w:r>
    <w:r w:rsidR="007E0597">
      <w:rPr>
        <w:bCs/>
        <w:noProof/>
        <w:sz w:val="16"/>
      </w:rPr>
      <w:t>1</w:t>
    </w:r>
    <w:r w:rsidRPr="008243FE">
      <w:rPr>
        <w:bCs/>
        <w:sz w:val="16"/>
      </w:rPr>
      <w:fldChar w:fldCharType="end"/>
    </w:r>
    <w:r w:rsidRPr="0067700D">
      <w:rPr>
        <w:sz w:val="16"/>
      </w:rPr>
      <w:t xml:space="preserve"> of </w:t>
    </w:r>
    <w:r w:rsidRPr="008243FE">
      <w:rPr>
        <w:bCs/>
        <w:sz w:val="16"/>
      </w:rPr>
      <w:fldChar w:fldCharType="begin"/>
    </w:r>
    <w:r w:rsidRPr="008243FE">
      <w:rPr>
        <w:bCs/>
        <w:sz w:val="16"/>
      </w:rPr>
      <w:instrText xml:space="preserve"> NUMPAGES  \* Arabic  \* MERGEFORMAT </w:instrText>
    </w:r>
    <w:r w:rsidRPr="008243FE">
      <w:rPr>
        <w:bCs/>
        <w:sz w:val="16"/>
      </w:rPr>
      <w:fldChar w:fldCharType="separate"/>
    </w:r>
    <w:r w:rsidR="007E0597">
      <w:rPr>
        <w:bCs/>
        <w:noProof/>
        <w:sz w:val="16"/>
      </w:rPr>
      <w:t>6</w:t>
    </w:r>
    <w:r w:rsidRPr="008243FE">
      <w:rPr>
        <w:bCs/>
        <w:sz w:val="16"/>
      </w:rPr>
      <w:fldChar w:fldCharType="end"/>
    </w:r>
  </w:p>
  <w:p w14:paraId="5FBF0C08" w14:textId="77777777" w:rsidR="00037687" w:rsidRPr="002356D6" w:rsidRDefault="00751131" w:rsidP="007D153D">
    <w:pPr>
      <w:tabs>
        <w:tab w:val="left" w:pos="4253"/>
        <w:tab w:val="right" w:pos="9639"/>
      </w:tabs>
      <w:spacing w:before="120"/>
      <w:rPr>
        <w:sz w:val="16"/>
      </w:rPr>
    </w:pPr>
    <w:r w:rsidRPr="002356D6">
      <w:rPr>
        <w:noProof/>
        <w:sz w:val="16"/>
        <w:lang w:eastAsia="en-AU"/>
      </w:rPr>
      <w:drawing>
        <wp:anchor distT="0" distB="0" distL="114300" distR="114300" simplePos="0" relativeHeight="251661312" behindDoc="0" locked="0" layoutInCell="1" allowOverlap="1" wp14:anchorId="5D5F866E" wp14:editId="34B51243">
          <wp:simplePos x="0" y="0"/>
          <wp:positionH relativeFrom="column">
            <wp:posOffset>0</wp:posOffset>
          </wp:positionH>
          <wp:positionV relativeFrom="paragraph">
            <wp:posOffset>161290</wp:posOffset>
          </wp:positionV>
          <wp:extent cx="6120000" cy="54000"/>
          <wp:effectExtent l="0" t="0" r="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2356D6" w:rsidRPr="002356D6">
      <w:rPr>
        <w:sz w:val="16"/>
      </w:rPr>
      <w:t>619 Lower Plenty Road, Yallambie VIC 3085</w:t>
    </w:r>
    <w:r w:rsidR="002356D6" w:rsidRPr="002356D6">
      <w:rPr>
        <w:sz w:val="16"/>
      </w:rPr>
      <w:tab/>
      <w:t>38–40 Urunga Parade, Miranda NSW 2228</w:t>
    </w:r>
    <w:r w:rsidR="002356D6" w:rsidRPr="002356D6">
      <w:rPr>
        <w:sz w:val="16"/>
      </w:rPr>
      <w:tab/>
      <w:t>info@arpansa.gov.au</w:t>
    </w:r>
    <w:r w:rsidR="002356D6" w:rsidRPr="002356D6">
      <w:rPr>
        <w:sz w:val="16"/>
      </w:rPr>
      <w:br/>
      <w:t>+61 3 94</w:t>
    </w:r>
    <w:r w:rsidR="00370113">
      <w:rPr>
        <w:sz w:val="16"/>
      </w:rPr>
      <w:t>33 2211</w:t>
    </w:r>
    <w:r w:rsidR="00370113">
      <w:rPr>
        <w:sz w:val="16"/>
      </w:rPr>
      <w:tab/>
      <w:t xml:space="preserve">PO Box 655, Miranda </w:t>
    </w:r>
    <w:r w:rsidR="009F3F6D">
      <w:rPr>
        <w:sz w:val="16"/>
      </w:rPr>
      <w:t xml:space="preserve">NSW </w:t>
    </w:r>
    <w:r w:rsidR="00370113">
      <w:rPr>
        <w:sz w:val="16"/>
      </w:rPr>
      <w:t>1490</w:t>
    </w:r>
    <w:r w:rsidR="002356D6" w:rsidRPr="002356D6">
      <w:rPr>
        <w:sz w:val="16"/>
      </w:rPr>
      <w:tab/>
      <w:t>arpansa.gov.au</w:t>
    </w:r>
    <w:r w:rsidR="002356D6" w:rsidRPr="002356D6">
      <w:rPr>
        <w:sz w:val="16"/>
      </w:rPr>
      <w:br/>
    </w:r>
    <w:r w:rsidR="002356D6" w:rsidRPr="002356D6">
      <w:rPr>
        <w:sz w:val="16"/>
      </w:rPr>
      <w:tab/>
      <w:t>+61 2 9541 8333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66004" w14:textId="77777777" w:rsidR="001903E9" w:rsidRDefault="001903E9" w:rsidP="00037687">
      <w:r>
        <w:separator/>
      </w:r>
    </w:p>
  </w:footnote>
  <w:footnote w:type="continuationSeparator" w:id="0">
    <w:p w14:paraId="35236F2D" w14:textId="77777777" w:rsidR="001903E9" w:rsidRDefault="001903E9"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8F34B" w14:textId="77777777" w:rsidR="0035687D" w:rsidRPr="000B6360" w:rsidRDefault="0035687D" w:rsidP="0035687D">
    <w:pPr>
      <w:pStyle w:val="Header"/>
      <w:jc w:val="center"/>
      <w:rPr>
        <w:color w:val="FF0000"/>
        <w:sz w:val="18"/>
      </w:rPr>
    </w:pPr>
    <w:r w:rsidRPr="000B6360">
      <w:rPr>
        <w:color w:val="FF0000"/>
        <w:sz w:val="18"/>
      </w:rPr>
      <w:t>UNCLASSIFIED</w:t>
    </w:r>
  </w:p>
  <w:p w14:paraId="675A438F" w14:textId="77777777" w:rsidR="0035687D" w:rsidRDefault="00356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C280A" w14:textId="77777777" w:rsidR="002356D6" w:rsidRDefault="002356D6">
    <w:pPr>
      <w:pStyle w:val="Header"/>
    </w:pPr>
  </w:p>
  <w:p w14:paraId="54A8B291" w14:textId="77777777" w:rsidR="002356D6" w:rsidRDefault="007A0993">
    <w:pPr>
      <w:pStyle w:val="Header"/>
    </w:pPr>
    <w:r>
      <w:rPr>
        <w:noProof/>
        <w:lang w:eastAsia="en-AU"/>
      </w:rPr>
      <w:drawing>
        <wp:inline distT="0" distB="0" distL="0" distR="0" wp14:anchorId="2EA76AD2" wp14:editId="67B9C8F6">
          <wp:extent cx="6120384" cy="731520"/>
          <wp:effectExtent l="0" t="0" r="0" b="0"/>
          <wp:docPr id="1" name="Picture 1"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3"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FAD0AA6"/>
    <w:multiLevelType w:val="hybridMultilevel"/>
    <w:tmpl w:val="82A8E8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10D53AF"/>
    <w:multiLevelType w:val="hybridMultilevel"/>
    <w:tmpl w:val="6F0EF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0"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1" w15:restartNumberingAfterBreak="0">
    <w:nsid w:val="534F35EA"/>
    <w:multiLevelType w:val="hybridMultilevel"/>
    <w:tmpl w:val="2DC0A4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3" w15:restartNumberingAfterBreak="0">
    <w:nsid w:val="5FE93366"/>
    <w:multiLevelType w:val="hybridMultilevel"/>
    <w:tmpl w:val="0EF8811A"/>
    <w:lvl w:ilvl="0" w:tplc="1FB26854">
      <w:start w:val="1"/>
      <w:numFmt w:val="decimal"/>
      <w:lvlText w:val="%1."/>
      <w:lvlJc w:val="lef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num w:numId="1">
    <w:abstractNumId w:val="1"/>
  </w:num>
  <w:num w:numId="2">
    <w:abstractNumId w:val="4"/>
  </w:num>
  <w:num w:numId="3">
    <w:abstractNumId w:val="8"/>
  </w:num>
  <w:num w:numId="4">
    <w:abstractNumId w:val="3"/>
  </w:num>
  <w:num w:numId="5">
    <w:abstractNumId w:val="5"/>
  </w:num>
  <w:num w:numId="6">
    <w:abstractNumId w:val="12"/>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12"/>
  </w:num>
  <w:num w:numId="8">
    <w:abstractNumId w:val="0"/>
  </w:num>
  <w:num w:numId="9">
    <w:abstractNumId w:val="14"/>
  </w:num>
  <w:num w:numId="10">
    <w:abstractNumId w:val="2"/>
  </w:num>
  <w:num w:numId="11">
    <w:abstractNumId w:val="9"/>
  </w:num>
  <w:num w:numId="12">
    <w:abstractNumId w:val="10"/>
  </w:num>
  <w:num w:numId="13">
    <w:abstractNumId w:val="13"/>
  </w:num>
  <w:num w:numId="14">
    <w:abstractNumId w:val="13"/>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7"/>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05"/>
    <w:rsid w:val="000058D3"/>
    <w:rsid w:val="00015747"/>
    <w:rsid w:val="000257F5"/>
    <w:rsid w:val="00035F6E"/>
    <w:rsid w:val="00037687"/>
    <w:rsid w:val="00043537"/>
    <w:rsid w:val="00043A34"/>
    <w:rsid w:val="0006644C"/>
    <w:rsid w:val="00066B27"/>
    <w:rsid w:val="00071009"/>
    <w:rsid w:val="00082E26"/>
    <w:rsid w:val="000836F7"/>
    <w:rsid w:val="0009025F"/>
    <w:rsid w:val="000917AA"/>
    <w:rsid w:val="000B6FEE"/>
    <w:rsid w:val="000D161A"/>
    <w:rsid w:val="000D27C8"/>
    <w:rsid w:val="000F3AB1"/>
    <w:rsid w:val="000F73FB"/>
    <w:rsid w:val="0010348D"/>
    <w:rsid w:val="001234CE"/>
    <w:rsid w:val="00141300"/>
    <w:rsid w:val="00156D6E"/>
    <w:rsid w:val="00174DDA"/>
    <w:rsid w:val="001903E9"/>
    <w:rsid w:val="00192A8D"/>
    <w:rsid w:val="00196220"/>
    <w:rsid w:val="00196839"/>
    <w:rsid w:val="001A11CB"/>
    <w:rsid w:val="001B5E10"/>
    <w:rsid w:val="001C4197"/>
    <w:rsid w:val="001C676A"/>
    <w:rsid w:val="001D0CBB"/>
    <w:rsid w:val="001D452A"/>
    <w:rsid w:val="001E0AD5"/>
    <w:rsid w:val="001E33E4"/>
    <w:rsid w:val="001F23C0"/>
    <w:rsid w:val="001F5B95"/>
    <w:rsid w:val="00211753"/>
    <w:rsid w:val="00211B48"/>
    <w:rsid w:val="00231774"/>
    <w:rsid w:val="002356D6"/>
    <w:rsid w:val="002419BD"/>
    <w:rsid w:val="002449F3"/>
    <w:rsid w:val="00281DA2"/>
    <w:rsid w:val="002B566B"/>
    <w:rsid w:val="002C672A"/>
    <w:rsid w:val="002E14F1"/>
    <w:rsid w:val="002F03D3"/>
    <w:rsid w:val="002F19D3"/>
    <w:rsid w:val="003014F6"/>
    <w:rsid w:val="003121D7"/>
    <w:rsid w:val="00324B89"/>
    <w:rsid w:val="00327077"/>
    <w:rsid w:val="00341ED9"/>
    <w:rsid w:val="00342407"/>
    <w:rsid w:val="0035687D"/>
    <w:rsid w:val="00370113"/>
    <w:rsid w:val="0037104D"/>
    <w:rsid w:val="00382ACE"/>
    <w:rsid w:val="003939E0"/>
    <w:rsid w:val="003B0414"/>
    <w:rsid w:val="003C4C80"/>
    <w:rsid w:val="003D0EBD"/>
    <w:rsid w:val="003D2646"/>
    <w:rsid w:val="003D265D"/>
    <w:rsid w:val="003F4BB3"/>
    <w:rsid w:val="00411106"/>
    <w:rsid w:val="0041148A"/>
    <w:rsid w:val="00412CF8"/>
    <w:rsid w:val="00434381"/>
    <w:rsid w:val="00446CEE"/>
    <w:rsid w:val="00451B92"/>
    <w:rsid w:val="00453179"/>
    <w:rsid w:val="004577AE"/>
    <w:rsid w:val="004713CB"/>
    <w:rsid w:val="00482A83"/>
    <w:rsid w:val="004948D9"/>
    <w:rsid w:val="004A398C"/>
    <w:rsid w:val="004A3A03"/>
    <w:rsid w:val="004B2371"/>
    <w:rsid w:val="004E4746"/>
    <w:rsid w:val="004F1D33"/>
    <w:rsid w:val="005204E9"/>
    <w:rsid w:val="005206C8"/>
    <w:rsid w:val="00537183"/>
    <w:rsid w:val="00541311"/>
    <w:rsid w:val="0054455D"/>
    <w:rsid w:val="0055200E"/>
    <w:rsid w:val="00561136"/>
    <w:rsid w:val="00570B3E"/>
    <w:rsid w:val="0058187B"/>
    <w:rsid w:val="00586DAE"/>
    <w:rsid w:val="00597A3D"/>
    <w:rsid w:val="005B28E2"/>
    <w:rsid w:val="005B664C"/>
    <w:rsid w:val="005D3EF9"/>
    <w:rsid w:val="005D5B90"/>
    <w:rsid w:val="005D7B2A"/>
    <w:rsid w:val="005E1F53"/>
    <w:rsid w:val="005F64B3"/>
    <w:rsid w:val="006014EA"/>
    <w:rsid w:val="00604DC2"/>
    <w:rsid w:val="00610CF5"/>
    <w:rsid w:val="00611263"/>
    <w:rsid w:val="00612E7F"/>
    <w:rsid w:val="00612FD0"/>
    <w:rsid w:val="00621C0F"/>
    <w:rsid w:val="00621F3A"/>
    <w:rsid w:val="0065318B"/>
    <w:rsid w:val="00675E49"/>
    <w:rsid w:val="0068245A"/>
    <w:rsid w:val="0068389B"/>
    <w:rsid w:val="00691153"/>
    <w:rsid w:val="00695C8C"/>
    <w:rsid w:val="006A0A24"/>
    <w:rsid w:val="006A5510"/>
    <w:rsid w:val="006C0268"/>
    <w:rsid w:val="006D7FF6"/>
    <w:rsid w:val="006E59E8"/>
    <w:rsid w:val="0074434D"/>
    <w:rsid w:val="00750F6F"/>
    <w:rsid w:val="00751131"/>
    <w:rsid w:val="00787C08"/>
    <w:rsid w:val="007A0993"/>
    <w:rsid w:val="007A14CE"/>
    <w:rsid w:val="007A33FE"/>
    <w:rsid w:val="007D153D"/>
    <w:rsid w:val="007D376E"/>
    <w:rsid w:val="007D5C70"/>
    <w:rsid w:val="007E0597"/>
    <w:rsid w:val="007E3D43"/>
    <w:rsid w:val="00810928"/>
    <w:rsid w:val="0083547A"/>
    <w:rsid w:val="008359EC"/>
    <w:rsid w:val="00841065"/>
    <w:rsid w:val="00857F75"/>
    <w:rsid w:val="008658CA"/>
    <w:rsid w:val="00877D67"/>
    <w:rsid w:val="008B0221"/>
    <w:rsid w:val="008C031D"/>
    <w:rsid w:val="008C33A7"/>
    <w:rsid w:val="008E1705"/>
    <w:rsid w:val="008E6084"/>
    <w:rsid w:val="008F543D"/>
    <w:rsid w:val="00930805"/>
    <w:rsid w:val="00935BC1"/>
    <w:rsid w:val="00935CEF"/>
    <w:rsid w:val="00962950"/>
    <w:rsid w:val="00962C3D"/>
    <w:rsid w:val="00964361"/>
    <w:rsid w:val="00985B21"/>
    <w:rsid w:val="00986EE8"/>
    <w:rsid w:val="00987824"/>
    <w:rsid w:val="0099156A"/>
    <w:rsid w:val="00994809"/>
    <w:rsid w:val="009A7F99"/>
    <w:rsid w:val="009C2DD7"/>
    <w:rsid w:val="009D3EFC"/>
    <w:rsid w:val="009D7033"/>
    <w:rsid w:val="009F3F6D"/>
    <w:rsid w:val="00A010D8"/>
    <w:rsid w:val="00A21F05"/>
    <w:rsid w:val="00A36649"/>
    <w:rsid w:val="00A53C69"/>
    <w:rsid w:val="00A5453D"/>
    <w:rsid w:val="00A63120"/>
    <w:rsid w:val="00A847BC"/>
    <w:rsid w:val="00A8520D"/>
    <w:rsid w:val="00A9543E"/>
    <w:rsid w:val="00AA08E9"/>
    <w:rsid w:val="00AA724C"/>
    <w:rsid w:val="00AB6DA9"/>
    <w:rsid w:val="00AB7A5B"/>
    <w:rsid w:val="00AC3127"/>
    <w:rsid w:val="00AD2D61"/>
    <w:rsid w:val="00AD492A"/>
    <w:rsid w:val="00AE3014"/>
    <w:rsid w:val="00B02FAE"/>
    <w:rsid w:val="00B225A3"/>
    <w:rsid w:val="00B52766"/>
    <w:rsid w:val="00B53D29"/>
    <w:rsid w:val="00B54750"/>
    <w:rsid w:val="00B76590"/>
    <w:rsid w:val="00B86A0B"/>
    <w:rsid w:val="00BB5453"/>
    <w:rsid w:val="00BC353F"/>
    <w:rsid w:val="00BE0B05"/>
    <w:rsid w:val="00BE37D3"/>
    <w:rsid w:val="00BE5505"/>
    <w:rsid w:val="00BE6683"/>
    <w:rsid w:val="00C04364"/>
    <w:rsid w:val="00C07670"/>
    <w:rsid w:val="00C41848"/>
    <w:rsid w:val="00C90045"/>
    <w:rsid w:val="00C90747"/>
    <w:rsid w:val="00C96841"/>
    <w:rsid w:val="00CA07EF"/>
    <w:rsid w:val="00CA11EE"/>
    <w:rsid w:val="00CB4DCB"/>
    <w:rsid w:val="00CC1541"/>
    <w:rsid w:val="00CE0F50"/>
    <w:rsid w:val="00CE5E1C"/>
    <w:rsid w:val="00D04DB6"/>
    <w:rsid w:val="00D1371A"/>
    <w:rsid w:val="00D17742"/>
    <w:rsid w:val="00D22F8B"/>
    <w:rsid w:val="00D24A37"/>
    <w:rsid w:val="00D272AA"/>
    <w:rsid w:val="00D51959"/>
    <w:rsid w:val="00D70D97"/>
    <w:rsid w:val="00D74DEE"/>
    <w:rsid w:val="00D770E7"/>
    <w:rsid w:val="00D8260E"/>
    <w:rsid w:val="00D87798"/>
    <w:rsid w:val="00D91CB0"/>
    <w:rsid w:val="00DB0AF9"/>
    <w:rsid w:val="00DB4485"/>
    <w:rsid w:val="00DD3824"/>
    <w:rsid w:val="00DE4D18"/>
    <w:rsid w:val="00DF5605"/>
    <w:rsid w:val="00E25BD4"/>
    <w:rsid w:val="00E26A8C"/>
    <w:rsid w:val="00E32A56"/>
    <w:rsid w:val="00E366F1"/>
    <w:rsid w:val="00E54D3A"/>
    <w:rsid w:val="00E57AF9"/>
    <w:rsid w:val="00F30B42"/>
    <w:rsid w:val="00F37637"/>
    <w:rsid w:val="00F43D73"/>
    <w:rsid w:val="00F55ED8"/>
    <w:rsid w:val="00F65CAB"/>
    <w:rsid w:val="00F80CDD"/>
    <w:rsid w:val="00F82A91"/>
    <w:rsid w:val="00F8615E"/>
    <w:rsid w:val="00F87EA5"/>
    <w:rsid w:val="00F93961"/>
    <w:rsid w:val="00FA3F64"/>
    <w:rsid w:val="00FB5C3A"/>
    <w:rsid w:val="00FF654F"/>
    <w:rsid w:val="00FF6AB9"/>
    <w:rsid w:val="00FF7C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5CBB6BA"/>
  <w15:docId w15:val="{ABDF4ED2-1334-4982-B151-55C76430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E26"/>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character" w:styleId="PlaceholderText">
    <w:name w:val="Placeholder Text"/>
    <w:basedOn w:val="DefaultParagraphFont"/>
    <w:uiPriority w:val="99"/>
    <w:semiHidden/>
    <w:rsid w:val="0035687D"/>
    <w:rPr>
      <w:color w:val="808080"/>
    </w:rPr>
  </w:style>
  <w:style w:type="paragraph" w:customStyle="1" w:styleId="Heading3list">
    <w:name w:val="Heading3list"/>
    <w:basedOn w:val="Normal"/>
    <w:rsid w:val="0035687D"/>
    <w:pPr>
      <w:spacing w:before="200" w:after="200" w:line="276" w:lineRule="auto"/>
    </w:pPr>
    <w:rPr>
      <w:rFonts w:asciiTheme="majorHAnsi" w:eastAsiaTheme="minorEastAsia" w:hAnsiTheme="majorHAnsi"/>
      <w:b/>
      <w:color w:val="9B4AD6" w:themeColor="text2" w:themeTint="99"/>
      <w:sz w:val="24"/>
      <w:szCs w:val="24"/>
      <w:lang w:eastAsia="en-AU"/>
    </w:rPr>
  </w:style>
  <w:style w:type="character" w:styleId="Emphasis">
    <w:name w:val="Emphasis"/>
    <w:uiPriority w:val="20"/>
    <w:qFormat/>
    <w:rsid w:val="0035687D"/>
    <w:rPr>
      <w:caps/>
      <w:color w:val="7927B7" w:themeColor="accent1" w:themeShade="7F"/>
      <w:spacing w:val="5"/>
    </w:rPr>
  </w:style>
  <w:style w:type="character" w:styleId="CommentReference">
    <w:name w:val="annotation reference"/>
    <w:basedOn w:val="DefaultParagraphFont"/>
    <w:uiPriority w:val="99"/>
    <w:semiHidden/>
    <w:unhideWhenUsed/>
    <w:rsid w:val="008359EC"/>
    <w:rPr>
      <w:sz w:val="16"/>
      <w:szCs w:val="16"/>
    </w:rPr>
  </w:style>
  <w:style w:type="paragraph" w:styleId="CommentText">
    <w:name w:val="annotation text"/>
    <w:basedOn w:val="Normal"/>
    <w:link w:val="CommentTextChar"/>
    <w:uiPriority w:val="99"/>
    <w:semiHidden/>
    <w:unhideWhenUsed/>
    <w:rsid w:val="008359EC"/>
    <w:pPr>
      <w:spacing w:line="240" w:lineRule="auto"/>
    </w:pPr>
    <w:rPr>
      <w:sz w:val="20"/>
      <w:szCs w:val="20"/>
    </w:rPr>
  </w:style>
  <w:style w:type="character" w:customStyle="1" w:styleId="CommentTextChar">
    <w:name w:val="Comment Text Char"/>
    <w:basedOn w:val="DefaultParagraphFont"/>
    <w:link w:val="CommentText"/>
    <w:uiPriority w:val="99"/>
    <w:semiHidden/>
    <w:rsid w:val="008359EC"/>
    <w:rPr>
      <w:sz w:val="20"/>
      <w:szCs w:val="20"/>
    </w:rPr>
  </w:style>
  <w:style w:type="paragraph" w:styleId="CommentSubject">
    <w:name w:val="annotation subject"/>
    <w:basedOn w:val="CommentText"/>
    <w:next w:val="CommentText"/>
    <w:link w:val="CommentSubjectChar"/>
    <w:uiPriority w:val="99"/>
    <w:semiHidden/>
    <w:unhideWhenUsed/>
    <w:rsid w:val="008359EC"/>
    <w:rPr>
      <w:b/>
      <w:bCs/>
    </w:rPr>
  </w:style>
  <w:style w:type="character" w:customStyle="1" w:styleId="CommentSubjectChar">
    <w:name w:val="Comment Subject Char"/>
    <w:basedOn w:val="CommentTextChar"/>
    <w:link w:val="CommentSubject"/>
    <w:uiPriority w:val="99"/>
    <w:semiHidden/>
    <w:rsid w:val="008359EC"/>
    <w:rPr>
      <w:b/>
      <w:bCs/>
      <w:sz w:val="20"/>
      <w:szCs w:val="20"/>
    </w:rPr>
  </w:style>
  <w:style w:type="paragraph" w:styleId="Revision">
    <w:name w:val="Revision"/>
    <w:hidden/>
    <w:uiPriority w:val="99"/>
    <w:semiHidden/>
    <w:rsid w:val="00604DC2"/>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BB739648C2456D8C56A1A3F679AFE4"/>
        <w:category>
          <w:name w:val="General"/>
          <w:gallery w:val="placeholder"/>
        </w:category>
        <w:types>
          <w:type w:val="bbPlcHdr"/>
        </w:types>
        <w:behaviors>
          <w:behavior w:val="content"/>
        </w:behaviors>
        <w:guid w:val="{A3BFCDCF-76BF-44F2-BDB4-7E52EBFCAB05}"/>
      </w:docPartPr>
      <w:docPartBody>
        <w:p w:rsidR="00126119" w:rsidRDefault="00432A55">
          <w:pPr>
            <w:pStyle w:val="D8BB739648C2456D8C56A1A3F679AFE4"/>
          </w:pPr>
          <w:r w:rsidRPr="00755264">
            <w:rPr>
              <w:rStyle w:val="PlaceholderText"/>
            </w:rPr>
            <w:t>[Title]</w:t>
          </w:r>
        </w:p>
      </w:docPartBody>
    </w:docPart>
    <w:docPart>
      <w:docPartPr>
        <w:name w:val="ED62B0F7C4FC4ECE9CE851DED11070C7"/>
        <w:category>
          <w:name w:val="General"/>
          <w:gallery w:val="placeholder"/>
        </w:category>
        <w:types>
          <w:type w:val="bbPlcHdr"/>
        </w:types>
        <w:behaviors>
          <w:behavior w:val="content"/>
        </w:behaviors>
        <w:guid w:val="{57F1D8B8-7475-49A6-882E-C463A628F6DC}"/>
      </w:docPartPr>
      <w:docPartBody>
        <w:p w:rsidR="00126119" w:rsidRDefault="00432A55">
          <w:pPr>
            <w:pStyle w:val="ED62B0F7C4FC4ECE9CE851DED11070C7"/>
          </w:pPr>
          <w:r w:rsidRPr="00CE0F50">
            <w:rPr>
              <w:color w:val="444444"/>
            </w:rPr>
            <w:t>[Licence Number S/FXXXX]</w:t>
          </w:r>
        </w:p>
      </w:docPartBody>
    </w:docPart>
    <w:docPart>
      <w:docPartPr>
        <w:name w:val="BF3AFB186BF84C19B2673D8246D7BC9F"/>
        <w:category>
          <w:name w:val="General"/>
          <w:gallery w:val="placeholder"/>
        </w:category>
        <w:types>
          <w:type w:val="bbPlcHdr"/>
        </w:types>
        <w:behaviors>
          <w:behavior w:val="content"/>
        </w:behaviors>
        <w:guid w:val="{588E9981-0F7D-42BB-9B05-B1AF94C19BA0}"/>
      </w:docPartPr>
      <w:docPartBody>
        <w:p w:rsidR="00126119" w:rsidRDefault="00432A55">
          <w:pPr>
            <w:pStyle w:val="BF3AFB186BF84C19B2673D8246D7BC9F"/>
          </w:pPr>
          <w:r w:rsidRPr="00CE0F50">
            <w:rPr>
              <w:color w:val="444444"/>
            </w:rPr>
            <w:t>[Licence Number S/FXXXX]</w:t>
          </w:r>
        </w:p>
      </w:docPartBody>
    </w:docPart>
    <w:docPart>
      <w:docPartPr>
        <w:name w:val="861EAC04517A4B59BEC451CE7E176CDC"/>
        <w:category>
          <w:name w:val="General"/>
          <w:gallery w:val="placeholder"/>
        </w:category>
        <w:types>
          <w:type w:val="bbPlcHdr"/>
        </w:types>
        <w:behaviors>
          <w:behavior w:val="content"/>
        </w:behaviors>
        <w:guid w:val="{9B48D7D7-C5E1-450B-996F-585CA0F0DBE4}"/>
      </w:docPartPr>
      <w:docPartBody>
        <w:p w:rsidR="00126119" w:rsidRDefault="00432A55">
          <w:pPr>
            <w:pStyle w:val="861EAC04517A4B59BEC451CE7E176CDC"/>
          </w:pPr>
          <w:r w:rsidRPr="0075526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A55"/>
    <w:rsid w:val="00126119"/>
    <w:rsid w:val="0022183E"/>
    <w:rsid w:val="00432A55"/>
    <w:rsid w:val="00C644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2A55"/>
    <w:rPr>
      <w:color w:val="808080"/>
    </w:rPr>
  </w:style>
  <w:style w:type="paragraph" w:customStyle="1" w:styleId="D8BB739648C2456D8C56A1A3F679AFE4">
    <w:name w:val="D8BB739648C2456D8C56A1A3F679AFE4"/>
  </w:style>
  <w:style w:type="paragraph" w:customStyle="1" w:styleId="ED62B0F7C4FC4ECE9CE851DED11070C7">
    <w:name w:val="ED62B0F7C4FC4ECE9CE851DED11070C7"/>
  </w:style>
  <w:style w:type="paragraph" w:customStyle="1" w:styleId="A8A5B3D9379840C4B780340FC341B85C">
    <w:name w:val="A8A5B3D9379840C4B780340FC341B85C"/>
  </w:style>
  <w:style w:type="paragraph" w:customStyle="1" w:styleId="6CBAD92BA3554CFE84E2F76D10C01D7C">
    <w:name w:val="6CBAD92BA3554CFE84E2F76D10C01D7C"/>
  </w:style>
  <w:style w:type="paragraph" w:customStyle="1" w:styleId="4ED64170F56D461A90ABEBCFF3A626FC">
    <w:name w:val="4ED64170F56D461A90ABEBCFF3A626FC"/>
  </w:style>
  <w:style w:type="paragraph" w:customStyle="1" w:styleId="BF3AFB186BF84C19B2673D8246D7BC9F">
    <w:name w:val="BF3AFB186BF84C19B2673D8246D7BC9F"/>
  </w:style>
  <w:style w:type="paragraph" w:customStyle="1" w:styleId="861EAC04517A4B59BEC451CE7E176CDC">
    <w:name w:val="861EAC04517A4B59BEC451CE7E176CDC"/>
  </w:style>
  <w:style w:type="paragraph" w:customStyle="1" w:styleId="7588E984DD364FA0B9B84465C28CB834">
    <w:name w:val="7588E984DD364FA0B9B84465C28CB834"/>
  </w:style>
  <w:style w:type="paragraph" w:customStyle="1" w:styleId="C772A5AA7BDD4F9BA8A7B3E02C4433EE">
    <w:name w:val="C772A5AA7BDD4F9BA8A7B3E02C4433EE"/>
  </w:style>
  <w:style w:type="paragraph" w:customStyle="1" w:styleId="39B7E86B63B747DF8D686781C2C31D94">
    <w:name w:val="39B7E86B63B747DF8D686781C2C31D94"/>
  </w:style>
  <w:style w:type="paragraph" w:customStyle="1" w:styleId="B6B27AD8698C47AAA6A75A37BA7FD06A">
    <w:name w:val="B6B27AD8698C47AAA6A75A37BA7FD06A"/>
  </w:style>
  <w:style w:type="paragraph" w:customStyle="1" w:styleId="DB30F30D25704D5DB76BC5EC39A4FEE5">
    <w:name w:val="DB30F30D25704D5DB76BC5EC39A4FEE5"/>
  </w:style>
  <w:style w:type="paragraph" w:customStyle="1" w:styleId="F6632505B04F406EB7D4479C50D92182">
    <w:name w:val="F6632505B04F406EB7D4479C50D92182"/>
  </w:style>
  <w:style w:type="paragraph" w:customStyle="1" w:styleId="D44A41A7D0704D929A6A076E48AE9FC0">
    <w:name w:val="D44A41A7D0704D929A6A076E48AE9FC0"/>
  </w:style>
  <w:style w:type="paragraph" w:customStyle="1" w:styleId="A8A5B3D9379840C4B780340FC341B85C1">
    <w:name w:val="A8A5B3D9379840C4B780340FC341B85C1"/>
    <w:rsid w:val="00432A55"/>
    <w:pPr>
      <w:keepNext/>
      <w:keepLines/>
      <w:spacing w:before="240" w:after="0" w:line="264" w:lineRule="auto"/>
      <w:outlineLvl w:val="1"/>
    </w:pPr>
    <w:rPr>
      <w:rFonts w:ascii="Calibri" w:eastAsiaTheme="majorEastAsia" w:hAnsi="Calibri" w:cstheme="majorBidi"/>
      <w:b/>
      <w:bCs/>
      <w:color w:val="4E1A74"/>
      <w:sz w:val="26"/>
      <w:szCs w:val="26"/>
      <w:lang w:eastAsia="en-US"/>
    </w:rPr>
  </w:style>
  <w:style w:type="paragraph" w:styleId="FootnoteText">
    <w:name w:val="footnote text"/>
    <w:basedOn w:val="Normal"/>
    <w:link w:val="FootnoteTextChar"/>
    <w:uiPriority w:val="99"/>
    <w:qFormat/>
    <w:rsid w:val="00432A55"/>
    <w:pPr>
      <w:spacing w:before="60" w:after="0" w:line="240" w:lineRule="auto"/>
      <w:ind w:left="284" w:hanging="284"/>
    </w:pPr>
    <w:rPr>
      <w:rFonts w:eastAsiaTheme="minorHAnsi"/>
      <w:color w:val="444444"/>
      <w:sz w:val="18"/>
      <w:szCs w:val="20"/>
      <w:lang w:eastAsia="en-US"/>
    </w:rPr>
  </w:style>
  <w:style w:type="character" w:customStyle="1" w:styleId="FootnoteTextChar">
    <w:name w:val="Footnote Text Char"/>
    <w:basedOn w:val="DefaultParagraphFont"/>
    <w:link w:val="FootnoteText"/>
    <w:uiPriority w:val="99"/>
    <w:rsid w:val="00432A55"/>
    <w:rPr>
      <w:rFonts w:eastAsiaTheme="minorHAnsi"/>
      <w:color w:val="444444"/>
      <w:sz w:val="18"/>
      <w:szCs w:val="20"/>
      <w:lang w:eastAsia="en-US"/>
    </w:rPr>
  </w:style>
  <w:style w:type="paragraph" w:customStyle="1" w:styleId="7588E984DD364FA0B9B84465C28CB8341">
    <w:name w:val="7588E984DD364FA0B9B84465C28CB8341"/>
    <w:rsid w:val="00432A55"/>
    <w:pPr>
      <w:spacing w:before="240" w:after="0" w:line="264" w:lineRule="auto"/>
    </w:pPr>
    <w:rPr>
      <w:rFonts w:eastAsiaTheme="minorHAnsi"/>
      <w:color w:val="444444"/>
      <w:lang w:eastAsia="en-US"/>
    </w:rPr>
  </w:style>
  <w:style w:type="paragraph" w:customStyle="1" w:styleId="C772A5AA7BDD4F9BA8A7B3E02C4433EE1">
    <w:name w:val="C772A5AA7BDD4F9BA8A7B3E02C4433EE1"/>
    <w:rsid w:val="00432A55"/>
    <w:pPr>
      <w:spacing w:before="240" w:after="0" w:line="264" w:lineRule="auto"/>
    </w:pPr>
    <w:rPr>
      <w:rFonts w:eastAsiaTheme="minorHAnsi"/>
      <w:color w:val="444444"/>
      <w:lang w:eastAsia="en-US"/>
    </w:rPr>
  </w:style>
  <w:style w:type="paragraph" w:customStyle="1" w:styleId="39B7E86B63B747DF8D686781C2C31D941">
    <w:name w:val="39B7E86B63B747DF8D686781C2C31D941"/>
    <w:rsid w:val="00432A55"/>
    <w:pPr>
      <w:keepNext/>
      <w:keepLines/>
      <w:spacing w:before="240" w:after="0" w:line="264" w:lineRule="auto"/>
      <w:outlineLvl w:val="1"/>
    </w:pPr>
    <w:rPr>
      <w:rFonts w:ascii="Calibri" w:eastAsiaTheme="majorEastAsia" w:hAnsi="Calibri" w:cstheme="majorBidi"/>
      <w:b/>
      <w:bCs/>
      <w:color w:val="4E1A74"/>
      <w:sz w:val="26"/>
      <w:szCs w:val="26"/>
      <w:lang w:eastAsia="en-US"/>
    </w:rPr>
  </w:style>
  <w:style w:type="paragraph" w:customStyle="1" w:styleId="B6B27AD8698C47AAA6A75A37BA7FD06A1">
    <w:name w:val="B6B27AD8698C47AAA6A75A37BA7FD06A1"/>
    <w:rsid w:val="00432A55"/>
    <w:pPr>
      <w:spacing w:before="240" w:after="0" w:line="264" w:lineRule="auto"/>
    </w:pPr>
    <w:rPr>
      <w:rFonts w:eastAsiaTheme="minorHAnsi"/>
      <w:color w:val="444444"/>
      <w:lang w:eastAsia="en-US"/>
    </w:rPr>
  </w:style>
  <w:style w:type="paragraph" w:customStyle="1" w:styleId="DB30F30D25704D5DB76BC5EC39A4FEE51">
    <w:name w:val="DB30F30D25704D5DB76BC5EC39A4FEE51"/>
    <w:rsid w:val="00432A55"/>
    <w:pPr>
      <w:tabs>
        <w:tab w:val="center" w:pos="4513"/>
        <w:tab w:val="right" w:pos="9026"/>
      </w:tabs>
      <w:spacing w:after="0" w:line="240" w:lineRule="auto"/>
    </w:pPr>
    <w:rPr>
      <w:rFonts w:eastAsiaTheme="minorHAnsi"/>
      <w:color w:val="444444"/>
      <w:lang w:eastAsia="en-US"/>
    </w:rPr>
  </w:style>
  <w:style w:type="paragraph" w:customStyle="1" w:styleId="F6632505B04F406EB7D4479C50D921821">
    <w:name w:val="F6632505B04F406EB7D4479C50D921821"/>
    <w:rsid w:val="00432A55"/>
    <w:pPr>
      <w:tabs>
        <w:tab w:val="center" w:pos="4513"/>
        <w:tab w:val="right" w:pos="9026"/>
      </w:tabs>
      <w:spacing w:after="0" w:line="240" w:lineRule="auto"/>
    </w:pPr>
    <w:rPr>
      <w:rFonts w:eastAsiaTheme="minorHAnsi"/>
      <w:color w:val="444444"/>
      <w:lang w:eastAsia="en-US"/>
    </w:rPr>
  </w:style>
  <w:style w:type="paragraph" w:customStyle="1" w:styleId="D44A41A7D0704D929A6A076E48AE9FC01">
    <w:name w:val="D44A41A7D0704D929A6A076E48AE9FC01"/>
    <w:rsid w:val="00432A55"/>
    <w:pPr>
      <w:tabs>
        <w:tab w:val="center" w:pos="4513"/>
        <w:tab w:val="right" w:pos="9026"/>
      </w:tabs>
      <w:spacing w:after="0" w:line="240" w:lineRule="auto"/>
    </w:pPr>
    <w:rPr>
      <w:rFonts w:eastAsiaTheme="minorHAnsi"/>
      <w:color w:val="444444"/>
      <w:lang w:eastAsia="en-US"/>
    </w:rPr>
  </w:style>
  <w:style w:type="paragraph" w:customStyle="1" w:styleId="1B9B7560E1D04F178669C937434D1982">
    <w:name w:val="1B9B7560E1D04F178669C937434D1982"/>
    <w:rsid w:val="00221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980A6FAF-EC5A-41F2-AC2D-F907C1EE5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2802</Words>
  <Characters>15978</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ANSTO</vt:lpstr>
    </vt:vector>
  </TitlesOfParts>
  <Company>ARPANSA</Company>
  <LinksUpToDate>false</LinksUpToDate>
  <CharactersWithSpaces>18743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ANSTO</dc:title>
  <dc:creator>Narelle Archer</dc:creator>
  <cp:keywords>F0251</cp:keywords>
  <cp:lastModifiedBy>Kelsie Kruse</cp:lastModifiedBy>
  <cp:revision>2</cp:revision>
  <cp:lastPrinted>2019-03-19T01:10:00Z</cp:lastPrinted>
  <dcterms:created xsi:type="dcterms:W3CDTF">2019-04-02T11:18:00Z</dcterms:created>
  <dcterms:modified xsi:type="dcterms:W3CDTF">2019-04-02T11:18:00Z</dcterms:modified>
</cp:coreProperties>
</file>