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0C9A5" w14:textId="77777777" w:rsidR="003D2646" w:rsidRDefault="002449F3" w:rsidP="005F6EB8">
      <w:pPr>
        <w:pStyle w:val="Title"/>
        <w:spacing w:before="240" w:after="120"/>
        <w:contextualSpacing w:val="0"/>
      </w:pPr>
      <w:r>
        <w:t>Inspection r</w:t>
      </w:r>
      <w:r w:rsidR="0035687D">
        <w:t>eport</w:t>
      </w:r>
    </w:p>
    <w:tbl>
      <w:tblPr>
        <w:tblStyle w:val="TableGrid1"/>
        <w:tblW w:w="9639" w:type="dxa"/>
        <w:tblInd w:w="-5" w:type="dxa"/>
        <w:tblBorders>
          <w:top w:val="single" w:sz="4" w:space="0" w:color="444448" w:themeColor="accent4"/>
          <w:left w:val="single" w:sz="4" w:space="0" w:color="444448" w:themeColor="accent4"/>
          <w:bottom w:val="single" w:sz="4" w:space="0" w:color="444448" w:themeColor="accent4"/>
          <w:right w:val="single" w:sz="4" w:space="0" w:color="444448" w:themeColor="accent4"/>
          <w:insideH w:val="single" w:sz="4" w:space="0" w:color="444448" w:themeColor="accent4"/>
          <w:insideV w:val="single" w:sz="4" w:space="0" w:color="444448" w:themeColor="accent4"/>
        </w:tblBorders>
        <w:tblLook w:val="04A0" w:firstRow="1" w:lastRow="0" w:firstColumn="1" w:lastColumn="0" w:noHBand="0" w:noVBand="1"/>
      </w:tblPr>
      <w:tblGrid>
        <w:gridCol w:w="5245"/>
        <w:gridCol w:w="4394"/>
      </w:tblGrid>
      <w:tr w:rsidR="00BF5397" w:rsidRPr="00AF4FF3" w14:paraId="1D14D9B8" w14:textId="77777777" w:rsidTr="00F205EA">
        <w:trPr>
          <w:trHeight w:val="567"/>
        </w:trPr>
        <w:tc>
          <w:tcPr>
            <w:tcW w:w="5245" w:type="dxa"/>
            <w:tcBorders>
              <w:bottom w:val="single" w:sz="4" w:space="0" w:color="444448" w:themeColor="accent4"/>
            </w:tcBorders>
            <w:vAlign w:val="center"/>
          </w:tcPr>
          <w:p w14:paraId="2FE47963" w14:textId="3D7CF370" w:rsidR="00BF5397" w:rsidRPr="00AF4FF3" w:rsidRDefault="00BF5397" w:rsidP="005F6EB8">
            <w:pPr>
              <w:spacing w:before="120" w:after="120" w:line="240" w:lineRule="auto"/>
            </w:pPr>
            <w:r w:rsidRPr="00AF4FF3">
              <w:rPr>
                <w:b/>
                <w:color w:val="4E1A74"/>
              </w:rPr>
              <w:t xml:space="preserve">Licence </w:t>
            </w:r>
            <w:r w:rsidR="00294722">
              <w:rPr>
                <w:b/>
                <w:color w:val="4E1A74"/>
              </w:rPr>
              <w:t>h</w:t>
            </w:r>
            <w:r w:rsidRPr="00AF4FF3">
              <w:rPr>
                <w:b/>
                <w:color w:val="4E1A74"/>
              </w:rPr>
              <w:t>older</w:t>
            </w:r>
            <w:r w:rsidRPr="00AF4FF3">
              <w:rPr>
                <w:color w:val="4E1A74"/>
              </w:rPr>
              <w:t xml:space="preserve">: </w:t>
            </w:r>
            <w:r w:rsidRPr="00294722">
              <w:rPr>
                <w:rFonts w:eastAsiaTheme="minorHAnsi"/>
                <w:color w:val="444448" w:themeColor="accent4"/>
                <w:lang w:eastAsia="en-US"/>
              </w:rPr>
              <w:t>Australian National University (ANU)</w:t>
            </w:r>
          </w:p>
        </w:tc>
        <w:tc>
          <w:tcPr>
            <w:tcW w:w="4394" w:type="dxa"/>
            <w:tcBorders>
              <w:bottom w:val="single" w:sz="4" w:space="0" w:color="444448" w:themeColor="accent4"/>
            </w:tcBorders>
            <w:vAlign w:val="center"/>
          </w:tcPr>
          <w:p w14:paraId="6B119883" w14:textId="37326F80" w:rsidR="00BF5397" w:rsidRPr="00AF4FF3" w:rsidRDefault="00BF5397" w:rsidP="005F6EB8">
            <w:pPr>
              <w:tabs>
                <w:tab w:val="right" w:pos="3680"/>
              </w:tabs>
              <w:spacing w:before="120" w:after="120" w:line="240" w:lineRule="auto"/>
            </w:pPr>
            <w:r w:rsidRPr="00AF4FF3">
              <w:rPr>
                <w:b/>
                <w:color w:val="4E1A74"/>
              </w:rPr>
              <w:t xml:space="preserve">Licence </w:t>
            </w:r>
            <w:r w:rsidR="00294722">
              <w:rPr>
                <w:b/>
                <w:color w:val="4E1A74"/>
              </w:rPr>
              <w:t>n</w:t>
            </w:r>
            <w:r w:rsidR="00294722">
              <w:rPr>
                <w:b/>
                <w:color w:val="4E1A74"/>
              </w:rPr>
              <w:t>umber:</w:t>
            </w:r>
            <w:r>
              <w:rPr>
                <w:b/>
                <w:color w:val="4E1A74"/>
              </w:rPr>
              <w:t xml:space="preserve"> </w:t>
            </w:r>
            <w:r w:rsidRPr="00294722">
              <w:rPr>
                <w:rFonts w:eastAsiaTheme="minorHAnsi"/>
                <w:color w:val="444448" w:themeColor="accent4"/>
                <w:lang w:eastAsia="en-US"/>
              </w:rPr>
              <w:t>S0027</w:t>
            </w:r>
          </w:p>
        </w:tc>
      </w:tr>
      <w:tr w:rsidR="00BF5397" w:rsidRPr="00AF4FF3" w14:paraId="114D9826" w14:textId="77777777" w:rsidTr="00294722">
        <w:trPr>
          <w:trHeight w:val="555"/>
        </w:trPr>
        <w:tc>
          <w:tcPr>
            <w:tcW w:w="5245" w:type="dxa"/>
            <w:vMerge w:val="restart"/>
          </w:tcPr>
          <w:p w14:paraId="43F132B2" w14:textId="52B2E132" w:rsidR="00BF5397" w:rsidRPr="00E72609" w:rsidRDefault="00BF5397" w:rsidP="003D0411">
            <w:pPr>
              <w:spacing w:before="120" w:after="120" w:line="240" w:lineRule="auto"/>
              <w:rPr>
                <w:b/>
              </w:rPr>
            </w:pPr>
            <w:r w:rsidRPr="00A114D3">
              <w:rPr>
                <w:b/>
                <w:color w:val="4E1A74"/>
              </w:rPr>
              <w:t>Location</w:t>
            </w:r>
            <w:r>
              <w:rPr>
                <w:b/>
                <w:color w:val="4E1A74"/>
              </w:rPr>
              <w:t>s</w:t>
            </w:r>
            <w:r w:rsidRPr="00AF4FF3">
              <w:rPr>
                <w:b/>
                <w:color w:val="4E1A74"/>
              </w:rPr>
              <w:t xml:space="preserve"> inspected: </w:t>
            </w:r>
            <w:r w:rsidRPr="00294722">
              <w:rPr>
                <w:rFonts w:eastAsiaTheme="minorHAnsi"/>
                <w:color w:val="444448" w:themeColor="accent4"/>
                <w:lang w:eastAsia="en-US"/>
              </w:rPr>
              <w:t>Research School of Physics (</w:t>
            </w:r>
            <w:r w:rsidR="00346D0B" w:rsidRPr="00294722">
              <w:rPr>
                <w:rFonts w:eastAsiaTheme="minorHAnsi"/>
                <w:color w:val="444448" w:themeColor="accent4"/>
                <w:lang w:eastAsia="en-US"/>
              </w:rPr>
              <w:t>RSPhys</w:t>
            </w:r>
            <w:r w:rsidRPr="00294722">
              <w:rPr>
                <w:rFonts w:eastAsiaTheme="minorHAnsi"/>
                <w:color w:val="444448" w:themeColor="accent4"/>
                <w:lang w:eastAsia="en-US"/>
              </w:rPr>
              <w:t xml:space="preserve">) </w:t>
            </w:r>
          </w:p>
        </w:tc>
        <w:tc>
          <w:tcPr>
            <w:tcW w:w="4394" w:type="dxa"/>
            <w:vAlign w:val="center"/>
          </w:tcPr>
          <w:p w14:paraId="1732C21D" w14:textId="2C5EE9A4" w:rsidR="00BF5397" w:rsidRPr="00AF4FF3" w:rsidRDefault="00BF5397" w:rsidP="00294722">
            <w:pPr>
              <w:tabs>
                <w:tab w:val="right" w:pos="3680"/>
              </w:tabs>
              <w:spacing w:before="120" w:after="120" w:line="240" w:lineRule="auto"/>
            </w:pPr>
            <w:r w:rsidRPr="00AF4FF3">
              <w:rPr>
                <w:b/>
                <w:color w:val="4E1A74"/>
              </w:rPr>
              <w:t>Date/s of inspection:</w:t>
            </w:r>
            <w:r w:rsidRPr="00AF4FF3">
              <w:t xml:space="preserve"> </w:t>
            </w:r>
            <w:bookmarkStart w:id="0" w:name="_GoBack"/>
            <w:r w:rsidRPr="00294722">
              <w:rPr>
                <w:rFonts w:eastAsiaTheme="minorHAnsi"/>
                <w:color w:val="444448" w:themeColor="accent4"/>
                <w:lang w:eastAsia="en-US"/>
              </w:rPr>
              <w:t>5</w:t>
            </w:r>
            <w:r w:rsidR="00294722">
              <w:rPr>
                <w:rFonts w:eastAsiaTheme="minorHAnsi"/>
                <w:color w:val="444448" w:themeColor="accent4"/>
                <w:lang w:eastAsia="en-US"/>
              </w:rPr>
              <w:t>–</w:t>
            </w:r>
            <w:r w:rsidR="004F3732" w:rsidRPr="00294722">
              <w:rPr>
                <w:rFonts w:eastAsiaTheme="minorHAnsi"/>
                <w:color w:val="444448" w:themeColor="accent4"/>
                <w:lang w:eastAsia="en-US"/>
              </w:rPr>
              <w:t>6</w:t>
            </w:r>
            <w:r w:rsidRPr="00294722">
              <w:rPr>
                <w:rFonts w:eastAsiaTheme="minorHAnsi"/>
                <w:color w:val="444448" w:themeColor="accent4"/>
                <w:lang w:eastAsia="en-US"/>
              </w:rPr>
              <w:t xml:space="preserve"> December 201</w:t>
            </w:r>
            <w:r w:rsidR="004F3732" w:rsidRPr="00294722">
              <w:rPr>
                <w:rFonts w:eastAsiaTheme="minorHAnsi"/>
                <w:color w:val="444448" w:themeColor="accent4"/>
                <w:lang w:eastAsia="en-US"/>
              </w:rPr>
              <w:t>9</w:t>
            </w:r>
            <w:bookmarkEnd w:id="0"/>
          </w:p>
        </w:tc>
      </w:tr>
      <w:tr w:rsidR="00BF5397" w:rsidRPr="00AF4FF3" w14:paraId="740002BA" w14:textId="77777777" w:rsidTr="00F205EA">
        <w:trPr>
          <w:trHeight w:val="555"/>
        </w:trPr>
        <w:tc>
          <w:tcPr>
            <w:tcW w:w="5245" w:type="dxa"/>
            <w:vMerge/>
            <w:tcBorders>
              <w:bottom w:val="nil"/>
            </w:tcBorders>
          </w:tcPr>
          <w:p w14:paraId="68D29376" w14:textId="77777777" w:rsidR="00BF5397" w:rsidRPr="00A114D3" w:rsidRDefault="00BF5397" w:rsidP="005F6EB8">
            <w:pPr>
              <w:spacing w:before="120" w:after="120" w:line="240" w:lineRule="auto"/>
              <w:rPr>
                <w:b/>
                <w:color w:val="4E1A74"/>
              </w:rPr>
            </w:pPr>
          </w:p>
        </w:tc>
        <w:tc>
          <w:tcPr>
            <w:tcW w:w="4394" w:type="dxa"/>
            <w:tcBorders>
              <w:bottom w:val="nil"/>
            </w:tcBorders>
            <w:vAlign w:val="center"/>
          </w:tcPr>
          <w:p w14:paraId="717015C4" w14:textId="50360D2C" w:rsidR="00BF5397" w:rsidRPr="00AF4FF3" w:rsidRDefault="00BF5397" w:rsidP="00294722">
            <w:pPr>
              <w:tabs>
                <w:tab w:val="right" w:pos="3680"/>
              </w:tabs>
              <w:spacing w:before="120" w:after="120" w:line="240" w:lineRule="auto"/>
              <w:rPr>
                <w:b/>
                <w:color w:val="4E1A74"/>
              </w:rPr>
            </w:pPr>
            <w:r w:rsidRPr="00AF4FF3">
              <w:rPr>
                <w:b/>
                <w:color w:val="4E1A74"/>
              </w:rPr>
              <w:t xml:space="preserve">Report </w:t>
            </w:r>
            <w:r w:rsidR="00294722">
              <w:rPr>
                <w:b/>
                <w:color w:val="4E1A74"/>
              </w:rPr>
              <w:t>n</w:t>
            </w:r>
            <w:r w:rsidRPr="00AF4FF3">
              <w:rPr>
                <w:b/>
                <w:color w:val="4E1A74"/>
              </w:rPr>
              <w:t>o:</w:t>
            </w:r>
            <w:r>
              <w:rPr>
                <w:b/>
                <w:color w:val="4E1A74"/>
              </w:rPr>
              <w:t xml:space="preserve"> </w:t>
            </w:r>
            <w:r w:rsidRPr="00294722">
              <w:rPr>
                <w:rFonts w:eastAsiaTheme="minorHAnsi"/>
                <w:color w:val="444448" w:themeColor="accent4"/>
                <w:lang w:eastAsia="en-US"/>
              </w:rPr>
              <w:t>R1</w:t>
            </w:r>
            <w:r w:rsidR="004F3732" w:rsidRPr="00294722">
              <w:rPr>
                <w:rFonts w:eastAsiaTheme="minorHAnsi"/>
                <w:color w:val="444448" w:themeColor="accent4"/>
                <w:lang w:eastAsia="en-US"/>
              </w:rPr>
              <w:t>9</w:t>
            </w:r>
            <w:r w:rsidRPr="00294722">
              <w:rPr>
                <w:rFonts w:eastAsiaTheme="minorHAnsi"/>
                <w:color w:val="444448" w:themeColor="accent4"/>
                <w:lang w:eastAsia="en-US"/>
              </w:rPr>
              <w:t>/</w:t>
            </w:r>
            <w:r w:rsidR="00D96F62" w:rsidRPr="00294722">
              <w:rPr>
                <w:rFonts w:eastAsiaTheme="minorHAnsi"/>
                <w:color w:val="444448" w:themeColor="accent4"/>
                <w:lang w:eastAsia="en-US"/>
              </w:rPr>
              <w:t>13557</w:t>
            </w:r>
          </w:p>
        </w:tc>
      </w:tr>
    </w:tbl>
    <w:tbl>
      <w:tblPr>
        <w:tblStyle w:val="TableGrid"/>
        <w:tblW w:w="0" w:type="auto"/>
        <w:tblBorders>
          <w:top w:val="none" w:sz="0" w:space="0" w:color="auto"/>
          <w:left w:val="single" w:sz="4" w:space="0" w:color="444448" w:themeColor="accent4"/>
          <w:bottom w:val="single" w:sz="4" w:space="0" w:color="444448" w:themeColor="accent4"/>
          <w:right w:val="single" w:sz="4" w:space="0" w:color="444448" w:themeColor="accent4"/>
          <w:insideH w:val="none" w:sz="0" w:space="0" w:color="auto"/>
          <w:insideV w:val="none" w:sz="0" w:space="0" w:color="auto"/>
        </w:tblBorders>
        <w:tblLook w:val="04A0" w:firstRow="1" w:lastRow="0" w:firstColumn="1" w:lastColumn="0" w:noHBand="0" w:noVBand="1"/>
      </w:tblPr>
      <w:tblGrid>
        <w:gridCol w:w="9628"/>
      </w:tblGrid>
      <w:tr w:rsidR="0035687D" w14:paraId="19470714" w14:textId="77777777" w:rsidTr="00F205EA">
        <w:tc>
          <w:tcPr>
            <w:tcW w:w="9628" w:type="dxa"/>
            <w:tcBorders>
              <w:top w:val="single" w:sz="4" w:space="0" w:color="444448" w:themeColor="accent4"/>
              <w:bottom w:val="single" w:sz="4" w:space="0" w:color="444448" w:themeColor="accent4"/>
            </w:tcBorders>
          </w:tcPr>
          <w:p w14:paraId="3F758398" w14:textId="21267FFF" w:rsidR="0035687D" w:rsidRPr="00294722" w:rsidRDefault="00D00C3B" w:rsidP="005F6EB8">
            <w:pPr>
              <w:rPr>
                <w:color w:val="444448" w:themeColor="accent4"/>
                <w:spacing w:val="-4"/>
              </w:rPr>
            </w:pPr>
            <w:r w:rsidRPr="00294722">
              <w:rPr>
                <w:color w:val="444448" w:themeColor="accent4"/>
                <w:spacing w:val="-4"/>
              </w:rPr>
              <w:t>This</w:t>
            </w:r>
            <w:r w:rsidR="00EC21F6" w:rsidRPr="00294722">
              <w:rPr>
                <w:color w:val="444448" w:themeColor="accent4"/>
                <w:spacing w:val="-4"/>
              </w:rPr>
              <w:t xml:space="preserve"> inspection was conducted as part of ARPANSA’s baseline inspection program to assess compliance with the </w:t>
            </w:r>
            <w:r w:rsidR="00EC21F6" w:rsidRPr="00294722">
              <w:rPr>
                <w:i/>
                <w:color w:val="444448" w:themeColor="accent4"/>
                <w:spacing w:val="-4"/>
              </w:rPr>
              <w:t>Australian Radiation Protection and Nuclear Safety Act 1998</w:t>
            </w:r>
            <w:r w:rsidR="00EC21F6" w:rsidRPr="00294722">
              <w:rPr>
                <w:color w:val="444448" w:themeColor="accent4"/>
                <w:spacing w:val="-4"/>
              </w:rPr>
              <w:t xml:space="preserve"> (the Act), the Australian Radiation Protection and Nuclear Safety Regulations 2018 (the Regulations), and conditions </w:t>
            </w:r>
            <w:r w:rsidR="0035687D" w:rsidRPr="00294722">
              <w:rPr>
                <w:color w:val="444448" w:themeColor="accent4"/>
                <w:spacing w:val="-4"/>
              </w:rPr>
              <w:t>of the Source Licence</w:t>
            </w:r>
            <w:r w:rsidR="00BF5397" w:rsidRPr="00294722">
              <w:rPr>
                <w:color w:val="444448" w:themeColor="accent4"/>
                <w:spacing w:val="-4"/>
              </w:rPr>
              <w:t xml:space="preserve"> S0027</w:t>
            </w:r>
            <w:r w:rsidR="0035687D" w:rsidRPr="00294722">
              <w:rPr>
                <w:color w:val="444448" w:themeColor="accent4"/>
                <w:spacing w:val="-4"/>
              </w:rPr>
              <w:t xml:space="preserve">. </w:t>
            </w:r>
          </w:p>
          <w:p w14:paraId="1A4638F6" w14:textId="19FFCCE9" w:rsidR="0035687D" w:rsidRPr="00294722" w:rsidRDefault="0035687D" w:rsidP="005F6EB8">
            <w:pPr>
              <w:rPr>
                <w:color w:val="444448" w:themeColor="accent4"/>
              </w:rPr>
            </w:pPr>
            <w:r w:rsidRPr="00294722">
              <w:rPr>
                <w:color w:val="444448" w:themeColor="accent4"/>
              </w:rPr>
              <w:t>The scope of the inspection included an assessment of</w:t>
            </w:r>
            <w:r w:rsidR="003D0411" w:rsidRPr="00294722">
              <w:rPr>
                <w:color w:val="444448" w:themeColor="accent4"/>
              </w:rPr>
              <w:t xml:space="preserve"> performance at</w:t>
            </w:r>
            <w:r w:rsidRPr="00294722">
              <w:rPr>
                <w:color w:val="444448" w:themeColor="accent4"/>
              </w:rPr>
              <w:t xml:space="preserve"> </w:t>
            </w:r>
            <w:sdt>
              <w:sdtPr>
                <w:rPr>
                  <w:color w:val="444448" w:themeColor="accent4"/>
                </w:rPr>
                <w:alias w:val="Licence Holder"/>
                <w:tag w:val=""/>
                <w:id w:val="1374971004"/>
                <w:placeholder>
                  <w:docPart w:val="861EAC04517A4B59BEC451CE7E176CDC"/>
                </w:placeholder>
                <w:dataBinding w:prefixMappings="xmlns:ns0='http://purl.org/dc/elements/1.1/' xmlns:ns1='http://schemas.openxmlformats.org/package/2006/metadata/core-properties' " w:xpath="/ns1:coreProperties[1]/ns0:title[1]" w:storeItemID="{6C3C8BC8-F283-45AE-878A-BAB7291924A1}"/>
                <w:text/>
              </w:sdtPr>
              <w:sdtEndPr/>
              <w:sdtContent>
                <w:r w:rsidR="00346D0B" w:rsidRPr="00294722">
                  <w:rPr>
                    <w:color w:val="444448" w:themeColor="accent4"/>
                  </w:rPr>
                  <w:t>the Australian National University (ANU)</w:t>
                </w:r>
              </w:sdtContent>
            </w:sdt>
            <w:r w:rsidRPr="00294722">
              <w:rPr>
                <w:color w:val="444448" w:themeColor="accent4"/>
              </w:rPr>
              <w:t xml:space="preserve"> </w:t>
            </w:r>
            <w:r w:rsidR="00BF5397" w:rsidRPr="00294722">
              <w:rPr>
                <w:color w:val="444448" w:themeColor="accent4"/>
              </w:rPr>
              <w:t xml:space="preserve">Acton premises </w:t>
            </w:r>
            <w:r w:rsidR="00346D0B" w:rsidRPr="00294722">
              <w:rPr>
                <w:color w:val="444448" w:themeColor="accent4"/>
              </w:rPr>
              <w:t xml:space="preserve">within RSPhys </w:t>
            </w:r>
            <w:r w:rsidR="00BF5397" w:rsidRPr="00294722">
              <w:rPr>
                <w:color w:val="444448" w:themeColor="accent4"/>
              </w:rPr>
              <w:t>against the Source Performance O</w:t>
            </w:r>
            <w:r w:rsidR="00294722">
              <w:rPr>
                <w:color w:val="444448" w:themeColor="accent4"/>
              </w:rPr>
              <w:t xml:space="preserve">bjectives and Criteria (PO&amp;C). </w:t>
            </w:r>
            <w:r w:rsidR="00BF5397" w:rsidRPr="00294722">
              <w:rPr>
                <w:color w:val="444448" w:themeColor="accent4"/>
              </w:rPr>
              <w:t>The inspection consisted of a review of records, interviews, and a physical inspection of sources.</w:t>
            </w:r>
            <w:r w:rsidRPr="00294722">
              <w:rPr>
                <w:color w:val="444448" w:themeColor="accent4"/>
              </w:rPr>
              <w:t xml:space="preserve"> </w:t>
            </w:r>
          </w:p>
          <w:p w14:paraId="1303E792" w14:textId="77777777" w:rsidR="0035687D" w:rsidRPr="00AF4FF3" w:rsidRDefault="0035687D" w:rsidP="005F6EB8">
            <w:pPr>
              <w:pStyle w:val="Heading1"/>
              <w:spacing w:before="240"/>
              <w:outlineLvl w:val="0"/>
            </w:pPr>
            <w:r w:rsidRPr="00AF4FF3">
              <w:t>Background</w:t>
            </w:r>
          </w:p>
          <w:p w14:paraId="17D79A58" w14:textId="4F16E66D" w:rsidR="00BF5397" w:rsidRPr="00294722" w:rsidRDefault="00BF5397" w:rsidP="00F857E1">
            <w:pPr>
              <w:spacing w:before="120"/>
              <w:rPr>
                <w:color w:val="444448" w:themeColor="accent4"/>
              </w:rPr>
            </w:pPr>
            <w:r w:rsidRPr="00294722">
              <w:rPr>
                <w:color w:val="444448" w:themeColor="accent4"/>
              </w:rPr>
              <w:t>ANU is a research-intensive university located in Acton, Australian Capital Territory (ACT) and specialises in a range of activities that require the use of radioactive materials and ionising and non-ionising radiation apparatus. The ANU source licence covers several schools at the Acton campus and one at Mt Stromlo, ACT many of which use controlled apparatus and controlled materials as part of their research and teaching roles. ANU is licensed under section 33 of the Act to deal with controlled material and controlled apparatus for research purposes in its various schools.</w:t>
            </w:r>
          </w:p>
          <w:p w14:paraId="4548CE54" w14:textId="0F933B98" w:rsidR="00BF5397" w:rsidRPr="00294722" w:rsidRDefault="00EC21F6" w:rsidP="005F6EB8">
            <w:pPr>
              <w:rPr>
                <w:color w:val="444448" w:themeColor="accent4"/>
              </w:rPr>
            </w:pPr>
            <w:r w:rsidRPr="00294722">
              <w:rPr>
                <w:color w:val="444448" w:themeColor="accent4"/>
              </w:rPr>
              <w:t>The main codes and standards applicable to this licence are those that appear in section 59 of the Regulations plus:</w:t>
            </w:r>
          </w:p>
          <w:p w14:paraId="06D3AB47" w14:textId="22377065" w:rsidR="000F46DD" w:rsidRPr="00294722" w:rsidRDefault="000F46DD" w:rsidP="005F6EB8">
            <w:pPr>
              <w:pStyle w:val="ListParagraph"/>
              <w:numPr>
                <w:ilvl w:val="0"/>
                <w:numId w:val="18"/>
              </w:numPr>
              <w:autoSpaceDE w:val="0"/>
              <w:autoSpaceDN w:val="0"/>
              <w:adjustRightInd w:val="0"/>
              <w:rPr>
                <w:color w:val="444448" w:themeColor="accent4"/>
              </w:rPr>
            </w:pPr>
            <w:r w:rsidRPr="00294722">
              <w:rPr>
                <w:color w:val="444448" w:themeColor="accent4"/>
              </w:rPr>
              <w:t xml:space="preserve">Radiation Protection Series No. C-4 </w:t>
            </w:r>
            <w:r w:rsidRPr="00294722">
              <w:rPr>
                <w:i/>
                <w:color w:val="444448" w:themeColor="accent4"/>
              </w:rPr>
              <w:t>Code of Radiation Protection Requirements for Industrial Radiography</w:t>
            </w:r>
            <w:r w:rsidRPr="00294722">
              <w:rPr>
                <w:color w:val="444448" w:themeColor="accent4"/>
              </w:rPr>
              <w:t xml:space="preserve"> (2018) (RPS C-</w:t>
            </w:r>
            <w:r w:rsidR="00255435" w:rsidRPr="00294722">
              <w:rPr>
                <w:color w:val="444448" w:themeColor="accent4"/>
              </w:rPr>
              <w:t>4</w:t>
            </w:r>
            <w:r w:rsidRPr="00294722">
              <w:rPr>
                <w:color w:val="444448" w:themeColor="accent4"/>
              </w:rPr>
              <w:t>)</w:t>
            </w:r>
          </w:p>
          <w:p w14:paraId="15203460" w14:textId="45AA352B" w:rsidR="00BF5397" w:rsidRPr="00294722" w:rsidRDefault="00BF5397" w:rsidP="005F6EB8">
            <w:pPr>
              <w:pStyle w:val="ListParagraph"/>
              <w:numPr>
                <w:ilvl w:val="0"/>
                <w:numId w:val="18"/>
              </w:numPr>
              <w:tabs>
                <w:tab w:val="num" w:pos="426"/>
              </w:tabs>
              <w:autoSpaceDE w:val="0"/>
              <w:autoSpaceDN w:val="0"/>
              <w:adjustRightInd w:val="0"/>
              <w:rPr>
                <w:color w:val="444448" w:themeColor="accent4"/>
                <w:spacing w:val="-4"/>
              </w:rPr>
            </w:pPr>
            <w:r w:rsidRPr="00294722">
              <w:rPr>
                <w:color w:val="444448" w:themeColor="accent4"/>
                <w:spacing w:val="-4"/>
              </w:rPr>
              <w:t xml:space="preserve">Australian Standard </w:t>
            </w:r>
            <w:r w:rsidRPr="00294722">
              <w:rPr>
                <w:i/>
                <w:color w:val="444448" w:themeColor="accent4"/>
                <w:spacing w:val="-4"/>
              </w:rPr>
              <w:t>Safety in Laboratories – Ionizing Radiations</w:t>
            </w:r>
            <w:r w:rsidRPr="00294722">
              <w:rPr>
                <w:color w:val="444448" w:themeColor="accent4"/>
                <w:spacing w:val="-4"/>
              </w:rPr>
              <w:t xml:space="preserve"> (</w:t>
            </w:r>
            <w:r w:rsidR="00EC21F6" w:rsidRPr="00294722">
              <w:rPr>
                <w:color w:val="444448" w:themeColor="accent4"/>
                <w:spacing w:val="-4"/>
              </w:rPr>
              <w:t>2018</w:t>
            </w:r>
            <w:r w:rsidRPr="00294722">
              <w:rPr>
                <w:color w:val="444448" w:themeColor="accent4"/>
                <w:spacing w:val="-4"/>
              </w:rPr>
              <w:t>) (AS 2243.4-</w:t>
            </w:r>
            <w:r w:rsidR="00EC21F6" w:rsidRPr="00294722">
              <w:rPr>
                <w:color w:val="444448" w:themeColor="accent4"/>
                <w:spacing w:val="-4"/>
              </w:rPr>
              <w:t>201</w:t>
            </w:r>
            <w:r w:rsidRPr="00294722">
              <w:rPr>
                <w:color w:val="444448" w:themeColor="accent4"/>
                <w:spacing w:val="-4"/>
              </w:rPr>
              <w:t>8) (the IR Standard)</w:t>
            </w:r>
          </w:p>
          <w:p w14:paraId="0F8601C6" w14:textId="77777777" w:rsidR="00BF5397" w:rsidRPr="00294722" w:rsidRDefault="00BF5397" w:rsidP="005F6EB8">
            <w:pPr>
              <w:pStyle w:val="ListParagraph"/>
              <w:numPr>
                <w:ilvl w:val="0"/>
                <w:numId w:val="18"/>
              </w:numPr>
              <w:tabs>
                <w:tab w:val="num" w:pos="426"/>
              </w:tabs>
              <w:autoSpaceDE w:val="0"/>
              <w:autoSpaceDN w:val="0"/>
              <w:adjustRightInd w:val="0"/>
              <w:rPr>
                <w:color w:val="444448" w:themeColor="accent4"/>
              </w:rPr>
            </w:pPr>
            <w:r w:rsidRPr="00294722">
              <w:rPr>
                <w:color w:val="444448" w:themeColor="accent4"/>
              </w:rPr>
              <w:t xml:space="preserve">Radiation Protection Series No. 12 </w:t>
            </w:r>
            <w:r w:rsidRPr="00294722">
              <w:rPr>
                <w:i/>
                <w:color w:val="444448" w:themeColor="accent4"/>
              </w:rPr>
              <w:t>Radiation Protection Standard for Occupational Exposure to Ultraviolet Radiation</w:t>
            </w:r>
            <w:r w:rsidRPr="00294722">
              <w:rPr>
                <w:color w:val="444448" w:themeColor="accent4"/>
              </w:rPr>
              <w:t xml:space="preserve"> (2006) (RPS12)</w:t>
            </w:r>
          </w:p>
          <w:p w14:paraId="22FEB391" w14:textId="77777777" w:rsidR="00BF5397" w:rsidRPr="00294722" w:rsidRDefault="00BF5397" w:rsidP="005F6EB8">
            <w:pPr>
              <w:pStyle w:val="ListParagraph"/>
              <w:numPr>
                <w:ilvl w:val="0"/>
                <w:numId w:val="18"/>
              </w:numPr>
              <w:tabs>
                <w:tab w:val="num" w:pos="426"/>
              </w:tabs>
              <w:autoSpaceDE w:val="0"/>
              <w:autoSpaceDN w:val="0"/>
              <w:adjustRightInd w:val="0"/>
              <w:rPr>
                <w:color w:val="444448" w:themeColor="accent4"/>
              </w:rPr>
            </w:pPr>
            <w:r w:rsidRPr="00294722">
              <w:rPr>
                <w:color w:val="444448" w:themeColor="accent4"/>
              </w:rPr>
              <w:t xml:space="preserve">Radiation Health Series 9 </w:t>
            </w:r>
            <w:r w:rsidRPr="00294722">
              <w:rPr>
                <w:i/>
                <w:color w:val="444448" w:themeColor="accent4"/>
              </w:rPr>
              <w:t>Code of practice for protection against ionizing radiation emitted from X</w:t>
            </w:r>
            <w:r w:rsidRPr="00294722">
              <w:rPr>
                <w:i/>
                <w:color w:val="444448" w:themeColor="accent4"/>
              </w:rPr>
              <w:noBreakHyphen/>
              <w:t>ray analysis equipment</w:t>
            </w:r>
            <w:r w:rsidRPr="00294722">
              <w:rPr>
                <w:color w:val="444448" w:themeColor="accent4"/>
              </w:rPr>
              <w:t xml:space="preserve"> (1984) (RHS9)</w:t>
            </w:r>
          </w:p>
          <w:p w14:paraId="203B82B7" w14:textId="77777777" w:rsidR="00BF5397" w:rsidRPr="00294722" w:rsidRDefault="00BF5397" w:rsidP="005F6EB8">
            <w:pPr>
              <w:pStyle w:val="ListParagraph"/>
              <w:numPr>
                <w:ilvl w:val="0"/>
                <w:numId w:val="18"/>
              </w:numPr>
              <w:tabs>
                <w:tab w:val="num" w:pos="426"/>
              </w:tabs>
              <w:autoSpaceDE w:val="0"/>
              <w:autoSpaceDN w:val="0"/>
              <w:adjustRightInd w:val="0"/>
              <w:rPr>
                <w:color w:val="444448" w:themeColor="accent4"/>
              </w:rPr>
            </w:pPr>
            <w:r w:rsidRPr="00294722">
              <w:rPr>
                <w:color w:val="444448" w:themeColor="accent4"/>
              </w:rPr>
              <w:t xml:space="preserve">Australian/New Zealand Standard </w:t>
            </w:r>
            <w:r w:rsidRPr="00294722">
              <w:rPr>
                <w:i/>
                <w:color w:val="444448" w:themeColor="accent4"/>
              </w:rPr>
              <w:t>Safety in laboratories - Non-ionizing radiations-Electromagnetic, sound and ultrasound</w:t>
            </w:r>
            <w:r w:rsidRPr="00294722">
              <w:rPr>
                <w:color w:val="444448" w:themeColor="accent4"/>
              </w:rPr>
              <w:t xml:space="preserve"> (2004) (AS/NZS 2243.5:2004) (the NIR Standard)</w:t>
            </w:r>
          </w:p>
          <w:p w14:paraId="2612736F" w14:textId="77777777" w:rsidR="00BF5397" w:rsidRPr="00294722" w:rsidRDefault="00BF5397" w:rsidP="005F6EB8">
            <w:pPr>
              <w:pStyle w:val="ListParagraph"/>
              <w:numPr>
                <w:ilvl w:val="0"/>
                <w:numId w:val="18"/>
              </w:numPr>
              <w:tabs>
                <w:tab w:val="num" w:pos="426"/>
              </w:tabs>
              <w:autoSpaceDE w:val="0"/>
              <w:autoSpaceDN w:val="0"/>
              <w:adjustRightInd w:val="0"/>
              <w:rPr>
                <w:color w:val="444448" w:themeColor="accent4"/>
              </w:rPr>
            </w:pPr>
            <w:r w:rsidRPr="00294722">
              <w:rPr>
                <w:color w:val="444448" w:themeColor="accent4"/>
              </w:rPr>
              <w:t xml:space="preserve">Australian/New Zealand Standard </w:t>
            </w:r>
            <w:r w:rsidRPr="00294722">
              <w:rPr>
                <w:i/>
                <w:color w:val="444448" w:themeColor="accent4"/>
              </w:rPr>
              <w:t>Safety of laser products Part 1: Equipment classification</w:t>
            </w:r>
            <w:r w:rsidRPr="00294722">
              <w:rPr>
                <w:color w:val="444448" w:themeColor="accent4"/>
              </w:rPr>
              <w:t xml:space="preserve"> (AS/NZS IEC 60825-1:2014)</w:t>
            </w:r>
          </w:p>
          <w:p w14:paraId="2CE331B5" w14:textId="77777777" w:rsidR="0035687D" w:rsidRPr="00294722" w:rsidRDefault="00BF5397" w:rsidP="005F6EB8">
            <w:pPr>
              <w:pStyle w:val="ListParagraph"/>
              <w:numPr>
                <w:ilvl w:val="0"/>
                <w:numId w:val="18"/>
              </w:numPr>
              <w:tabs>
                <w:tab w:val="num" w:pos="426"/>
              </w:tabs>
              <w:autoSpaceDE w:val="0"/>
              <w:autoSpaceDN w:val="0"/>
              <w:adjustRightInd w:val="0"/>
              <w:rPr>
                <w:color w:val="444448" w:themeColor="accent4"/>
              </w:rPr>
            </w:pPr>
            <w:r w:rsidRPr="00294722">
              <w:rPr>
                <w:color w:val="444448" w:themeColor="accent4"/>
              </w:rPr>
              <w:t xml:space="preserve">Australian/New Zealand Standard </w:t>
            </w:r>
            <w:r w:rsidRPr="00294722">
              <w:rPr>
                <w:i/>
                <w:color w:val="444448" w:themeColor="accent4"/>
              </w:rPr>
              <w:t>Safety of laser products Part 14: A user’s guide</w:t>
            </w:r>
            <w:r w:rsidRPr="00294722">
              <w:rPr>
                <w:color w:val="444448" w:themeColor="accent4"/>
              </w:rPr>
              <w:t xml:space="preserve"> (AS/NZS IEC 60825-14:2011)</w:t>
            </w:r>
          </w:p>
          <w:p w14:paraId="22F6B211" w14:textId="77777777" w:rsidR="0035687D" w:rsidRPr="00AF4FF3" w:rsidRDefault="0035687D" w:rsidP="005F6EB8">
            <w:pPr>
              <w:pStyle w:val="Heading1"/>
              <w:spacing w:before="240"/>
              <w:outlineLvl w:val="0"/>
              <w:rPr>
                <w:rFonts w:asciiTheme="majorHAnsi" w:hAnsiTheme="majorHAnsi"/>
                <w:color w:val="AF6FE0" w:themeColor="accent1" w:themeShade="BF"/>
              </w:rPr>
            </w:pPr>
            <w:r w:rsidRPr="00AF4FF3">
              <w:t>Observations</w:t>
            </w:r>
          </w:p>
          <w:p w14:paraId="6D19EA53" w14:textId="7967CF6E" w:rsidR="0035687D" w:rsidRPr="00294722" w:rsidRDefault="00BF5397" w:rsidP="005F6EB8">
            <w:pPr>
              <w:spacing w:before="120"/>
              <w:rPr>
                <w:color w:val="444448" w:themeColor="accent4"/>
              </w:rPr>
            </w:pPr>
            <w:r w:rsidRPr="00294722">
              <w:rPr>
                <w:color w:val="444448" w:themeColor="accent4"/>
              </w:rPr>
              <w:t xml:space="preserve">In general, the management of radiation safety at </w:t>
            </w:r>
            <w:r w:rsidR="00346D0B" w:rsidRPr="00294722">
              <w:rPr>
                <w:color w:val="444448" w:themeColor="accent4"/>
              </w:rPr>
              <w:t>RSPhys</w:t>
            </w:r>
            <w:r w:rsidRPr="00294722">
              <w:rPr>
                <w:color w:val="444448" w:themeColor="accent4"/>
              </w:rPr>
              <w:t xml:space="preserve"> in relation to controlled material and controlled apparatus </w:t>
            </w:r>
            <w:r w:rsidR="00294722" w:rsidRPr="00294722">
              <w:rPr>
                <w:color w:val="444448" w:themeColor="accent4"/>
              </w:rPr>
              <w:t xml:space="preserve">was found to be sound. </w:t>
            </w:r>
            <w:r w:rsidR="00F740CF" w:rsidRPr="00294722">
              <w:rPr>
                <w:color w:val="444448" w:themeColor="accent4"/>
              </w:rPr>
              <w:t>H</w:t>
            </w:r>
            <w:r w:rsidRPr="00294722">
              <w:rPr>
                <w:color w:val="444448" w:themeColor="accent4"/>
              </w:rPr>
              <w:t xml:space="preserve">owever, </w:t>
            </w:r>
            <w:r w:rsidR="00F740CF" w:rsidRPr="00294722">
              <w:rPr>
                <w:color w:val="444448" w:themeColor="accent4"/>
              </w:rPr>
              <w:t xml:space="preserve">in some cases </w:t>
            </w:r>
            <w:r w:rsidRPr="00294722">
              <w:rPr>
                <w:color w:val="444448" w:themeColor="accent4"/>
              </w:rPr>
              <w:t>there appeared to be room for improvement as follows:</w:t>
            </w:r>
          </w:p>
          <w:p w14:paraId="163F5C2E" w14:textId="0DC9B1EF" w:rsidR="00753CA9" w:rsidRPr="00294722" w:rsidRDefault="000F46DD" w:rsidP="00C8354B">
            <w:pPr>
              <w:pStyle w:val="ListParagraph"/>
              <w:numPr>
                <w:ilvl w:val="0"/>
                <w:numId w:val="19"/>
              </w:numPr>
              <w:rPr>
                <w:color w:val="444448" w:themeColor="accent4"/>
              </w:rPr>
            </w:pPr>
            <w:r w:rsidRPr="00294722">
              <w:rPr>
                <w:color w:val="444448" w:themeColor="accent4"/>
              </w:rPr>
              <w:t xml:space="preserve">There was no evidence that interlock checks were being carried out on the industrial radiography cabinets in accordance with the </w:t>
            </w:r>
            <w:r w:rsidR="00255435" w:rsidRPr="00294722">
              <w:rPr>
                <w:color w:val="444448" w:themeColor="accent4"/>
              </w:rPr>
              <w:t>requirements of RPS C-4</w:t>
            </w:r>
            <w:r w:rsidR="00545439" w:rsidRPr="00294722">
              <w:rPr>
                <w:color w:val="444448" w:themeColor="accent4"/>
              </w:rPr>
              <w:t>.</w:t>
            </w:r>
          </w:p>
          <w:p w14:paraId="5159FA8F" w14:textId="257C1AE8" w:rsidR="00346D0B" w:rsidRPr="00294722" w:rsidRDefault="00255435" w:rsidP="00C8354B">
            <w:pPr>
              <w:pStyle w:val="Footer"/>
              <w:numPr>
                <w:ilvl w:val="0"/>
                <w:numId w:val="16"/>
              </w:numPr>
              <w:spacing w:before="120"/>
              <w:ind w:left="714" w:hanging="357"/>
              <w:rPr>
                <w:color w:val="444448" w:themeColor="accent4"/>
              </w:rPr>
            </w:pPr>
            <w:r w:rsidRPr="00294722">
              <w:rPr>
                <w:color w:val="444448" w:themeColor="accent4"/>
              </w:rPr>
              <w:t>Some lasers did not bear durable and clearly discernible labels on them</w:t>
            </w:r>
            <w:r w:rsidR="00346D0B" w:rsidRPr="00294722">
              <w:rPr>
                <w:color w:val="444448" w:themeColor="accent4"/>
              </w:rPr>
              <w:t>, specifically the manufacturer’s labels on some laser devices were not clearly visible during operation.</w:t>
            </w:r>
          </w:p>
          <w:p w14:paraId="31F1CE3B" w14:textId="3B924020" w:rsidR="00BD0627" w:rsidRPr="00294722" w:rsidRDefault="00DE2BEB" w:rsidP="00C8354B">
            <w:pPr>
              <w:pStyle w:val="Footer"/>
              <w:numPr>
                <w:ilvl w:val="0"/>
                <w:numId w:val="19"/>
              </w:numPr>
              <w:spacing w:before="120"/>
              <w:rPr>
                <w:color w:val="444448" w:themeColor="accent4"/>
              </w:rPr>
            </w:pPr>
            <w:r w:rsidRPr="00294722">
              <w:rPr>
                <w:color w:val="444448" w:themeColor="accent4"/>
              </w:rPr>
              <w:lastRenderedPageBreak/>
              <w:t>Some of the lasers were stored with the keys left in the controller.</w:t>
            </w:r>
            <w:r w:rsidR="00346D0B" w:rsidRPr="00294722">
              <w:rPr>
                <w:color w:val="444448" w:themeColor="accent4"/>
              </w:rPr>
              <w:t xml:space="preserve"> </w:t>
            </w:r>
          </w:p>
          <w:p w14:paraId="79CC3D3F" w14:textId="12699C9D" w:rsidR="00753CA9" w:rsidRPr="00294722" w:rsidRDefault="00A829C8" w:rsidP="00C8354B">
            <w:pPr>
              <w:pStyle w:val="Footer"/>
              <w:numPr>
                <w:ilvl w:val="0"/>
                <w:numId w:val="19"/>
              </w:numPr>
              <w:spacing w:before="120"/>
              <w:rPr>
                <w:color w:val="444448" w:themeColor="accent4"/>
              </w:rPr>
            </w:pPr>
            <w:r w:rsidRPr="00294722">
              <w:rPr>
                <w:color w:val="444448" w:themeColor="accent4"/>
              </w:rPr>
              <w:t xml:space="preserve">Some laser eyewear did not cover </w:t>
            </w:r>
            <w:r w:rsidR="00980E93" w:rsidRPr="00294722">
              <w:rPr>
                <w:color w:val="444448" w:themeColor="accent4"/>
              </w:rPr>
              <w:t xml:space="preserve">fully </w:t>
            </w:r>
            <w:r w:rsidRPr="00294722">
              <w:rPr>
                <w:color w:val="444448" w:themeColor="accent4"/>
              </w:rPr>
              <w:t>the range of the accessible emissions</w:t>
            </w:r>
          </w:p>
          <w:p w14:paraId="55C5E75F" w14:textId="4722962B" w:rsidR="00CF2F06" w:rsidRPr="00294722" w:rsidRDefault="00980E93" w:rsidP="005F6EB8">
            <w:pPr>
              <w:pStyle w:val="Heading2"/>
              <w:outlineLvl w:val="1"/>
              <w:rPr>
                <w:rFonts w:asciiTheme="minorHAnsi" w:eastAsiaTheme="minorHAnsi" w:hAnsiTheme="minorHAnsi" w:cstheme="minorBidi"/>
                <w:b w:val="0"/>
                <w:bCs w:val="0"/>
                <w:color w:val="444448" w:themeColor="accent4"/>
                <w:sz w:val="22"/>
                <w:szCs w:val="22"/>
              </w:rPr>
            </w:pPr>
            <w:r w:rsidRPr="00294722">
              <w:rPr>
                <w:rFonts w:asciiTheme="minorHAnsi" w:eastAsiaTheme="minorHAnsi" w:hAnsiTheme="minorHAnsi" w:cstheme="minorBidi"/>
                <w:b w:val="0"/>
                <w:bCs w:val="0"/>
                <w:color w:val="444448" w:themeColor="accent4"/>
                <w:sz w:val="22"/>
                <w:szCs w:val="22"/>
              </w:rPr>
              <w:t>O</w:t>
            </w:r>
            <w:r w:rsidR="00CF2F06" w:rsidRPr="00294722">
              <w:rPr>
                <w:rFonts w:asciiTheme="minorHAnsi" w:eastAsiaTheme="minorHAnsi" w:hAnsiTheme="minorHAnsi" w:cstheme="minorBidi"/>
                <w:b w:val="0"/>
                <w:bCs w:val="0"/>
                <w:color w:val="444448" w:themeColor="accent4"/>
                <w:sz w:val="22"/>
                <w:szCs w:val="22"/>
              </w:rPr>
              <w:t xml:space="preserve">bservations of the laser products </w:t>
            </w:r>
            <w:r w:rsidRPr="00294722">
              <w:rPr>
                <w:rFonts w:asciiTheme="minorHAnsi" w:eastAsiaTheme="minorHAnsi" w:hAnsiTheme="minorHAnsi" w:cstheme="minorBidi"/>
                <w:b w:val="0"/>
                <w:bCs w:val="0"/>
                <w:color w:val="444448" w:themeColor="accent4"/>
                <w:sz w:val="22"/>
                <w:szCs w:val="22"/>
              </w:rPr>
              <w:t>need to</w:t>
            </w:r>
            <w:r w:rsidR="00CF2F06" w:rsidRPr="00294722">
              <w:rPr>
                <w:rFonts w:asciiTheme="minorHAnsi" w:eastAsiaTheme="minorHAnsi" w:hAnsiTheme="minorHAnsi" w:cstheme="minorBidi"/>
                <w:b w:val="0"/>
                <w:bCs w:val="0"/>
                <w:color w:val="444448" w:themeColor="accent4"/>
                <w:sz w:val="22"/>
                <w:szCs w:val="22"/>
              </w:rPr>
              <w:t xml:space="preserve"> be verified </w:t>
            </w:r>
            <w:r w:rsidR="00B24909" w:rsidRPr="00294722">
              <w:rPr>
                <w:rFonts w:asciiTheme="minorHAnsi" w:eastAsiaTheme="minorHAnsi" w:hAnsiTheme="minorHAnsi" w:cstheme="minorBidi"/>
                <w:b w:val="0"/>
                <w:bCs w:val="0"/>
                <w:color w:val="444448" w:themeColor="accent4"/>
                <w:sz w:val="22"/>
                <w:szCs w:val="22"/>
              </w:rPr>
              <w:t xml:space="preserve">by the RSO/LSO </w:t>
            </w:r>
            <w:r w:rsidR="00CF2F06" w:rsidRPr="00294722">
              <w:rPr>
                <w:rFonts w:asciiTheme="minorHAnsi" w:eastAsiaTheme="minorHAnsi" w:hAnsiTheme="minorHAnsi" w:cstheme="minorBidi"/>
                <w:b w:val="0"/>
                <w:bCs w:val="0"/>
                <w:color w:val="444448" w:themeColor="accent4"/>
                <w:sz w:val="22"/>
                <w:szCs w:val="22"/>
              </w:rPr>
              <w:t>during the audit of all controlled apparatus and material for compliance.</w:t>
            </w:r>
          </w:p>
          <w:p w14:paraId="2B5692F9" w14:textId="16076523" w:rsidR="0035687D" w:rsidRPr="00C4763B" w:rsidRDefault="00FC7713" w:rsidP="005F6EB8">
            <w:pPr>
              <w:pStyle w:val="Heading2"/>
              <w:outlineLvl w:val="1"/>
              <w:rPr>
                <w:i/>
              </w:rPr>
            </w:pPr>
            <w:r w:rsidRPr="00C4763B">
              <w:rPr>
                <w:i/>
              </w:rPr>
              <w:t xml:space="preserve">Performance </w:t>
            </w:r>
            <w:r w:rsidR="00294722">
              <w:rPr>
                <w:i/>
              </w:rPr>
              <w:t>r</w:t>
            </w:r>
            <w:r w:rsidRPr="00C4763B">
              <w:rPr>
                <w:i/>
              </w:rPr>
              <w:t xml:space="preserve">eporting </w:t>
            </w:r>
            <w:r w:rsidR="00294722">
              <w:rPr>
                <w:i/>
              </w:rPr>
              <w:t>v</w:t>
            </w:r>
            <w:r w:rsidRPr="00C4763B">
              <w:rPr>
                <w:i/>
              </w:rPr>
              <w:t>erification</w:t>
            </w:r>
            <w:r w:rsidR="0035687D" w:rsidRPr="00C4763B">
              <w:rPr>
                <w:i/>
              </w:rPr>
              <w:t xml:space="preserve"> </w:t>
            </w:r>
          </w:p>
          <w:p w14:paraId="33512250" w14:textId="5F8463EE" w:rsidR="009649B9" w:rsidRPr="00294722" w:rsidRDefault="00FC7713" w:rsidP="005F6EB8">
            <w:pPr>
              <w:spacing w:before="120"/>
              <w:rPr>
                <w:color w:val="444448" w:themeColor="accent4"/>
                <w:lang w:val="en-US"/>
              </w:rPr>
            </w:pPr>
            <w:r w:rsidRPr="00294722">
              <w:rPr>
                <w:color w:val="444448" w:themeColor="accent4"/>
                <w:lang w:val="en-US"/>
              </w:rPr>
              <w:t xml:space="preserve">Radiation matters are reported quarterly at the </w:t>
            </w:r>
            <w:r w:rsidR="009649B9" w:rsidRPr="00294722">
              <w:rPr>
                <w:color w:val="444448" w:themeColor="accent4"/>
                <w:lang w:val="en-US"/>
              </w:rPr>
              <w:t xml:space="preserve">Work Health and Safety Committees of </w:t>
            </w:r>
            <w:r w:rsidR="00346D0B" w:rsidRPr="00294722">
              <w:rPr>
                <w:color w:val="444448" w:themeColor="accent4"/>
                <w:lang w:val="en-US"/>
              </w:rPr>
              <w:t>RSPhys</w:t>
            </w:r>
            <w:r w:rsidRPr="00294722">
              <w:rPr>
                <w:color w:val="444448" w:themeColor="accent4"/>
                <w:lang w:val="en-US"/>
              </w:rPr>
              <w:t xml:space="preserve"> and the ANU Radiation Safety Advisory Group.  </w:t>
            </w:r>
          </w:p>
          <w:p w14:paraId="4A9E3852" w14:textId="742088CE" w:rsidR="0035687D" w:rsidRPr="00294722" w:rsidRDefault="009649B9" w:rsidP="005F6EB8">
            <w:pPr>
              <w:rPr>
                <w:color w:val="444448" w:themeColor="accent4"/>
              </w:rPr>
            </w:pPr>
            <w:r w:rsidRPr="00294722">
              <w:rPr>
                <w:color w:val="444448" w:themeColor="accent4"/>
                <w:lang w:val="en-US"/>
              </w:rPr>
              <w:t xml:space="preserve">The ANU </w:t>
            </w:r>
            <w:r w:rsidR="00473C7F" w:rsidRPr="00294722">
              <w:rPr>
                <w:color w:val="444448" w:themeColor="accent4"/>
                <w:lang w:val="en-US"/>
              </w:rPr>
              <w:t>Work Health and Safety Consultant, as a member of the ANU Radiation Safety Advisory Group,</w:t>
            </w:r>
            <w:r w:rsidRPr="00294722">
              <w:rPr>
                <w:color w:val="444448" w:themeColor="accent4"/>
                <w:lang w:val="en-US"/>
              </w:rPr>
              <w:t xml:space="preserve"> coordinates i</w:t>
            </w:r>
            <w:r w:rsidR="00FC7713" w:rsidRPr="00294722">
              <w:rPr>
                <w:color w:val="444448" w:themeColor="accent4"/>
                <w:lang w:val="en-US"/>
              </w:rPr>
              <w:t xml:space="preserve">nformation for quarterly reports through the Work Environment Group </w:t>
            </w:r>
            <w:r w:rsidR="00F857E1" w:rsidRPr="00294722">
              <w:rPr>
                <w:color w:val="444448" w:themeColor="accent4"/>
                <w:lang w:val="en-US"/>
              </w:rPr>
              <w:t xml:space="preserve">(WEG) </w:t>
            </w:r>
            <w:r w:rsidR="00FC7713" w:rsidRPr="00294722">
              <w:rPr>
                <w:color w:val="444448" w:themeColor="accent4"/>
                <w:lang w:val="en-US"/>
              </w:rPr>
              <w:t>with input from each school</w:t>
            </w:r>
            <w:r w:rsidR="00DE2BEB" w:rsidRPr="00294722">
              <w:rPr>
                <w:color w:val="444448" w:themeColor="accent4"/>
                <w:lang w:val="en-US"/>
              </w:rPr>
              <w:t xml:space="preserve">, including </w:t>
            </w:r>
            <w:r w:rsidR="00346D0B" w:rsidRPr="00294722">
              <w:rPr>
                <w:color w:val="444448" w:themeColor="accent4"/>
                <w:lang w:val="en-US"/>
              </w:rPr>
              <w:t>RSPhys</w:t>
            </w:r>
            <w:r w:rsidR="00294722" w:rsidRPr="00294722">
              <w:rPr>
                <w:color w:val="444448" w:themeColor="accent4"/>
                <w:lang w:val="en-US"/>
              </w:rPr>
              <w:t>.</w:t>
            </w:r>
            <w:r w:rsidRPr="00294722">
              <w:rPr>
                <w:color w:val="444448" w:themeColor="accent4"/>
                <w:lang w:val="en-US"/>
              </w:rPr>
              <w:t xml:space="preserve"> Once collected, this information is </w:t>
            </w:r>
            <w:r w:rsidR="00FC7713" w:rsidRPr="00294722">
              <w:rPr>
                <w:color w:val="444448" w:themeColor="accent4"/>
                <w:lang w:val="en-US"/>
              </w:rPr>
              <w:t>consolidat</w:t>
            </w:r>
            <w:r w:rsidRPr="00294722">
              <w:rPr>
                <w:color w:val="444448" w:themeColor="accent4"/>
                <w:lang w:val="en-US"/>
              </w:rPr>
              <w:t>ed</w:t>
            </w:r>
            <w:r w:rsidR="00FC7713" w:rsidRPr="00294722">
              <w:rPr>
                <w:color w:val="444448" w:themeColor="accent4"/>
                <w:lang w:val="en-US"/>
              </w:rPr>
              <w:t xml:space="preserve"> in</w:t>
            </w:r>
            <w:r w:rsidR="00294722" w:rsidRPr="00294722">
              <w:rPr>
                <w:color w:val="444448" w:themeColor="accent4"/>
                <w:lang w:val="en-US"/>
              </w:rPr>
              <w:t>to one final report to ARPANSA.</w:t>
            </w:r>
            <w:r w:rsidR="00FC7713" w:rsidRPr="00294722">
              <w:rPr>
                <w:color w:val="444448" w:themeColor="accent4"/>
                <w:lang w:val="en-US"/>
              </w:rPr>
              <w:t xml:space="preserve"> </w:t>
            </w:r>
            <w:r w:rsidR="00FC7713" w:rsidRPr="00294722">
              <w:rPr>
                <w:color w:val="444448" w:themeColor="accent4"/>
              </w:rPr>
              <w:t>ANU quarterly reports have been submitted to ARPANSA in a timely manner in recent years and contained relevant information including details of compliance with the Act and Regulations.</w:t>
            </w:r>
          </w:p>
          <w:p w14:paraId="32E372CA" w14:textId="53C0301B" w:rsidR="00DC313C" w:rsidRPr="00DC313C" w:rsidRDefault="00DC313C" w:rsidP="005F6EB8">
            <w:pPr>
              <w:pStyle w:val="Heading2"/>
              <w:outlineLvl w:val="1"/>
            </w:pPr>
            <w:r w:rsidRPr="00C4763B">
              <w:rPr>
                <w:i/>
              </w:rPr>
              <w:t xml:space="preserve">Configuration </w:t>
            </w:r>
            <w:r w:rsidR="00294722">
              <w:rPr>
                <w:i/>
              </w:rPr>
              <w:t>m</w:t>
            </w:r>
            <w:r w:rsidRPr="00C4763B">
              <w:rPr>
                <w:i/>
              </w:rPr>
              <w:t>anagement</w:t>
            </w:r>
          </w:p>
          <w:p w14:paraId="5B507089" w14:textId="65720687" w:rsidR="00DE2BEB" w:rsidRPr="00294722" w:rsidRDefault="00DE2BEB" w:rsidP="005F6EB8">
            <w:pPr>
              <w:spacing w:before="120"/>
              <w:rPr>
                <w:color w:val="444448" w:themeColor="accent4"/>
              </w:rPr>
            </w:pPr>
            <w:r w:rsidRPr="00294722">
              <w:rPr>
                <w:color w:val="444448" w:themeColor="accent4"/>
              </w:rPr>
              <w:t>O</w:t>
            </w:r>
            <w:r w:rsidR="00DC313C" w:rsidRPr="00294722">
              <w:rPr>
                <w:color w:val="444448" w:themeColor="accent4"/>
              </w:rPr>
              <w:t>f th</w:t>
            </w:r>
            <w:r w:rsidRPr="00294722">
              <w:rPr>
                <w:color w:val="444448" w:themeColor="accent4"/>
              </w:rPr>
              <w:t xml:space="preserve">ose </w:t>
            </w:r>
            <w:r w:rsidR="00DC313C" w:rsidRPr="00294722">
              <w:rPr>
                <w:color w:val="444448" w:themeColor="accent4"/>
              </w:rPr>
              <w:t xml:space="preserve">controlled material </w:t>
            </w:r>
            <w:r w:rsidRPr="00294722">
              <w:rPr>
                <w:color w:val="444448" w:themeColor="accent4"/>
              </w:rPr>
              <w:t>and controlled apparatus seen during the inspection, all were noted as matching the internal designations assigned to those sources and listed in the source inventory workbook (SIW) for</w:t>
            </w:r>
            <w:r w:rsidR="00DC313C" w:rsidRPr="00294722">
              <w:rPr>
                <w:color w:val="444448" w:themeColor="accent4"/>
              </w:rPr>
              <w:t xml:space="preserve"> </w:t>
            </w:r>
            <w:r w:rsidR="00346D0B" w:rsidRPr="00294722">
              <w:rPr>
                <w:color w:val="444448" w:themeColor="accent4"/>
              </w:rPr>
              <w:t>RSPhys</w:t>
            </w:r>
            <w:r w:rsidR="00294722" w:rsidRPr="00294722">
              <w:rPr>
                <w:color w:val="444448" w:themeColor="accent4"/>
              </w:rPr>
              <w:t xml:space="preserve">. </w:t>
            </w:r>
            <w:r w:rsidRPr="00294722">
              <w:rPr>
                <w:color w:val="444448" w:themeColor="accent4"/>
              </w:rPr>
              <w:t>Further</w:t>
            </w:r>
            <w:r w:rsidR="00F740CF" w:rsidRPr="00294722">
              <w:rPr>
                <w:color w:val="444448" w:themeColor="accent4"/>
              </w:rPr>
              <w:t>, a</w:t>
            </w:r>
            <w:r w:rsidR="00DC313C" w:rsidRPr="00294722">
              <w:rPr>
                <w:color w:val="444448" w:themeColor="accent4"/>
              </w:rPr>
              <w:t xml:space="preserve">ll sources </w:t>
            </w:r>
            <w:r w:rsidRPr="00294722">
              <w:rPr>
                <w:color w:val="444448" w:themeColor="accent4"/>
              </w:rPr>
              <w:t xml:space="preserve">chosen to be inspected </w:t>
            </w:r>
            <w:r w:rsidR="00DC313C" w:rsidRPr="00294722">
              <w:rPr>
                <w:color w:val="444448" w:themeColor="accent4"/>
              </w:rPr>
              <w:t>were present and accounted for</w:t>
            </w:r>
            <w:r w:rsidR="00385539" w:rsidRPr="00294722">
              <w:rPr>
                <w:color w:val="444448" w:themeColor="accent4"/>
              </w:rPr>
              <w:t xml:space="preserve"> </w:t>
            </w:r>
            <w:r w:rsidR="002B2A54" w:rsidRPr="00294722">
              <w:rPr>
                <w:color w:val="444448" w:themeColor="accent4"/>
              </w:rPr>
              <w:t>in relation to</w:t>
            </w:r>
            <w:r w:rsidR="00385539" w:rsidRPr="00294722">
              <w:rPr>
                <w:color w:val="444448" w:themeColor="accent4"/>
              </w:rPr>
              <w:t xml:space="preserve"> the </w:t>
            </w:r>
            <w:r w:rsidR="002B2A54" w:rsidRPr="00294722">
              <w:rPr>
                <w:color w:val="444448" w:themeColor="accent4"/>
              </w:rPr>
              <w:t>SIW</w:t>
            </w:r>
            <w:r w:rsidR="00DC313C" w:rsidRPr="00294722">
              <w:rPr>
                <w:color w:val="444448" w:themeColor="accent4"/>
              </w:rPr>
              <w:t xml:space="preserve">.  </w:t>
            </w:r>
          </w:p>
          <w:p w14:paraId="5AB7706B" w14:textId="4CC56866" w:rsidR="00DC313C" w:rsidRPr="00294722" w:rsidRDefault="00DE2BEB" w:rsidP="005F6EB8">
            <w:pPr>
              <w:spacing w:before="120"/>
              <w:rPr>
                <w:color w:val="444448" w:themeColor="accent4"/>
              </w:rPr>
            </w:pPr>
            <w:r w:rsidRPr="00294722">
              <w:rPr>
                <w:color w:val="444448" w:themeColor="accent4"/>
              </w:rPr>
              <w:t>There was no licence identifier label readily available on one X-ray unit although the label was later found on the inside on one of the panels of the X-ray unit</w:t>
            </w:r>
            <w:r w:rsidR="00DC313C" w:rsidRPr="00294722">
              <w:rPr>
                <w:color w:val="444448" w:themeColor="accent4"/>
              </w:rPr>
              <w:t>.</w:t>
            </w:r>
          </w:p>
          <w:p w14:paraId="4A60AC2F" w14:textId="072EB723" w:rsidR="00DC313C" w:rsidRPr="00C4763B" w:rsidRDefault="00DC313C" w:rsidP="005F6EB8">
            <w:pPr>
              <w:pStyle w:val="Heading2"/>
              <w:outlineLvl w:val="1"/>
              <w:rPr>
                <w:i/>
              </w:rPr>
            </w:pPr>
            <w:r w:rsidRPr="00C4763B">
              <w:rPr>
                <w:i/>
              </w:rPr>
              <w:t xml:space="preserve">Inspection, </w:t>
            </w:r>
            <w:r w:rsidR="00294722">
              <w:rPr>
                <w:i/>
              </w:rPr>
              <w:t>t</w:t>
            </w:r>
            <w:r w:rsidRPr="00C4763B">
              <w:rPr>
                <w:i/>
              </w:rPr>
              <w:t xml:space="preserve">esting and </w:t>
            </w:r>
            <w:r w:rsidR="00294722">
              <w:rPr>
                <w:i/>
              </w:rPr>
              <w:t>m</w:t>
            </w:r>
            <w:r w:rsidRPr="00C4763B">
              <w:rPr>
                <w:i/>
              </w:rPr>
              <w:t>aintenance</w:t>
            </w:r>
          </w:p>
          <w:p w14:paraId="79BA75D1" w14:textId="443EADF5" w:rsidR="00DC313C" w:rsidRPr="00294722" w:rsidRDefault="005F6EB8" w:rsidP="005F6EB8">
            <w:pPr>
              <w:pStyle w:val="Heading3list"/>
              <w:spacing w:before="120" w:after="120" w:line="240" w:lineRule="auto"/>
              <w:rPr>
                <w:rFonts w:asciiTheme="minorHAnsi" w:eastAsiaTheme="minorHAnsi" w:hAnsiTheme="minorHAnsi"/>
                <w:b w:val="0"/>
                <w:color w:val="444448" w:themeColor="accent4"/>
                <w:sz w:val="22"/>
                <w:szCs w:val="22"/>
                <w:lang w:eastAsia="en-US"/>
              </w:rPr>
            </w:pPr>
            <w:r w:rsidRPr="00294722">
              <w:rPr>
                <w:rFonts w:asciiTheme="minorHAnsi" w:eastAsiaTheme="minorHAnsi" w:hAnsiTheme="minorHAnsi"/>
                <w:b w:val="0"/>
                <w:color w:val="444448" w:themeColor="accent4"/>
                <w:sz w:val="22"/>
                <w:szCs w:val="22"/>
                <w:lang w:eastAsia="en-US"/>
              </w:rPr>
              <w:t>WEG undertake r</w:t>
            </w:r>
            <w:r w:rsidR="00DC313C" w:rsidRPr="00294722">
              <w:rPr>
                <w:rFonts w:asciiTheme="minorHAnsi" w:eastAsiaTheme="minorHAnsi" w:hAnsiTheme="minorHAnsi"/>
                <w:b w:val="0"/>
                <w:color w:val="444448" w:themeColor="accent4"/>
                <w:sz w:val="22"/>
                <w:szCs w:val="22"/>
                <w:lang w:eastAsia="en-US"/>
              </w:rPr>
              <w:t xml:space="preserve">egular inspections </w:t>
            </w:r>
            <w:r w:rsidRPr="00294722">
              <w:rPr>
                <w:rFonts w:asciiTheme="minorHAnsi" w:eastAsiaTheme="minorHAnsi" w:hAnsiTheme="minorHAnsi"/>
                <w:b w:val="0"/>
                <w:color w:val="444448" w:themeColor="accent4"/>
                <w:sz w:val="22"/>
                <w:szCs w:val="22"/>
                <w:lang w:eastAsia="en-US"/>
              </w:rPr>
              <w:t>in</w:t>
            </w:r>
            <w:r w:rsidR="00DC313C" w:rsidRPr="00294722">
              <w:rPr>
                <w:rFonts w:asciiTheme="minorHAnsi" w:eastAsiaTheme="minorHAnsi" w:hAnsiTheme="minorHAnsi"/>
                <w:b w:val="0"/>
                <w:color w:val="444448" w:themeColor="accent4"/>
                <w:sz w:val="22"/>
                <w:szCs w:val="22"/>
                <w:lang w:eastAsia="en-US"/>
              </w:rPr>
              <w:t xml:space="preserve"> </w:t>
            </w:r>
            <w:r w:rsidR="00346D0B" w:rsidRPr="00294722">
              <w:rPr>
                <w:rFonts w:asciiTheme="minorHAnsi" w:eastAsiaTheme="minorHAnsi" w:hAnsiTheme="minorHAnsi"/>
                <w:b w:val="0"/>
                <w:color w:val="444448" w:themeColor="accent4"/>
                <w:sz w:val="22"/>
                <w:szCs w:val="22"/>
                <w:lang w:eastAsia="en-US"/>
              </w:rPr>
              <w:t>RSPhys</w:t>
            </w:r>
            <w:r w:rsidR="00DC313C" w:rsidRPr="00294722">
              <w:rPr>
                <w:rFonts w:asciiTheme="minorHAnsi" w:eastAsiaTheme="minorHAnsi" w:hAnsiTheme="minorHAnsi"/>
                <w:b w:val="0"/>
                <w:color w:val="444448" w:themeColor="accent4"/>
                <w:sz w:val="22"/>
                <w:szCs w:val="22"/>
                <w:lang w:eastAsia="en-US"/>
              </w:rPr>
              <w:t xml:space="preserve"> laboratories </w:t>
            </w:r>
            <w:r w:rsidR="00FA69E2" w:rsidRPr="00294722">
              <w:rPr>
                <w:rFonts w:asciiTheme="minorHAnsi" w:eastAsiaTheme="minorHAnsi" w:hAnsiTheme="minorHAnsi"/>
                <w:b w:val="0"/>
                <w:color w:val="444448" w:themeColor="accent4"/>
                <w:sz w:val="22"/>
                <w:szCs w:val="22"/>
                <w:lang w:eastAsia="en-US"/>
              </w:rPr>
              <w:t xml:space="preserve">as part of the overall Work Health and Safety inspections </w:t>
            </w:r>
            <w:r w:rsidR="00DC313C" w:rsidRPr="00294722">
              <w:rPr>
                <w:rFonts w:asciiTheme="minorHAnsi" w:eastAsiaTheme="minorHAnsi" w:hAnsiTheme="minorHAnsi"/>
                <w:b w:val="0"/>
                <w:color w:val="444448" w:themeColor="accent4"/>
                <w:sz w:val="22"/>
                <w:szCs w:val="22"/>
                <w:lang w:eastAsia="en-US"/>
              </w:rPr>
              <w:t xml:space="preserve">and the records are </w:t>
            </w:r>
            <w:r w:rsidR="002F09D1" w:rsidRPr="00294722">
              <w:rPr>
                <w:rFonts w:asciiTheme="minorHAnsi" w:eastAsiaTheme="minorHAnsi" w:hAnsiTheme="minorHAnsi"/>
                <w:b w:val="0"/>
                <w:color w:val="444448" w:themeColor="accent4"/>
                <w:sz w:val="22"/>
                <w:szCs w:val="22"/>
                <w:lang w:eastAsia="en-US"/>
              </w:rPr>
              <w:t>maintained</w:t>
            </w:r>
            <w:r w:rsidR="00DC313C" w:rsidRPr="00294722">
              <w:rPr>
                <w:rFonts w:asciiTheme="minorHAnsi" w:eastAsiaTheme="minorHAnsi" w:hAnsiTheme="minorHAnsi"/>
                <w:b w:val="0"/>
                <w:color w:val="444448" w:themeColor="accent4"/>
                <w:sz w:val="22"/>
                <w:szCs w:val="22"/>
                <w:lang w:eastAsia="en-US"/>
              </w:rPr>
              <w:t xml:space="preserve"> by the laboratory manager. </w:t>
            </w:r>
            <w:r w:rsidR="00C4763B" w:rsidRPr="00294722">
              <w:rPr>
                <w:rFonts w:asciiTheme="minorHAnsi" w:eastAsiaTheme="minorHAnsi" w:hAnsiTheme="minorHAnsi"/>
                <w:b w:val="0"/>
                <w:color w:val="444448" w:themeColor="accent4"/>
                <w:sz w:val="22"/>
                <w:szCs w:val="22"/>
                <w:lang w:eastAsia="en-US"/>
              </w:rPr>
              <w:t>Copies of these reports were seen during the inspection.</w:t>
            </w:r>
          </w:p>
          <w:p w14:paraId="0146BE9A" w14:textId="77777777" w:rsidR="0024660D" w:rsidRPr="00C4763B" w:rsidRDefault="0024660D" w:rsidP="005F6EB8">
            <w:pPr>
              <w:pStyle w:val="Heading2"/>
              <w:outlineLvl w:val="1"/>
              <w:rPr>
                <w:i/>
              </w:rPr>
            </w:pPr>
            <w:r w:rsidRPr="00C4763B">
              <w:rPr>
                <w:i/>
              </w:rPr>
              <w:t>Training</w:t>
            </w:r>
          </w:p>
          <w:p w14:paraId="120ACE2C" w14:textId="7AE78AAA" w:rsidR="0024660D" w:rsidRPr="00294722" w:rsidRDefault="0024660D" w:rsidP="005F6EB8">
            <w:pPr>
              <w:pStyle w:val="Heading3list"/>
              <w:spacing w:before="120" w:after="120" w:line="240" w:lineRule="auto"/>
              <w:rPr>
                <w:rFonts w:asciiTheme="minorHAnsi" w:eastAsiaTheme="minorHAnsi" w:hAnsiTheme="minorHAnsi"/>
                <w:b w:val="0"/>
                <w:color w:val="444448" w:themeColor="accent4"/>
                <w:sz w:val="22"/>
                <w:szCs w:val="22"/>
                <w:lang w:eastAsia="en-US"/>
              </w:rPr>
            </w:pPr>
            <w:r w:rsidRPr="00294722">
              <w:rPr>
                <w:rFonts w:asciiTheme="minorHAnsi" w:eastAsiaTheme="minorHAnsi" w:hAnsiTheme="minorHAnsi"/>
                <w:b w:val="0"/>
                <w:color w:val="444448" w:themeColor="accent4"/>
                <w:sz w:val="22"/>
                <w:szCs w:val="22"/>
                <w:lang w:eastAsia="en-US"/>
              </w:rPr>
              <w:t>All personnel using controlled apparatus or controlled material at ANU are required to undertake training related to the particular type of source</w:t>
            </w:r>
            <w:r w:rsidR="009649B9" w:rsidRPr="00294722">
              <w:rPr>
                <w:rFonts w:asciiTheme="minorHAnsi" w:eastAsiaTheme="minorHAnsi" w:hAnsiTheme="minorHAnsi"/>
                <w:b w:val="0"/>
                <w:color w:val="444448" w:themeColor="accent4"/>
                <w:sz w:val="22"/>
                <w:szCs w:val="22"/>
                <w:lang w:eastAsia="en-US"/>
              </w:rPr>
              <w:t xml:space="preserve"> they will use</w:t>
            </w:r>
            <w:r w:rsidRPr="00294722">
              <w:rPr>
                <w:rFonts w:asciiTheme="minorHAnsi" w:eastAsiaTheme="minorHAnsi" w:hAnsiTheme="minorHAnsi"/>
                <w:b w:val="0"/>
                <w:color w:val="444448" w:themeColor="accent4"/>
                <w:sz w:val="22"/>
                <w:szCs w:val="22"/>
                <w:lang w:eastAsia="en-US"/>
              </w:rPr>
              <w:t xml:space="preserve">. </w:t>
            </w:r>
            <w:r w:rsidR="00DE2BEB" w:rsidRPr="00294722">
              <w:rPr>
                <w:rFonts w:asciiTheme="minorHAnsi" w:eastAsiaTheme="minorHAnsi" w:hAnsiTheme="minorHAnsi"/>
                <w:b w:val="0"/>
                <w:color w:val="444448" w:themeColor="accent4"/>
                <w:sz w:val="22"/>
                <w:szCs w:val="22"/>
                <w:lang w:eastAsia="en-US"/>
              </w:rPr>
              <w:t xml:space="preserve">This training includes school induction, individual laboratory induction </w:t>
            </w:r>
            <w:r w:rsidR="001075E8" w:rsidRPr="00294722">
              <w:rPr>
                <w:rFonts w:asciiTheme="minorHAnsi" w:eastAsiaTheme="minorHAnsi" w:hAnsiTheme="minorHAnsi"/>
                <w:b w:val="0"/>
                <w:color w:val="444448" w:themeColor="accent4"/>
                <w:sz w:val="22"/>
                <w:szCs w:val="22"/>
                <w:lang w:eastAsia="en-US"/>
              </w:rPr>
              <w:t>and</w:t>
            </w:r>
            <w:r w:rsidR="00DE2BEB" w:rsidRPr="00294722">
              <w:rPr>
                <w:rFonts w:asciiTheme="minorHAnsi" w:eastAsiaTheme="minorHAnsi" w:hAnsiTheme="minorHAnsi"/>
                <w:b w:val="0"/>
                <w:color w:val="444448" w:themeColor="accent4"/>
                <w:sz w:val="22"/>
                <w:szCs w:val="22"/>
                <w:lang w:eastAsia="en-US"/>
              </w:rPr>
              <w:t xml:space="preserve"> specific use </w:t>
            </w:r>
            <w:r w:rsidR="001075E8" w:rsidRPr="00294722">
              <w:rPr>
                <w:rFonts w:asciiTheme="minorHAnsi" w:eastAsiaTheme="minorHAnsi" w:hAnsiTheme="minorHAnsi"/>
                <w:b w:val="0"/>
                <w:color w:val="444448" w:themeColor="accent4"/>
                <w:sz w:val="22"/>
                <w:szCs w:val="22"/>
                <w:lang w:eastAsia="en-US"/>
              </w:rPr>
              <w:t>training, the extent of which</w:t>
            </w:r>
            <w:r w:rsidR="00DE2BEB" w:rsidRPr="00294722">
              <w:rPr>
                <w:rFonts w:asciiTheme="minorHAnsi" w:eastAsiaTheme="minorHAnsi" w:hAnsiTheme="minorHAnsi"/>
                <w:b w:val="0"/>
                <w:color w:val="444448" w:themeColor="accent4"/>
                <w:sz w:val="22"/>
                <w:szCs w:val="22"/>
                <w:lang w:eastAsia="en-US"/>
              </w:rPr>
              <w:t xml:space="preserve"> depend</w:t>
            </w:r>
            <w:r w:rsidR="001075E8" w:rsidRPr="00294722">
              <w:rPr>
                <w:rFonts w:asciiTheme="minorHAnsi" w:eastAsiaTheme="minorHAnsi" w:hAnsiTheme="minorHAnsi"/>
                <w:b w:val="0"/>
                <w:color w:val="444448" w:themeColor="accent4"/>
                <w:sz w:val="22"/>
                <w:szCs w:val="22"/>
                <w:lang w:eastAsia="en-US"/>
              </w:rPr>
              <w:t>s</w:t>
            </w:r>
            <w:r w:rsidR="00DE2BEB" w:rsidRPr="00294722">
              <w:rPr>
                <w:rFonts w:asciiTheme="minorHAnsi" w:eastAsiaTheme="minorHAnsi" w:hAnsiTheme="minorHAnsi"/>
                <w:b w:val="0"/>
                <w:color w:val="444448" w:themeColor="accent4"/>
                <w:sz w:val="22"/>
                <w:szCs w:val="22"/>
                <w:lang w:eastAsia="en-US"/>
              </w:rPr>
              <w:t xml:space="preserve"> on the proposed de</w:t>
            </w:r>
            <w:r w:rsidR="00294722" w:rsidRPr="00294722">
              <w:rPr>
                <w:rFonts w:asciiTheme="minorHAnsi" w:eastAsiaTheme="minorHAnsi" w:hAnsiTheme="minorHAnsi"/>
                <w:b w:val="0"/>
                <w:color w:val="444448" w:themeColor="accent4"/>
                <w:sz w:val="22"/>
                <w:szCs w:val="22"/>
                <w:lang w:eastAsia="en-US"/>
              </w:rPr>
              <w:t>aling for the given individual.</w:t>
            </w:r>
            <w:r w:rsidR="00DE2BEB" w:rsidRPr="00294722">
              <w:rPr>
                <w:rFonts w:asciiTheme="minorHAnsi" w:eastAsiaTheme="minorHAnsi" w:hAnsiTheme="minorHAnsi"/>
                <w:b w:val="0"/>
                <w:color w:val="444448" w:themeColor="accent4"/>
                <w:sz w:val="22"/>
                <w:szCs w:val="22"/>
                <w:lang w:eastAsia="en-US"/>
              </w:rPr>
              <w:t xml:space="preserve"> </w:t>
            </w:r>
            <w:r w:rsidRPr="00294722">
              <w:rPr>
                <w:rFonts w:asciiTheme="minorHAnsi" w:eastAsiaTheme="minorHAnsi" w:hAnsiTheme="minorHAnsi"/>
                <w:b w:val="0"/>
                <w:color w:val="444448" w:themeColor="accent4"/>
                <w:sz w:val="22"/>
                <w:szCs w:val="22"/>
                <w:lang w:eastAsia="en-US"/>
              </w:rPr>
              <w:t>Training records are kept in hard form (i</w:t>
            </w:r>
            <w:r w:rsidR="00294722" w:rsidRPr="00294722">
              <w:rPr>
                <w:rFonts w:asciiTheme="minorHAnsi" w:eastAsiaTheme="minorHAnsi" w:hAnsiTheme="minorHAnsi"/>
                <w:b w:val="0"/>
                <w:color w:val="444448" w:themeColor="accent4"/>
                <w:sz w:val="22"/>
                <w:szCs w:val="22"/>
                <w:lang w:eastAsia="en-US"/>
              </w:rPr>
              <w:t xml:space="preserve">n folders) and electronically. </w:t>
            </w:r>
            <w:r w:rsidRPr="00294722">
              <w:rPr>
                <w:rFonts w:asciiTheme="minorHAnsi" w:eastAsiaTheme="minorHAnsi" w:hAnsiTheme="minorHAnsi"/>
                <w:b w:val="0"/>
                <w:color w:val="444448" w:themeColor="accent4"/>
                <w:sz w:val="22"/>
                <w:szCs w:val="22"/>
                <w:lang w:eastAsia="en-US"/>
              </w:rPr>
              <w:t xml:space="preserve">The ARPANSA inspectors verified these records for </w:t>
            </w:r>
            <w:r w:rsidR="001075E8" w:rsidRPr="00294722">
              <w:rPr>
                <w:rFonts w:asciiTheme="minorHAnsi" w:eastAsiaTheme="minorHAnsi" w:hAnsiTheme="minorHAnsi"/>
                <w:b w:val="0"/>
                <w:color w:val="444448" w:themeColor="accent4"/>
                <w:sz w:val="22"/>
                <w:szCs w:val="22"/>
                <w:lang w:eastAsia="en-US"/>
              </w:rPr>
              <w:t>several</w:t>
            </w:r>
            <w:r w:rsidRPr="00294722">
              <w:rPr>
                <w:rFonts w:asciiTheme="minorHAnsi" w:eastAsiaTheme="minorHAnsi" w:hAnsiTheme="minorHAnsi"/>
                <w:b w:val="0"/>
                <w:color w:val="444448" w:themeColor="accent4"/>
                <w:sz w:val="22"/>
                <w:szCs w:val="22"/>
                <w:lang w:eastAsia="en-US"/>
              </w:rPr>
              <w:t xml:space="preserve"> individual</w:t>
            </w:r>
            <w:r w:rsidR="001075E8" w:rsidRPr="00294722">
              <w:rPr>
                <w:rFonts w:asciiTheme="minorHAnsi" w:eastAsiaTheme="minorHAnsi" w:hAnsiTheme="minorHAnsi"/>
                <w:b w:val="0"/>
                <w:color w:val="444448" w:themeColor="accent4"/>
                <w:sz w:val="22"/>
                <w:szCs w:val="22"/>
                <w:lang w:eastAsia="en-US"/>
              </w:rPr>
              <w:t>s</w:t>
            </w:r>
            <w:r w:rsidRPr="00294722">
              <w:rPr>
                <w:rFonts w:asciiTheme="minorHAnsi" w:eastAsiaTheme="minorHAnsi" w:hAnsiTheme="minorHAnsi"/>
                <w:b w:val="0"/>
                <w:color w:val="444448" w:themeColor="accent4"/>
                <w:sz w:val="22"/>
                <w:szCs w:val="22"/>
                <w:lang w:eastAsia="en-US"/>
              </w:rPr>
              <w:t xml:space="preserve"> authorised to use the controlled apparatus and controlled materials in </w:t>
            </w:r>
            <w:r w:rsidR="00346D0B" w:rsidRPr="00294722">
              <w:rPr>
                <w:rFonts w:asciiTheme="minorHAnsi" w:eastAsiaTheme="minorHAnsi" w:hAnsiTheme="minorHAnsi"/>
                <w:b w:val="0"/>
                <w:color w:val="444448" w:themeColor="accent4"/>
                <w:sz w:val="22"/>
                <w:szCs w:val="22"/>
                <w:lang w:eastAsia="en-US"/>
              </w:rPr>
              <w:t>RSPhys</w:t>
            </w:r>
            <w:r w:rsidRPr="00294722">
              <w:rPr>
                <w:rFonts w:asciiTheme="minorHAnsi" w:eastAsiaTheme="minorHAnsi" w:hAnsiTheme="minorHAnsi"/>
                <w:b w:val="0"/>
                <w:color w:val="444448" w:themeColor="accent4"/>
                <w:sz w:val="22"/>
                <w:szCs w:val="22"/>
                <w:lang w:eastAsia="en-US"/>
              </w:rPr>
              <w:t xml:space="preserve"> as having completed the training.</w:t>
            </w:r>
          </w:p>
          <w:p w14:paraId="284CC115" w14:textId="6BE04643" w:rsidR="0024660D" w:rsidRPr="00294722" w:rsidRDefault="0024660D" w:rsidP="005F6EB8">
            <w:pPr>
              <w:pStyle w:val="Heading3list"/>
              <w:spacing w:line="240" w:lineRule="auto"/>
              <w:rPr>
                <w:rFonts w:asciiTheme="minorHAnsi" w:eastAsiaTheme="minorHAnsi" w:hAnsiTheme="minorHAnsi"/>
                <w:b w:val="0"/>
                <w:color w:val="444448" w:themeColor="accent4"/>
                <w:sz w:val="22"/>
                <w:szCs w:val="22"/>
                <w:lang w:eastAsia="en-US"/>
              </w:rPr>
            </w:pPr>
            <w:r w:rsidRPr="00294722">
              <w:rPr>
                <w:rFonts w:asciiTheme="minorHAnsi" w:eastAsiaTheme="minorHAnsi" w:hAnsiTheme="minorHAnsi"/>
                <w:b w:val="0"/>
                <w:color w:val="444448" w:themeColor="accent4"/>
                <w:sz w:val="22"/>
                <w:szCs w:val="22"/>
                <w:lang w:eastAsia="en-US"/>
              </w:rPr>
              <w:t>Any worker visiting or working in a radiation area is required to undertake induction training</w:t>
            </w:r>
            <w:r w:rsidR="00294722" w:rsidRPr="00294722">
              <w:rPr>
                <w:rFonts w:asciiTheme="minorHAnsi" w:eastAsiaTheme="minorHAnsi" w:hAnsiTheme="minorHAnsi"/>
                <w:b w:val="0"/>
                <w:color w:val="444448" w:themeColor="accent4"/>
                <w:sz w:val="22"/>
                <w:szCs w:val="22"/>
                <w:lang w:eastAsia="en-US"/>
              </w:rPr>
              <w:t xml:space="preserve">. </w:t>
            </w:r>
            <w:r w:rsidR="00DA477A" w:rsidRPr="00294722">
              <w:rPr>
                <w:rFonts w:asciiTheme="minorHAnsi" w:eastAsiaTheme="minorHAnsi" w:hAnsiTheme="minorHAnsi"/>
                <w:b w:val="0"/>
                <w:color w:val="444448" w:themeColor="accent4"/>
                <w:sz w:val="22"/>
                <w:szCs w:val="22"/>
                <w:lang w:eastAsia="en-US"/>
              </w:rPr>
              <w:t>A</w:t>
            </w:r>
            <w:r w:rsidRPr="00294722">
              <w:rPr>
                <w:rFonts w:asciiTheme="minorHAnsi" w:eastAsiaTheme="minorHAnsi" w:hAnsiTheme="minorHAnsi"/>
                <w:b w:val="0"/>
                <w:color w:val="444448" w:themeColor="accent4"/>
                <w:sz w:val="22"/>
                <w:szCs w:val="22"/>
                <w:lang w:eastAsia="en-US"/>
              </w:rPr>
              <w:t xml:space="preserve">ccess to laboratory areas </w:t>
            </w:r>
            <w:r w:rsidR="00DA477A" w:rsidRPr="00294722">
              <w:rPr>
                <w:rFonts w:asciiTheme="minorHAnsi" w:eastAsiaTheme="minorHAnsi" w:hAnsiTheme="minorHAnsi"/>
                <w:b w:val="0"/>
                <w:color w:val="444448" w:themeColor="accent4"/>
                <w:sz w:val="22"/>
                <w:szCs w:val="22"/>
                <w:lang w:eastAsia="en-US"/>
              </w:rPr>
              <w:t>i</w:t>
            </w:r>
            <w:r w:rsidRPr="00294722">
              <w:rPr>
                <w:rFonts w:asciiTheme="minorHAnsi" w:eastAsiaTheme="minorHAnsi" w:hAnsiTheme="minorHAnsi"/>
                <w:b w:val="0"/>
                <w:color w:val="444448" w:themeColor="accent4"/>
                <w:sz w:val="22"/>
                <w:szCs w:val="22"/>
                <w:lang w:eastAsia="en-US"/>
              </w:rPr>
              <w:t>s restricted to those personnel who ha</w:t>
            </w:r>
            <w:r w:rsidR="00DA477A" w:rsidRPr="00294722">
              <w:rPr>
                <w:rFonts w:asciiTheme="minorHAnsi" w:eastAsiaTheme="minorHAnsi" w:hAnsiTheme="minorHAnsi"/>
                <w:b w:val="0"/>
                <w:color w:val="444448" w:themeColor="accent4"/>
                <w:sz w:val="22"/>
                <w:szCs w:val="22"/>
                <w:lang w:eastAsia="en-US"/>
              </w:rPr>
              <w:t>ve</w:t>
            </w:r>
            <w:r w:rsidRPr="00294722">
              <w:rPr>
                <w:rFonts w:asciiTheme="minorHAnsi" w:eastAsiaTheme="minorHAnsi" w:hAnsiTheme="minorHAnsi"/>
                <w:b w:val="0"/>
                <w:color w:val="444448" w:themeColor="accent4"/>
                <w:sz w:val="22"/>
                <w:szCs w:val="22"/>
                <w:lang w:eastAsia="en-US"/>
              </w:rPr>
              <w:t xml:space="preserve"> undergone appropriate induction training</w:t>
            </w:r>
            <w:r w:rsidR="001075E8" w:rsidRPr="00294722">
              <w:rPr>
                <w:rFonts w:asciiTheme="minorHAnsi" w:eastAsiaTheme="minorHAnsi" w:hAnsiTheme="minorHAnsi"/>
                <w:b w:val="0"/>
                <w:color w:val="444448" w:themeColor="accent4"/>
                <w:sz w:val="22"/>
                <w:szCs w:val="22"/>
                <w:lang w:eastAsia="en-US"/>
              </w:rPr>
              <w:t xml:space="preserve"> and the Facilities and Services supervisor ensures that the appropriate approval and access has been granted before the commencement of any work</w:t>
            </w:r>
            <w:r w:rsidR="00294722" w:rsidRPr="00294722">
              <w:rPr>
                <w:rFonts w:asciiTheme="minorHAnsi" w:eastAsiaTheme="minorHAnsi" w:hAnsiTheme="minorHAnsi"/>
                <w:b w:val="0"/>
                <w:color w:val="444448" w:themeColor="accent4"/>
                <w:sz w:val="22"/>
                <w:szCs w:val="22"/>
                <w:lang w:eastAsia="en-US"/>
              </w:rPr>
              <w:t xml:space="preserve">. </w:t>
            </w:r>
            <w:r w:rsidRPr="00294722">
              <w:rPr>
                <w:rFonts w:asciiTheme="minorHAnsi" w:eastAsiaTheme="minorHAnsi" w:hAnsiTheme="minorHAnsi"/>
                <w:b w:val="0"/>
                <w:color w:val="444448" w:themeColor="accent4"/>
                <w:sz w:val="22"/>
                <w:szCs w:val="22"/>
                <w:lang w:eastAsia="en-US"/>
              </w:rPr>
              <w:t xml:space="preserve">The ARPANSA inspectors observed induction-training records </w:t>
            </w:r>
            <w:r w:rsidR="001075E8" w:rsidRPr="00294722">
              <w:rPr>
                <w:rFonts w:asciiTheme="minorHAnsi" w:eastAsiaTheme="minorHAnsi" w:hAnsiTheme="minorHAnsi"/>
                <w:b w:val="0"/>
                <w:color w:val="444448" w:themeColor="accent4"/>
                <w:sz w:val="22"/>
                <w:szCs w:val="22"/>
                <w:lang w:eastAsia="en-US"/>
              </w:rPr>
              <w:t>and the chain of approval and access for such personnel during the inspection</w:t>
            </w:r>
            <w:r w:rsidRPr="00294722">
              <w:rPr>
                <w:rFonts w:asciiTheme="minorHAnsi" w:eastAsiaTheme="minorHAnsi" w:hAnsiTheme="minorHAnsi"/>
                <w:b w:val="0"/>
                <w:color w:val="444448" w:themeColor="accent4"/>
                <w:sz w:val="22"/>
                <w:szCs w:val="22"/>
                <w:lang w:eastAsia="en-US"/>
              </w:rPr>
              <w:t>.</w:t>
            </w:r>
          </w:p>
          <w:p w14:paraId="2397FCED" w14:textId="489C2274" w:rsidR="0024660D" w:rsidRPr="00C4763B" w:rsidRDefault="0024660D" w:rsidP="005F6EB8">
            <w:pPr>
              <w:pStyle w:val="Heading2"/>
              <w:outlineLvl w:val="1"/>
              <w:rPr>
                <w:i/>
              </w:rPr>
            </w:pPr>
            <w:r w:rsidRPr="00C4763B">
              <w:rPr>
                <w:i/>
              </w:rPr>
              <w:t xml:space="preserve">Event </w:t>
            </w:r>
            <w:r w:rsidR="00294722">
              <w:rPr>
                <w:i/>
              </w:rPr>
              <w:t>p</w:t>
            </w:r>
            <w:r w:rsidRPr="00C4763B">
              <w:rPr>
                <w:i/>
              </w:rPr>
              <w:t xml:space="preserve">rotection and </w:t>
            </w:r>
            <w:r w:rsidR="00294722">
              <w:rPr>
                <w:i/>
              </w:rPr>
              <w:t>e</w:t>
            </w:r>
            <w:r w:rsidRPr="00C4763B">
              <w:rPr>
                <w:i/>
              </w:rPr>
              <w:t xml:space="preserve">mergency </w:t>
            </w:r>
            <w:r w:rsidR="00294722">
              <w:rPr>
                <w:i/>
              </w:rPr>
              <w:t>p</w:t>
            </w:r>
            <w:r w:rsidRPr="00C4763B">
              <w:rPr>
                <w:i/>
              </w:rPr>
              <w:t xml:space="preserve">reparedness and </w:t>
            </w:r>
            <w:r w:rsidR="00294722">
              <w:rPr>
                <w:i/>
              </w:rPr>
              <w:t>r</w:t>
            </w:r>
            <w:r w:rsidRPr="00C4763B">
              <w:rPr>
                <w:i/>
              </w:rPr>
              <w:t>esponse</w:t>
            </w:r>
          </w:p>
          <w:p w14:paraId="18CECFB7" w14:textId="77777777" w:rsidR="0024660D" w:rsidRPr="00294722" w:rsidRDefault="0024660D" w:rsidP="005F6EB8">
            <w:pPr>
              <w:pStyle w:val="Heading3list"/>
              <w:spacing w:before="120" w:after="0" w:line="240" w:lineRule="auto"/>
              <w:rPr>
                <w:rFonts w:asciiTheme="minorHAnsi" w:eastAsiaTheme="minorHAnsi" w:hAnsiTheme="minorHAnsi"/>
                <w:b w:val="0"/>
                <w:color w:val="444448" w:themeColor="accent4"/>
                <w:sz w:val="22"/>
                <w:szCs w:val="22"/>
                <w:lang w:eastAsia="en-US"/>
              </w:rPr>
            </w:pPr>
            <w:r w:rsidRPr="00294722">
              <w:rPr>
                <w:rFonts w:asciiTheme="minorHAnsi" w:eastAsiaTheme="minorHAnsi" w:hAnsiTheme="minorHAnsi"/>
                <w:b w:val="0"/>
                <w:color w:val="444448" w:themeColor="accent4"/>
                <w:sz w:val="22"/>
                <w:szCs w:val="22"/>
                <w:lang w:eastAsia="en-US"/>
              </w:rPr>
              <w:t>Event Protection and Emergency Preparedness and Response were handled under the broader ANU policy and work health and safety plans</w:t>
            </w:r>
            <w:r w:rsidR="00DB33D2" w:rsidRPr="00294722">
              <w:rPr>
                <w:rFonts w:asciiTheme="minorHAnsi" w:eastAsiaTheme="minorHAnsi" w:hAnsiTheme="minorHAnsi"/>
                <w:b w:val="0"/>
                <w:color w:val="444448" w:themeColor="accent4"/>
                <w:sz w:val="22"/>
                <w:szCs w:val="22"/>
                <w:lang w:eastAsia="en-US"/>
              </w:rPr>
              <w:t xml:space="preserve"> and was not assessed during the inspection</w:t>
            </w:r>
            <w:r w:rsidRPr="00294722">
              <w:rPr>
                <w:rFonts w:asciiTheme="minorHAnsi" w:eastAsiaTheme="minorHAnsi" w:hAnsiTheme="minorHAnsi"/>
                <w:b w:val="0"/>
                <w:color w:val="444448" w:themeColor="accent4"/>
                <w:sz w:val="22"/>
                <w:szCs w:val="22"/>
                <w:lang w:eastAsia="en-US"/>
              </w:rPr>
              <w:t xml:space="preserve">.  </w:t>
            </w:r>
          </w:p>
          <w:p w14:paraId="51035B1F" w14:textId="221E2032" w:rsidR="0024660D" w:rsidRPr="00C4763B" w:rsidRDefault="0024660D" w:rsidP="005F6EB8">
            <w:pPr>
              <w:pStyle w:val="Heading2"/>
              <w:outlineLvl w:val="1"/>
              <w:rPr>
                <w:i/>
              </w:rPr>
            </w:pPr>
            <w:r w:rsidRPr="00C4763B">
              <w:rPr>
                <w:i/>
              </w:rPr>
              <w:t xml:space="preserve">Radiation </w:t>
            </w:r>
            <w:r w:rsidR="00294722">
              <w:rPr>
                <w:i/>
              </w:rPr>
              <w:t>p</w:t>
            </w:r>
            <w:r w:rsidRPr="00C4763B">
              <w:rPr>
                <w:i/>
              </w:rPr>
              <w:t>rotection</w:t>
            </w:r>
          </w:p>
          <w:p w14:paraId="08CBA495" w14:textId="1B6C82BB" w:rsidR="00DA477A" w:rsidRPr="00294722" w:rsidRDefault="00DA477A" w:rsidP="005F6EB8">
            <w:pPr>
              <w:spacing w:before="120"/>
              <w:rPr>
                <w:color w:val="444448" w:themeColor="accent4"/>
                <w:lang w:val="en-US"/>
              </w:rPr>
            </w:pPr>
            <w:r w:rsidRPr="00294722">
              <w:rPr>
                <w:color w:val="444448" w:themeColor="accent4"/>
                <w:lang w:val="en-US"/>
              </w:rPr>
              <w:t xml:space="preserve">ANU has demonstrated a commitment to radiation protection by establishing a policy to facilitate the safe and effective use of radiation and the safe storage of radioactive sources throughout </w:t>
            </w:r>
            <w:r w:rsidR="00294722" w:rsidRPr="00294722">
              <w:rPr>
                <w:color w:val="444448" w:themeColor="accent4"/>
                <w:lang w:val="en-US"/>
              </w:rPr>
              <w:t xml:space="preserve">all schools at the university. </w:t>
            </w:r>
            <w:r w:rsidRPr="00294722">
              <w:rPr>
                <w:color w:val="444448" w:themeColor="accent4"/>
                <w:lang w:val="en-US"/>
              </w:rPr>
              <w:t>This is supported by a comprehensive radiation management plan</w:t>
            </w:r>
            <w:r w:rsidRPr="00294722">
              <w:rPr>
                <w:i/>
                <w:color w:val="444448" w:themeColor="accent4"/>
                <w:lang w:val="en-US"/>
              </w:rPr>
              <w:t xml:space="preserve"> </w:t>
            </w:r>
            <w:r w:rsidRPr="00294722">
              <w:rPr>
                <w:color w:val="444448" w:themeColor="accent4"/>
                <w:lang w:val="en-US"/>
              </w:rPr>
              <w:t xml:space="preserve">to achieve and maintain best practice and compliance with radiation legislation and ARPANSA licence conditions.  </w:t>
            </w:r>
          </w:p>
          <w:p w14:paraId="477A687D" w14:textId="42942607" w:rsidR="00A708FA" w:rsidRPr="00294722" w:rsidRDefault="0024660D" w:rsidP="005F6EB8">
            <w:pPr>
              <w:rPr>
                <w:color w:val="444448" w:themeColor="accent4"/>
                <w:lang w:val="en-US"/>
              </w:rPr>
            </w:pPr>
            <w:r w:rsidRPr="00294722">
              <w:rPr>
                <w:color w:val="444448" w:themeColor="accent4"/>
                <w:lang w:val="en-US"/>
              </w:rPr>
              <w:t xml:space="preserve">Warning signs restricting access to only approved staff are displayed on the entrance to laboratories </w:t>
            </w:r>
            <w:r w:rsidR="00BA7AB0" w:rsidRPr="00294722">
              <w:rPr>
                <w:color w:val="444448" w:themeColor="accent4"/>
                <w:lang w:val="en-US"/>
              </w:rPr>
              <w:t xml:space="preserve">where </w:t>
            </w:r>
            <w:r w:rsidRPr="00294722">
              <w:rPr>
                <w:color w:val="444448" w:themeColor="accent4"/>
                <w:lang w:val="en-US"/>
              </w:rPr>
              <w:t>radiation material and apparatus</w:t>
            </w:r>
            <w:r w:rsidR="00BA7AB0" w:rsidRPr="00294722">
              <w:rPr>
                <w:color w:val="444448" w:themeColor="accent4"/>
                <w:lang w:val="en-US"/>
              </w:rPr>
              <w:t xml:space="preserve"> is used</w:t>
            </w:r>
            <w:r w:rsidR="00294722" w:rsidRPr="00294722">
              <w:rPr>
                <w:color w:val="444448" w:themeColor="accent4"/>
                <w:lang w:val="en-US"/>
              </w:rPr>
              <w:t xml:space="preserve">. </w:t>
            </w:r>
            <w:r w:rsidR="005E7E3D" w:rsidRPr="00294722">
              <w:rPr>
                <w:color w:val="444448" w:themeColor="accent4"/>
                <w:lang w:val="en-US"/>
              </w:rPr>
              <w:t>Although present</w:t>
            </w:r>
            <w:r w:rsidR="00F740CF" w:rsidRPr="00294722">
              <w:rPr>
                <w:color w:val="444448" w:themeColor="accent4"/>
                <w:lang w:val="en-US"/>
              </w:rPr>
              <w:t xml:space="preserve">, </w:t>
            </w:r>
            <w:r w:rsidR="005E7E3D" w:rsidRPr="00294722">
              <w:rPr>
                <w:color w:val="444448" w:themeColor="accent4"/>
                <w:lang w:val="en-US"/>
              </w:rPr>
              <w:t>some of these signs were small and not readily discernible unless the person viewing them was</w:t>
            </w:r>
            <w:r w:rsidR="001075E8" w:rsidRPr="00294722">
              <w:rPr>
                <w:color w:val="444448" w:themeColor="accent4"/>
                <w:lang w:val="en-US"/>
              </w:rPr>
              <w:t xml:space="preserve"> quite</w:t>
            </w:r>
            <w:r w:rsidR="005E7E3D" w:rsidRPr="00294722">
              <w:rPr>
                <w:color w:val="444448" w:themeColor="accent4"/>
                <w:lang w:val="en-US"/>
              </w:rPr>
              <w:t xml:space="preserve"> close</w:t>
            </w:r>
            <w:r w:rsidR="00A708FA" w:rsidRPr="00294722">
              <w:rPr>
                <w:color w:val="444448" w:themeColor="accent4"/>
                <w:lang w:val="en-US"/>
              </w:rPr>
              <w:t>.</w:t>
            </w:r>
          </w:p>
          <w:p w14:paraId="00301BA0" w14:textId="5D710533" w:rsidR="005E7E3D" w:rsidRPr="00294722" w:rsidRDefault="001075E8" w:rsidP="005F6EB8">
            <w:pPr>
              <w:rPr>
                <w:color w:val="444448" w:themeColor="accent4"/>
                <w:lang w:val="en-US"/>
              </w:rPr>
            </w:pPr>
            <w:r w:rsidRPr="00294722">
              <w:rPr>
                <w:color w:val="444448" w:themeColor="accent4"/>
                <w:lang w:val="en-US"/>
              </w:rPr>
              <w:lastRenderedPageBreak/>
              <w:t xml:space="preserve">Laboratory staff perform dose </w:t>
            </w:r>
            <w:r w:rsidR="005E7E3D" w:rsidRPr="00294722">
              <w:rPr>
                <w:color w:val="444448" w:themeColor="accent4"/>
                <w:lang w:val="en-US"/>
              </w:rPr>
              <w:t xml:space="preserve">rate measurements on the industrial radiography cabinets approximately twice yearly and the results </w:t>
            </w:r>
            <w:r w:rsidR="00BA7AB0" w:rsidRPr="00294722">
              <w:rPr>
                <w:color w:val="444448" w:themeColor="accent4"/>
                <w:lang w:val="en-US"/>
              </w:rPr>
              <w:t>a</w:t>
            </w:r>
            <w:r w:rsidR="005E7E3D" w:rsidRPr="00294722">
              <w:rPr>
                <w:color w:val="444448" w:themeColor="accent4"/>
                <w:lang w:val="en-US"/>
              </w:rPr>
              <w:t xml:space="preserve">re kept in a notebook in the given laboratory as seen during the inspection.  </w:t>
            </w:r>
            <w:r w:rsidRPr="00294722">
              <w:rPr>
                <w:color w:val="444448" w:themeColor="accent4"/>
                <w:lang w:val="en-US"/>
              </w:rPr>
              <w:t>Although the staff stated that the interlocks on the equipment were also checked at the same time, t</w:t>
            </w:r>
            <w:r w:rsidR="005E7E3D" w:rsidRPr="00294722">
              <w:rPr>
                <w:color w:val="444448" w:themeColor="accent4"/>
                <w:lang w:val="en-US"/>
              </w:rPr>
              <w:t>here was</w:t>
            </w:r>
            <w:r w:rsidRPr="00294722">
              <w:rPr>
                <w:color w:val="444448" w:themeColor="accent4"/>
                <w:lang w:val="en-US"/>
              </w:rPr>
              <w:t xml:space="preserve"> no record</w:t>
            </w:r>
            <w:r w:rsidR="005E7E3D" w:rsidRPr="00294722">
              <w:rPr>
                <w:color w:val="444448" w:themeColor="accent4"/>
                <w:lang w:val="en-US"/>
              </w:rPr>
              <w:t xml:space="preserve"> of interlock checks giving rise to an area for improvement.</w:t>
            </w:r>
          </w:p>
          <w:p w14:paraId="7CF922B6" w14:textId="4AD9490B" w:rsidR="005E7E3D" w:rsidRPr="00294722" w:rsidRDefault="002B2A54" w:rsidP="005F6EB8">
            <w:pPr>
              <w:rPr>
                <w:color w:val="444448" w:themeColor="accent4"/>
                <w:lang w:val="en-US"/>
              </w:rPr>
            </w:pPr>
            <w:r w:rsidRPr="00294722">
              <w:rPr>
                <w:color w:val="444448" w:themeColor="accent4"/>
                <w:lang w:val="en-US"/>
              </w:rPr>
              <w:t xml:space="preserve">Inspectors noted </w:t>
            </w:r>
            <w:r w:rsidR="005D496C" w:rsidRPr="00294722">
              <w:rPr>
                <w:color w:val="444448" w:themeColor="accent4"/>
                <w:lang w:val="en-US"/>
              </w:rPr>
              <w:t xml:space="preserve">that some </w:t>
            </w:r>
            <w:r w:rsidR="005E7E3D" w:rsidRPr="00294722">
              <w:rPr>
                <w:color w:val="444448" w:themeColor="accent4"/>
                <w:lang w:val="en-US"/>
              </w:rPr>
              <w:t>lasers were stored with the control key left in the laser controller and that clearly discernible and durable labels were not p</w:t>
            </w:r>
            <w:r w:rsidR="00294722" w:rsidRPr="00294722">
              <w:rPr>
                <w:color w:val="444448" w:themeColor="accent4"/>
                <w:lang w:val="en-US"/>
              </w:rPr>
              <w:t xml:space="preserve">resent on some lasers. </w:t>
            </w:r>
            <w:r w:rsidR="00980E93" w:rsidRPr="00294722">
              <w:rPr>
                <w:color w:val="444448" w:themeColor="accent4"/>
                <w:lang w:val="en-US"/>
              </w:rPr>
              <w:t>Further,</w:t>
            </w:r>
            <w:r w:rsidR="00A42C7D" w:rsidRPr="00294722">
              <w:rPr>
                <w:color w:val="444448" w:themeColor="accent4"/>
                <w:lang w:val="en-US"/>
              </w:rPr>
              <w:t xml:space="preserve"> </w:t>
            </w:r>
            <w:r w:rsidR="00980E93" w:rsidRPr="00294722">
              <w:rPr>
                <w:color w:val="444448" w:themeColor="accent4"/>
                <w:lang w:val="en-US"/>
              </w:rPr>
              <w:t xml:space="preserve">some </w:t>
            </w:r>
            <w:r w:rsidR="00A42C7D" w:rsidRPr="00294722">
              <w:rPr>
                <w:color w:val="444448" w:themeColor="accent4"/>
                <w:lang w:val="en-US"/>
              </w:rPr>
              <w:t xml:space="preserve">eyewear </w:t>
            </w:r>
            <w:r w:rsidR="00980E93" w:rsidRPr="00294722">
              <w:rPr>
                <w:color w:val="444448" w:themeColor="accent4"/>
                <w:lang w:val="en-US"/>
              </w:rPr>
              <w:t>for laser</w:t>
            </w:r>
            <w:r w:rsidR="00A42C7D" w:rsidRPr="00294722">
              <w:rPr>
                <w:color w:val="444448" w:themeColor="accent4"/>
                <w:lang w:val="en-US"/>
              </w:rPr>
              <w:t xml:space="preserve"> use</w:t>
            </w:r>
            <w:r w:rsidR="00980E93" w:rsidRPr="00294722">
              <w:rPr>
                <w:color w:val="444448" w:themeColor="accent4"/>
                <w:lang w:val="en-US"/>
              </w:rPr>
              <w:t xml:space="preserve"> did</w:t>
            </w:r>
            <w:r w:rsidR="00A42C7D" w:rsidRPr="00294722">
              <w:rPr>
                <w:color w:val="444448" w:themeColor="accent4"/>
                <w:lang w:val="en-US"/>
              </w:rPr>
              <w:t xml:space="preserve"> not encompass the full range of the accessible emissions. </w:t>
            </w:r>
            <w:r w:rsidR="005E7E3D" w:rsidRPr="00294722">
              <w:rPr>
                <w:color w:val="444448" w:themeColor="accent4"/>
                <w:lang w:val="en-US"/>
              </w:rPr>
              <w:t>These aspect were also considered to be areas for improvement.</w:t>
            </w:r>
          </w:p>
          <w:p w14:paraId="4D168114" w14:textId="59476FCE" w:rsidR="00FE01E3" w:rsidRPr="00294722" w:rsidRDefault="00FE01E3" w:rsidP="005F6EB8">
            <w:pPr>
              <w:rPr>
                <w:color w:val="444448" w:themeColor="accent4"/>
                <w:lang w:val="en-US"/>
              </w:rPr>
            </w:pPr>
            <w:r w:rsidRPr="00294722">
              <w:rPr>
                <w:color w:val="444448" w:themeColor="accent4"/>
                <w:lang w:val="en-US"/>
              </w:rPr>
              <w:t xml:space="preserve">Spectral measurements were taken during the inspection of various UVR </w:t>
            </w:r>
            <w:r w:rsidR="000A0D8B" w:rsidRPr="00294722">
              <w:rPr>
                <w:color w:val="444448" w:themeColor="accent4"/>
                <w:lang w:val="en-US"/>
              </w:rPr>
              <w:t>sources</w:t>
            </w:r>
            <w:r w:rsidR="00980E93" w:rsidRPr="00294722">
              <w:rPr>
                <w:color w:val="444448" w:themeColor="accent4"/>
                <w:lang w:val="en-US"/>
              </w:rPr>
              <w:t xml:space="preserve"> </w:t>
            </w:r>
            <w:r w:rsidRPr="00294722">
              <w:rPr>
                <w:color w:val="444448" w:themeColor="accent4"/>
                <w:lang w:val="en-US"/>
              </w:rPr>
              <w:t>to assess whether the lamps were considered controlled apparatus for the purpo</w:t>
            </w:r>
            <w:r w:rsidR="00294722" w:rsidRPr="00294722">
              <w:rPr>
                <w:color w:val="444448" w:themeColor="accent4"/>
                <w:lang w:val="en-US"/>
              </w:rPr>
              <w:t xml:space="preserve">se of the Act and Regulations. </w:t>
            </w:r>
            <w:r w:rsidRPr="00294722">
              <w:rPr>
                <w:color w:val="444448" w:themeColor="accent4"/>
                <w:lang w:val="en-US"/>
              </w:rPr>
              <w:t>ANU will be advised of the outcome of the assessment in due course.</w:t>
            </w:r>
          </w:p>
          <w:p w14:paraId="32FC371F" w14:textId="77777777" w:rsidR="0024660D" w:rsidRPr="00C4763B" w:rsidRDefault="0024660D" w:rsidP="005F6EB8">
            <w:pPr>
              <w:pStyle w:val="Heading2"/>
              <w:outlineLvl w:val="1"/>
              <w:rPr>
                <w:i/>
              </w:rPr>
            </w:pPr>
            <w:r w:rsidRPr="00C4763B">
              <w:rPr>
                <w:i/>
              </w:rPr>
              <w:t>Security</w:t>
            </w:r>
          </w:p>
          <w:p w14:paraId="10DB8079" w14:textId="2BFCEAA4" w:rsidR="0024660D" w:rsidRPr="00294722" w:rsidRDefault="0024660D" w:rsidP="005F6EB8">
            <w:pPr>
              <w:keepNext/>
              <w:keepLines/>
              <w:spacing w:before="120"/>
              <w:rPr>
                <w:color w:val="444448" w:themeColor="accent4"/>
                <w:lang w:val="en-US"/>
              </w:rPr>
            </w:pPr>
            <w:r w:rsidRPr="00294722">
              <w:rPr>
                <w:color w:val="444448" w:themeColor="accent4"/>
                <w:lang w:val="en-US"/>
              </w:rPr>
              <w:t xml:space="preserve">Access to </w:t>
            </w:r>
            <w:r w:rsidR="00DA477A" w:rsidRPr="00294722">
              <w:rPr>
                <w:color w:val="444448" w:themeColor="accent4"/>
                <w:lang w:val="en-US"/>
              </w:rPr>
              <w:t>all</w:t>
            </w:r>
            <w:r w:rsidRPr="00294722">
              <w:rPr>
                <w:color w:val="444448" w:themeColor="accent4"/>
                <w:lang w:val="en-US"/>
              </w:rPr>
              <w:t xml:space="preserve"> </w:t>
            </w:r>
            <w:r w:rsidR="00346D0B" w:rsidRPr="00294722">
              <w:rPr>
                <w:color w:val="444448" w:themeColor="accent4"/>
                <w:lang w:val="en-US"/>
              </w:rPr>
              <w:t>RSPhys</w:t>
            </w:r>
            <w:r w:rsidR="005F6EB8" w:rsidRPr="00294722">
              <w:rPr>
                <w:color w:val="444448" w:themeColor="accent4"/>
                <w:lang w:val="en-US"/>
              </w:rPr>
              <w:t xml:space="preserve"> </w:t>
            </w:r>
            <w:r w:rsidRPr="00294722">
              <w:rPr>
                <w:color w:val="444448" w:themeColor="accent4"/>
                <w:lang w:val="en-US"/>
              </w:rPr>
              <w:t>building</w:t>
            </w:r>
            <w:r w:rsidR="00DA477A" w:rsidRPr="00294722">
              <w:rPr>
                <w:color w:val="444448" w:themeColor="accent4"/>
                <w:lang w:val="en-US"/>
              </w:rPr>
              <w:t>s</w:t>
            </w:r>
            <w:r w:rsidRPr="00294722">
              <w:rPr>
                <w:color w:val="444448" w:themeColor="accent4"/>
                <w:lang w:val="en-US"/>
              </w:rPr>
              <w:t xml:space="preserve"> is protected by an electronic </w:t>
            </w:r>
            <w:r w:rsidR="00294722" w:rsidRPr="00294722">
              <w:rPr>
                <w:color w:val="444448" w:themeColor="accent4"/>
                <w:lang w:val="en-US"/>
              </w:rPr>
              <w:t xml:space="preserve">access control system. </w:t>
            </w:r>
            <w:r w:rsidRPr="00294722">
              <w:rPr>
                <w:color w:val="444448" w:themeColor="accent4"/>
                <w:lang w:val="en-US"/>
              </w:rPr>
              <w:t xml:space="preserve">The aggregation of all sources under </w:t>
            </w:r>
            <w:r w:rsidR="00346D0B" w:rsidRPr="00294722">
              <w:rPr>
                <w:color w:val="444448" w:themeColor="accent4"/>
                <w:lang w:val="en-US"/>
              </w:rPr>
              <w:t>RSPhys</w:t>
            </w:r>
            <w:r w:rsidRPr="00294722">
              <w:rPr>
                <w:color w:val="444448" w:themeColor="accent4"/>
                <w:lang w:val="en-US"/>
              </w:rPr>
              <w:t xml:space="preserve"> control </w:t>
            </w:r>
            <w:r w:rsidR="002F09D1" w:rsidRPr="00294722">
              <w:rPr>
                <w:color w:val="444448" w:themeColor="accent4"/>
                <w:lang w:val="en-US"/>
              </w:rPr>
              <w:t xml:space="preserve">do </w:t>
            </w:r>
            <w:r w:rsidRPr="00294722">
              <w:rPr>
                <w:color w:val="444448" w:themeColor="accent4"/>
                <w:lang w:val="en-US"/>
              </w:rPr>
              <w:t xml:space="preserve">not invoke </w:t>
            </w:r>
            <w:r w:rsidR="002F09D1" w:rsidRPr="00294722">
              <w:rPr>
                <w:color w:val="444448" w:themeColor="accent4"/>
                <w:lang w:val="en-US"/>
              </w:rPr>
              <w:t>enhanced security requirements</w:t>
            </w:r>
            <w:r w:rsidR="005F6EB8" w:rsidRPr="00294722">
              <w:rPr>
                <w:color w:val="444448" w:themeColor="accent4"/>
                <w:lang w:val="en-US"/>
              </w:rPr>
              <w:t xml:space="preserve"> and t</w:t>
            </w:r>
            <w:r w:rsidR="00F740CF" w:rsidRPr="00294722">
              <w:rPr>
                <w:color w:val="444448" w:themeColor="accent4"/>
                <w:lang w:val="en-US"/>
              </w:rPr>
              <w:t>he existing s</w:t>
            </w:r>
            <w:r w:rsidRPr="00294722">
              <w:rPr>
                <w:color w:val="444448" w:themeColor="accent4"/>
                <w:lang w:val="en-US"/>
              </w:rPr>
              <w:t xml:space="preserve">ecurity measures </w:t>
            </w:r>
            <w:r w:rsidR="00F740CF" w:rsidRPr="00294722">
              <w:rPr>
                <w:color w:val="444448" w:themeColor="accent4"/>
                <w:lang w:val="en-US"/>
              </w:rPr>
              <w:t>were</w:t>
            </w:r>
            <w:r w:rsidRPr="00294722">
              <w:rPr>
                <w:color w:val="444448" w:themeColor="accent4"/>
                <w:lang w:val="en-US"/>
              </w:rPr>
              <w:t xml:space="preserve"> </w:t>
            </w:r>
            <w:r w:rsidR="005F6EB8" w:rsidRPr="00294722">
              <w:rPr>
                <w:color w:val="444448" w:themeColor="accent4"/>
                <w:lang w:val="en-US"/>
              </w:rPr>
              <w:t xml:space="preserve">therefore </w:t>
            </w:r>
            <w:r w:rsidRPr="00294722">
              <w:rPr>
                <w:color w:val="444448" w:themeColor="accent4"/>
                <w:lang w:val="en-US"/>
              </w:rPr>
              <w:t>considered appropriate.</w:t>
            </w:r>
          </w:p>
          <w:p w14:paraId="4FDC5E20" w14:textId="77777777" w:rsidR="0035687D" w:rsidRPr="00AF4FF3" w:rsidRDefault="0035687D" w:rsidP="005F6EB8">
            <w:pPr>
              <w:pStyle w:val="Heading1"/>
              <w:spacing w:before="240"/>
              <w:outlineLvl w:val="0"/>
            </w:pPr>
            <w:r w:rsidRPr="00AF4FF3">
              <w:t>Findings</w:t>
            </w:r>
          </w:p>
          <w:p w14:paraId="5413C5FE" w14:textId="77777777" w:rsidR="0035687D" w:rsidRPr="00294722" w:rsidRDefault="0035687D" w:rsidP="005F6EB8">
            <w:pPr>
              <w:spacing w:before="120"/>
              <w:rPr>
                <w:color w:val="444448" w:themeColor="accent4"/>
              </w:rPr>
            </w:pPr>
            <w:r w:rsidRPr="00294722">
              <w:rPr>
                <w:color w:val="444448" w:themeColor="accent4"/>
              </w:rPr>
              <w:t xml:space="preserve">The licence holder was found to be in compliance with the requirements of the Act, the Regulations, and licence conditions. </w:t>
            </w:r>
          </w:p>
          <w:p w14:paraId="159F8F59" w14:textId="77777777" w:rsidR="00DA477A" w:rsidRPr="00294722" w:rsidRDefault="0035687D" w:rsidP="001075E8">
            <w:pPr>
              <w:rPr>
                <w:color w:val="444448" w:themeColor="accent4"/>
              </w:rPr>
            </w:pPr>
            <w:r w:rsidRPr="00294722">
              <w:rPr>
                <w:color w:val="444448" w:themeColor="accent4"/>
              </w:rPr>
              <w:t xml:space="preserve">The inspection revealed the following </w:t>
            </w:r>
            <w:r w:rsidRPr="00294722">
              <w:rPr>
                <w:b/>
                <w:color w:val="444448" w:themeColor="accent4"/>
              </w:rPr>
              <w:t>areas for improvement</w:t>
            </w:r>
            <w:r w:rsidRPr="00294722">
              <w:rPr>
                <w:color w:val="444448" w:themeColor="accent4"/>
              </w:rPr>
              <w:t>:</w:t>
            </w:r>
          </w:p>
          <w:p w14:paraId="254AF64A" w14:textId="613F9E44" w:rsidR="00393DF7" w:rsidRPr="00294722" w:rsidRDefault="001075E8" w:rsidP="005F6EB8">
            <w:pPr>
              <w:pStyle w:val="Footer"/>
              <w:numPr>
                <w:ilvl w:val="0"/>
                <w:numId w:val="16"/>
              </w:numPr>
              <w:spacing w:before="120"/>
              <w:ind w:left="714" w:hanging="357"/>
              <w:rPr>
                <w:color w:val="444448" w:themeColor="accent4"/>
              </w:rPr>
            </w:pPr>
            <w:r w:rsidRPr="00294722">
              <w:rPr>
                <w:color w:val="444448" w:themeColor="accent4"/>
              </w:rPr>
              <w:t>There were no records of interlock checks</w:t>
            </w:r>
            <w:r w:rsidR="00980E93" w:rsidRPr="00294722">
              <w:rPr>
                <w:color w:val="444448" w:themeColor="accent4"/>
              </w:rPr>
              <w:t xml:space="preserve"> on industrial X-ray cabinets</w:t>
            </w:r>
            <w:r w:rsidR="00393DF7" w:rsidRPr="00294722">
              <w:rPr>
                <w:color w:val="444448" w:themeColor="accent4"/>
              </w:rPr>
              <w:t>.</w:t>
            </w:r>
          </w:p>
          <w:p w14:paraId="28233EE6" w14:textId="77777777" w:rsidR="001075E8" w:rsidRPr="00294722" w:rsidRDefault="001075E8" w:rsidP="005F6EB8">
            <w:pPr>
              <w:pStyle w:val="Footer"/>
              <w:numPr>
                <w:ilvl w:val="0"/>
                <w:numId w:val="16"/>
              </w:numPr>
              <w:spacing w:before="120"/>
              <w:ind w:left="714" w:hanging="357"/>
              <w:rPr>
                <w:color w:val="444448" w:themeColor="accent4"/>
              </w:rPr>
            </w:pPr>
            <w:r w:rsidRPr="00294722">
              <w:rPr>
                <w:color w:val="444448" w:themeColor="accent4"/>
              </w:rPr>
              <w:t>Some laser devices were being stored without their control key being removed.</w:t>
            </w:r>
          </w:p>
          <w:p w14:paraId="47D74E1F" w14:textId="43120B7C" w:rsidR="00393DF7" w:rsidRPr="00294722" w:rsidRDefault="003D0411" w:rsidP="005F6EB8">
            <w:pPr>
              <w:pStyle w:val="Footer"/>
              <w:numPr>
                <w:ilvl w:val="0"/>
                <w:numId w:val="16"/>
              </w:numPr>
              <w:spacing w:before="120"/>
              <w:ind w:left="714" w:hanging="357"/>
              <w:rPr>
                <w:color w:val="444448" w:themeColor="accent4"/>
              </w:rPr>
            </w:pPr>
            <w:r w:rsidRPr="00294722">
              <w:rPr>
                <w:color w:val="444448" w:themeColor="accent4"/>
              </w:rPr>
              <w:t>The manufacturer’s labels on s</w:t>
            </w:r>
            <w:r w:rsidR="001075E8" w:rsidRPr="00294722">
              <w:rPr>
                <w:color w:val="444448" w:themeColor="accent4"/>
              </w:rPr>
              <w:t xml:space="preserve">ome laser devices were not </w:t>
            </w:r>
            <w:r w:rsidRPr="00294722">
              <w:rPr>
                <w:color w:val="444448" w:themeColor="accent4"/>
              </w:rPr>
              <w:t>clearly visible during operation</w:t>
            </w:r>
            <w:r w:rsidR="00393DF7" w:rsidRPr="00294722">
              <w:rPr>
                <w:color w:val="444448" w:themeColor="accent4"/>
              </w:rPr>
              <w:t>.</w:t>
            </w:r>
          </w:p>
          <w:p w14:paraId="45DEE622" w14:textId="0F38C398" w:rsidR="00541D2D" w:rsidRPr="00294722" w:rsidRDefault="00980E93" w:rsidP="005F6EB8">
            <w:pPr>
              <w:pStyle w:val="Footer"/>
              <w:numPr>
                <w:ilvl w:val="0"/>
                <w:numId w:val="16"/>
              </w:numPr>
              <w:spacing w:before="120"/>
              <w:ind w:left="714" w:hanging="357"/>
              <w:rPr>
                <w:color w:val="444448" w:themeColor="accent4"/>
              </w:rPr>
            </w:pPr>
            <w:r w:rsidRPr="00294722">
              <w:rPr>
                <w:color w:val="444448" w:themeColor="accent4"/>
              </w:rPr>
              <w:t>E</w:t>
            </w:r>
            <w:r w:rsidR="004B4506" w:rsidRPr="00294722">
              <w:rPr>
                <w:color w:val="444448" w:themeColor="accent4"/>
              </w:rPr>
              <w:t xml:space="preserve">yewear </w:t>
            </w:r>
            <w:r w:rsidRPr="00294722">
              <w:rPr>
                <w:color w:val="444448" w:themeColor="accent4"/>
              </w:rPr>
              <w:t xml:space="preserve">for some lasers did not cover the full </w:t>
            </w:r>
            <w:r w:rsidR="004B4506" w:rsidRPr="00294722">
              <w:rPr>
                <w:color w:val="444448" w:themeColor="accent4"/>
              </w:rPr>
              <w:t xml:space="preserve">accessible emission range of </w:t>
            </w:r>
            <w:r w:rsidRPr="00294722">
              <w:rPr>
                <w:color w:val="444448" w:themeColor="accent4"/>
              </w:rPr>
              <w:t>the given</w:t>
            </w:r>
            <w:r w:rsidR="004B4506" w:rsidRPr="00294722">
              <w:rPr>
                <w:color w:val="444448" w:themeColor="accent4"/>
              </w:rPr>
              <w:t xml:space="preserve"> laser.</w:t>
            </w:r>
          </w:p>
          <w:p w14:paraId="350B9B06" w14:textId="03152123" w:rsidR="0035687D" w:rsidRPr="0035687D" w:rsidRDefault="0035687D" w:rsidP="001075E8">
            <w:r w:rsidRPr="00294722">
              <w:rPr>
                <w:color w:val="444448" w:themeColor="accent4"/>
              </w:rPr>
              <w:t xml:space="preserve">It is expected that improvement actions </w:t>
            </w:r>
            <w:r w:rsidR="00705260" w:rsidRPr="00294722">
              <w:rPr>
                <w:color w:val="444448" w:themeColor="accent4"/>
              </w:rPr>
              <w:t xml:space="preserve">will </w:t>
            </w:r>
            <w:r w:rsidRPr="00294722">
              <w:rPr>
                <w:color w:val="444448" w:themeColor="accent4"/>
              </w:rPr>
              <w:t>be taken in a timely manner.</w:t>
            </w:r>
          </w:p>
        </w:tc>
      </w:tr>
    </w:tbl>
    <w:p w14:paraId="16E4EAB8" w14:textId="42A317B8" w:rsidR="0035687D" w:rsidRPr="00294722" w:rsidRDefault="0024660D" w:rsidP="00294722">
      <w:pPr>
        <w:ind w:left="-426"/>
        <w:jc w:val="center"/>
        <w:rPr>
          <w:rFonts w:cs="Arial"/>
          <w:i/>
          <w:color w:val="FF0000"/>
          <w:sz w:val="18"/>
          <w:szCs w:val="18"/>
        </w:rPr>
      </w:pPr>
      <w:r>
        <w:rPr>
          <w:rFonts w:cs="Arial"/>
          <w:i/>
          <w:color w:val="4E1A74"/>
          <w:sz w:val="18"/>
          <w:szCs w:val="18"/>
        </w:rPr>
        <w:lastRenderedPageBreak/>
        <w:t xml:space="preserve"> </w:t>
      </w:r>
      <w:r w:rsidR="0035687D" w:rsidRPr="00AF4FF3">
        <w:rPr>
          <w:rFonts w:cs="Arial"/>
          <w:i/>
          <w:color w:val="4E1A74"/>
          <w:sz w:val="18"/>
          <w:szCs w:val="18"/>
        </w:rPr>
        <w:t xml:space="preserve">No written response to this report is required </w:t>
      </w:r>
    </w:p>
    <w:sectPr w:rsidR="0035687D" w:rsidRPr="00294722" w:rsidSect="00294722">
      <w:headerReference w:type="default" r:id="rId8"/>
      <w:footerReference w:type="default" r:id="rId9"/>
      <w:headerReference w:type="first" r:id="rId10"/>
      <w:footerReference w:type="first" r:id="rId11"/>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EED4E" w14:textId="77777777" w:rsidR="007F2D9C" w:rsidRDefault="007F2D9C" w:rsidP="00037687">
      <w:r>
        <w:separator/>
      </w:r>
    </w:p>
  </w:endnote>
  <w:endnote w:type="continuationSeparator" w:id="0">
    <w:p w14:paraId="3E889B57" w14:textId="77777777" w:rsidR="007F2D9C" w:rsidRDefault="007F2D9C"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9EC30" w14:textId="33344E7F" w:rsidR="00D770E7" w:rsidRPr="00FF6AB9" w:rsidRDefault="00D770E7" w:rsidP="007D153D">
    <w:pPr>
      <w:pStyle w:val="Footer"/>
      <w:tabs>
        <w:tab w:val="clear" w:pos="4513"/>
        <w:tab w:val="clear" w:pos="9026"/>
        <w:tab w:val="center" w:pos="4820"/>
        <w:tab w:val="right" w:pos="9639"/>
      </w:tabs>
      <w:spacing w:before="120" w:line="264" w:lineRule="auto"/>
      <w:rPr>
        <w:sz w:val="18"/>
      </w:rPr>
    </w:pPr>
    <w:r w:rsidRPr="00FF6AB9">
      <w:rPr>
        <w:noProof/>
        <w:sz w:val="18"/>
        <w:lang w:eastAsia="en-AU"/>
      </w:rPr>
      <w:drawing>
        <wp:anchor distT="0" distB="0" distL="114300" distR="114300" simplePos="0" relativeHeight="251663360" behindDoc="0" locked="0" layoutInCell="1" allowOverlap="1" wp14:anchorId="24D0884B" wp14:editId="6F096A2D">
          <wp:simplePos x="0" y="0"/>
          <wp:positionH relativeFrom="column">
            <wp:posOffset>0</wp:posOffset>
          </wp:positionH>
          <wp:positionV relativeFrom="paragraph">
            <wp:posOffset>175895</wp:posOffset>
          </wp:positionV>
          <wp:extent cx="6120000" cy="54000"/>
          <wp:effectExtent l="0" t="0" r="0" b="3175"/>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1004B1">
      <w:rPr>
        <w:sz w:val="18"/>
      </w:rPr>
      <w:t xml:space="preserve">Inspection report – ANU – </w:t>
    </w:r>
    <w:r w:rsidR="00346D0B">
      <w:rPr>
        <w:sz w:val="18"/>
      </w:rPr>
      <w:t>RSPhys</w:t>
    </w:r>
    <w:r w:rsidRPr="00FF6AB9">
      <w:rPr>
        <w:sz w:val="18"/>
      </w:rPr>
      <w:tab/>
    </w:r>
    <w:r w:rsidR="001004B1">
      <w:rPr>
        <w:sz w:val="18"/>
      </w:rPr>
      <w:t>December</w:t>
    </w:r>
    <w:r w:rsidR="000257F5">
      <w:rPr>
        <w:sz w:val="18"/>
      </w:rPr>
      <w:t xml:space="preserve"> 201</w:t>
    </w:r>
    <w:r w:rsidR="00DE2BEB">
      <w:rPr>
        <w:sz w:val="18"/>
      </w:rPr>
      <w:t>9</w:t>
    </w:r>
    <w:r w:rsidRPr="00FF6AB9">
      <w:rPr>
        <w:sz w:val="18"/>
      </w:rPr>
      <w:tab/>
    </w:r>
    <w:r w:rsidRPr="00FF6AB9">
      <w:rPr>
        <w:sz w:val="18"/>
      </w:rPr>
      <w:fldChar w:fldCharType="begin"/>
    </w:r>
    <w:r w:rsidRPr="00FF6AB9">
      <w:rPr>
        <w:sz w:val="18"/>
      </w:rPr>
      <w:instrText xml:space="preserve"> PAGE  \* Arabic  \* MERGEFORMAT </w:instrText>
    </w:r>
    <w:r w:rsidRPr="00FF6AB9">
      <w:rPr>
        <w:sz w:val="18"/>
      </w:rPr>
      <w:fldChar w:fldCharType="separate"/>
    </w:r>
    <w:r w:rsidR="00F205EA">
      <w:rPr>
        <w:noProof/>
        <w:sz w:val="18"/>
      </w:rPr>
      <w:t>3</w:t>
    </w:r>
    <w:r w:rsidRPr="00FF6AB9">
      <w:rPr>
        <w:sz w:val="18"/>
      </w:rPr>
      <w:fldChar w:fldCharType="end"/>
    </w:r>
    <w:r w:rsidRPr="00FF6AB9">
      <w:rPr>
        <w:sz w:val="18"/>
      </w:rPr>
      <w:t xml:space="preserve"> of </w:t>
    </w:r>
    <w:r w:rsidRPr="00FF6AB9">
      <w:rPr>
        <w:sz w:val="18"/>
      </w:rPr>
      <w:fldChar w:fldCharType="begin"/>
    </w:r>
    <w:r w:rsidRPr="00FF6AB9">
      <w:rPr>
        <w:sz w:val="18"/>
      </w:rPr>
      <w:instrText xml:space="preserve"> NUMPAGES  \* Arabic  \* MERGEFORMAT </w:instrText>
    </w:r>
    <w:r w:rsidRPr="00FF6AB9">
      <w:rPr>
        <w:sz w:val="18"/>
      </w:rPr>
      <w:fldChar w:fldCharType="separate"/>
    </w:r>
    <w:r w:rsidR="00F205EA">
      <w:rPr>
        <w:noProof/>
        <w:sz w:val="18"/>
      </w:rPr>
      <w:t>3</w:t>
    </w:r>
    <w:r w:rsidRPr="00FF6AB9">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88231" w14:textId="0EF99304" w:rsidR="0041148A" w:rsidRDefault="0041148A" w:rsidP="0041148A">
    <w:pPr>
      <w:tabs>
        <w:tab w:val="left" w:pos="4253"/>
        <w:tab w:val="right" w:pos="9639"/>
      </w:tabs>
      <w:spacing w:before="120" w:line="240" w:lineRule="auto"/>
      <w:rPr>
        <w:sz w:val="16"/>
      </w:rPr>
    </w:pPr>
    <w:r>
      <w:rPr>
        <w:sz w:val="16"/>
      </w:rPr>
      <w:t>REG-INS-FORM-280M</w:t>
    </w:r>
    <w:r w:rsidR="00962950">
      <w:rPr>
        <w:sz w:val="16"/>
      </w:rPr>
      <w:t>-v9.1</w:t>
    </w:r>
    <w:r w:rsidR="00962950">
      <w:rPr>
        <w:sz w:val="16"/>
      </w:rPr>
      <w:tab/>
    </w:r>
    <w:r w:rsidR="00DE4D18">
      <w:rPr>
        <w:sz w:val="16"/>
      </w:rPr>
      <w:t>April</w:t>
    </w:r>
    <w:r>
      <w:rPr>
        <w:sz w:val="16"/>
      </w:rPr>
      <w:t xml:space="preserve"> 2018</w:t>
    </w:r>
    <w:r>
      <w:rPr>
        <w:sz w:val="16"/>
      </w:rPr>
      <w:tab/>
    </w:r>
    <w:r w:rsidRPr="008243FE">
      <w:rPr>
        <w:bCs/>
        <w:sz w:val="16"/>
      </w:rPr>
      <w:fldChar w:fldCharType="begin"/>
    </w:r>
    <w:r w:rsidRPr="008243FE">
      <w:rPr>
        <w:bCs/>
        <w:sz w:val="16"/>
      </w:rPr>
      <w:instrText xml:space="preserve"> PAGE  \* Arabic  \* MERGEFORMAT </w:instrText>
    </w:r>
    <w:r w:rsidRPr="008243FE">
      <w:rPr>
        <w:bCs/>
        <w:sz w:val="16"/>
      </w:rPr>
      <w:fldChar w:fldCharType="separate"/>
    </w:r>
    <w:r w:rsidR="00F205EA">
      <w:rPr>
        <w:bCs/>
        <w:noProof/>
        <w:sz w:val="16"/>
      </w:rPr>
      <w:t>1</w:t>
    </w:r>
    <w:r w:rsidRPr="008243FE">
      <w:rPr>
        <w:bCs/>
        <w:sz w:val="16"/>
      </w:rPr>
      <w:fldChar w:fldCharType="end"/>
    </w:r>
    <w:r w:rsidRPr="0067700D">
      <w:rPr>
        <w:sz w:val="16"/>
      </w:rPr>
      <w:t xml:space="preserve"> of </w:t>
    </w:r>
    <w:r w:rsidRPr="008243FE">
      <w:rPr>
        <w:bCs/>
        <w:sz w:val="16"/>
      </w:rPr>
      <w:fldChar w:fldCharType="begin"/>
    </w:r>
    <w:r w:rsidRPr="008243FE">
      <w:rPr>
        <w:bCs/>
        <w:sz w:val="16"/>
      </w:rPr>
      <w:instrText xml:space="preserve"> NUMPAGES  \* Arabic  \* MERGEFORMAT </w:instrText>
    </w:r>
    <w:r w:rsidRPr="008243FE">
      <w:rPr>
        <w:bCs/>
        <w:sz w:val="16"/>
      </w:rPr>
      <w:fldChar w:fldCharType="separate"/>
    </w:r>
    <w:r w:rsidR="00F205EA">
      <w:rPr>
        <w:bCs/>
        <w:noProof/>
        <w:sz w:val="16"/>
      </w:rPr>
      <w:t>3</w:t>
    </w:r>
    <w:r w:rsidRPr="008243FE">
      <w:rPr>
        <w:bCs/>
        <w:sz w:val="16"/>
      </w:rPr>
      <w:fldChar w:fldCharType="end"/>
    </w:r>
  </w:p>
  <w:p w14:paraId="50C73D42" w14:textId="77777777" w:rsidR="00037687" w:rsidRPr="002356D6" w:rsidRDefault="00751131" w:rsidP="007D153D">
    <w:pPr>
      <w:tabs>
        <w:tab w:val="left" w:pos="4253"/>
        <w:tab w:val="right" w:pos="9639"/>
      </w:tabs>
      <w:spacing w:before="120"/>
      <w:rPr>
        <w:sz w:val="16"/>
      </w:rPr>
    </w:pPr>
    <w:r w:rsidRPr="002356D6">
      <w:rPr>
        <w:noProof/>
        <w:sz w:val="16"/>
        <w:lang w:eastAsia="en-AU"/>
      </w:rPr>
      <w:drawing>
        <wp:anchor distT="0" distB="0" distL="114300" distR="114300" simplePos="0" relativeHeight="251661312" behindDoc="0" locked="0" layoutInCell="1" allowOverlap="1" wp14:anchorId="1B9F5E55" wp14:editId="4BF29B99">
          <wp:simplePos x="0" y="0"/>
          <wp:positionH relativeFrom="column">
            <wp:posOffset>0</wp:posOffset>
          </wp:positionH>
          <wp:positionV relativeFrom="paragraph">
            <wp:posOffset>161290</wp:posOffset>
          </wp:positionV>
          <wp:extent cx="6120000" cy="54000"/>
          <wp:effectExtent l="0" t="0" r="0" b="3175"/>
          <wp:wrapTopAndBottom/>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2356D6" w:rsidRPr="002356D6">
      <w:rPr>
        <w:sz w:val="16"/>
      </w:rPr>
      <w:t>619 Lower Plenty Road, Yallambie VIC 3085</w:t>
    </w:r>
    <w:r w:rsidR="002356D6" w:rsidRPr="002356D6">
      <w:rPr>
        <w:sz w:val="16"/>
      </w:rPr>
      <w:tab/>
      <w:t>38–40 Urunga Parade, Miranda NSW 2228</w:t>
    </w:r>
    <w:r w:rsidR="002356D6" w:rsidRPr="002356D6">
      <w:rPr>
        <w:sz w:val="16"/>
      </w:rPr>
      <w:tab/>
      <w:t>info@arpansa.gov.au</w:t>
    </w:r>
    <w:r w:rsidR="002356D6" w:rsidRPr="002356D6">
      <w:rPr>
        <w:sz w:val="16"/>
      </w:rPr>
      <w:br/>
      <w:t>+61 3 94</w:t>
    </w:r>
    <w:r w:rsidR="00370113">
      <w:rPr>
        <w:sz w:val="16"/>
      </w:rPr>
      <w:t>33 2211</w:t>
    </w:r>
    <w:r w:rsidR="00370113">
      <w:rPr>
        <w:sz w:val="16"/>
      </w:rPr>
      <w:tab/>
      <w:t xml:space="preserve">PO Box 655, Miranda </w:t>
    </w:r>
    <w:r w:rsidR="009F3F6D">
      <w:rPr>
        <w:sz w:val="16"/>
      </w:rPr>
      <w:t xml:space="preserve">NSW </w:t>
    </w:r>
    <w:r w:rsidR="00370113">
      <w:rPr>
        <w:sz w:val="16"/>
      </w:rPr>
      <w:t>1490</w:t>
    </w:r>
    <w:r w:rsidR="002356D6" w:rsidRPr="002356D6">
      <w:rPr>
        <w:sz w:val="16"/>
      </w:rPr>
      <w:tab/>
      <w:t>arpansa.gov.au</w:t>
    </w:r>
    <w:r w:rsidR="002356D6" w:rsidRPr="002356D6">
      <w:rPr>
        <w:sz w:val="16"/>
      </w:rPr>
      <w:br/>
    </w:r>
    <w:r w:rsidR="002356D6" w:rsidRPr="002356D6">
      <w:rPr>
        <w:sz w:val="16"/>
      </w:rPr>
      <w:tab/>
      <w:t>+61 2 9541 8333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FBF2C" w14:textId="77777777" w:rsidR="007F2D9C" w:rsidRDefault="007F2D9C" w:rsidP="00037687">
      <w:r>
        <w:separator/>
      </w:r>
    </w:p>
  </w:footnote>
  <w:footnote w:type="continuationSeparator" w:id="0">
    <w:p w14:paraId="7A85DB0C" w14:textId="77777777" w:rsidR="007F2D9C" w:rsidRDefault="007F2D9C" w:rsidP="000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0B7E3" w14:textId="77777777" w:rsidR="0035687D" w:rsidRPr="000B6360" w:rsidRDefault="0035687D" w:rsidP="0035687D">
    <w:pPr>
      <w:pStyle w:val="Header"/>
      <w:jc w:val="center"/>
      <w:rPr>
        <w:color w:val="FF0000"/>
        <w:sz w:val="18"/>
      </w:rPr>
    </w:pPr>
    <w:r w:rsidRPr="000B6360">
      <w:rPr>
        <w:color w:val="FF0000"/>
        <w:sz w:val="18"/>
      </w:rPr>
      <w:t>UNCLASSIFIED</w:t>
    </w:r>
  </w:p>
  <w:p w14:paraId="084B5317" w14:textId="77777777" w:rsidR="0035687D" w:rsidRDefault="003568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0C5C1" w14:textId="77777777" w:rsidR="002356D6" w:rsidRDefault="002356D6">
    <w:pPr>
      <w:pStyle w:val="Header"/>
    </w:pPr>
  </w:p>
  <w:p w14:paraId="688F38FB" w14:textId="77777777" w:rsidR="002356D6" w:rsidRDefault="007A0993">
    <w:pPr>
      <w:pStyle w:val="Header"/>
    </w:pPr>
    <w:r>
      <w:rPr>
        <w:noProof/>
        <w:lang w:eastAsia="en-AU"/>
      </w:rPr>
      <w:drawing>
        <wp:inline distT="0" distB="0" distL="0" distR="0" wp14:anchorId="573B44BF" wp14:editId="17C92BBB">
          <wp:extent cx="6120384" cy="731520"/>
          <wp:effectExtent l="0" t="0" r="0" b="0"/>
          <wp:docPr id="1" name="Picture 1"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923DB2"/>
    <w:multiLevelType w:val="hybridMultilevel"/>
    <w:tmpl w:val="1B8C2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4" w15:restartNumberingAfterBreak="0">
    <w:nsid w:val="28AB607F"/>
    <w:multiLevelType w:val="hybridMultilevel"/>
    <w:tmpl w:val="67163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3C55EC"/>
    <w:multiLevelType w:val="hybridMultilevel"/>
    <w:tmpl w:val="1ACC7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1" w15:restartNumberingAfterBreak="0">
    <w:nsid w:val="4CFC317D"/>
    <w:multiLevelType w:val="hybridMultilevel"/>
    <w:tmpl w:val="6602DB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3"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4" w15:restartNumberingAfterBreak="0">
    <w:nsid w:val="5FE93366"/>
    <w:multiLevelType w:val="hybridMultilevel"/>
    <w:tmpl w:val="5F48AA2E"/>
    <w:lvl w:ilvl="0" w:tplc="08090001">
      <w:start w:val="1"/>
      <w:numFmt w:val="bullet"/>
      <w:lvlText w:val=""/>
      <w:lvlJc w:val="left"/>
      <w:pPr>
        <w:ind w:left="786" w:hanging="360"/>
      </w:pPr>
      <w:rPr>
        <w:rFonts w:ascii="Symbol" w:hAnsi="Symbol" w:hint="default"/>
        <w:b w:val="0"/>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5" w15:restartNumberingAfterBreak="0">
    <w:nsid w:val="6E6B5428"/>
    <w:multiLevelType w:val="hybridMultilevel"/>
    <w:tmpl w:val="99DAB71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6"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7" w15:restartNumberingAfterBreak="0">
    <w:nsid w:val="77E719E6"/>
    <w:multiLevelType w:val="hybridMultilevel"/>
    <w:tmpl w:val="8A7AC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9"/>
  </w:num>
  <w:num w:numId="4">
    <w:abstractNumId w:val="5"/>
  </w:num>
  <w:num w:numId="5">
    <w:abstractNumId w:val="7"/>
  </w:num>
  <w:num w:numId="6">
    <w:abstractNumId w:val="13"/>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abstractNumId w:val="13"/>
  </w:num>
  <w:num w:numId="8">
    <w:abstractNumId w:val="0"/>
  </w:num>
  <w:num w:numId="9">
    <w:abstractNumId w:val="16"/>
  </w:num>
  <w:num w:numId="10">
    <w:abstractNumId w:val="3"/>
  </w:num>
  <w:num w:numId="11">
    <w:abstractNumId w:val="10"/>
  </w:num>
  <w:num w:numId="12">
    <w:abstractNumId w:val="12"/>
  </w:num>
  <w:num w:numId="13">
    <w:abstractNumId w:val="14"/>
  </w:num>
  <w:num w:numId="14">
    <w:abstractNumId w:val="14"/>
    <w:lvlOverride w:ilvl="0">
      <w:startOverride w:val="1"/>
    </w:lvlOverride>
  </w:num>
  <w:num w:numId="15">
    <w:abstractNumId w:val="14"/>
    <w:lvlOverride w:ilvl="0">
      <w:startOverride w:val="1"/>
    </w:lvlOverride>
  </w:num>
  <w:num w:numId="16">
    <w:abstractNumId w:val="14"/>
  </w:num>
  <w:num w:numId="17">
    <w:abstractNumId w:val="14"/>
    <w:lvlOverride w:ilvl="0">
      <w:startOverride w:val="1"/>
    </w:lvlOverride>
  </w:num>
  <w:num w:numId="18">
    <w:abstractNumId w:val="11"/>
  </w:num>
  <w:num w:numId="19">
    <w:abstractNumId w:val="8"/>
  </w:num>
  <w:num w:numId="20">
    <w:abstractNumId w:val="17"/>
  </w:num>
  <w:num w:numId="21">
    <w:abstractNumId w:val="15"/>
  </w:num>
  <w:num w:numId="22">
    <w:abstractNumId w:val="5"/>
  </w:num>
  <w:num w:numId="23">
    <w:abstractNumId w:val="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805"/>
    <w:rsid w:val="000176B8"/>
    <w:rsid w:val="000257F5"/>
    <w:rsid w:val="00037687"/>
    <w:rsid w:val="0006017C"/>
    <w:rsid w:val="00061F47"/>
    <w:rsid w:val="00066B27"/>
    <w:rsid w:val="00082E26"/>
    <w:rsid w:val="000917AA"/>
    <w:rsid w:val="000A0D8B"/>
    <w:rsid w:val="000D27C8"/>
    <w:rsid w:val="000F3AB1"/>
    <w:rsid w:val="000F46DD"/>
    <w:rsid w:val="000F73FB"/>
    <w:rsid w:val="001004B1"/>
    <w:rsid w:val="0010348D"/>
    <w:rsid w:val="001075E8"/>
    <w:rsid w:val="001903E9"/>
    <w:rsid w:val="00192A8D"/>
    <w:rsid w:val="00196220"/>
    <w:rsid w:val="001A11CB"/>
    <w:rsid w:val="001A5E10"/>
    <w:rsid w:val="001B5FBC"/>
    <w:rsid w:val="001F5B95"/>
    <w:rsid w:val="00200193"/>
    <w:rsid w:val="00211B48"/>
    <w:rsid w:val="002356D6"/>
    <w:rsid w:val="00240C9D"/>
    <w:rsid w:val="002449F3"/>
    <w:rsid w:val="0024660D"/>
    <w:rsid w:val="00255435"/>
    <w:rsid w:val="00281DA2"/>
    <w:rsid w:val="00294722"/>
    <w:rsid w:val="002B2A54"/>
    <w:rsid w:val="002F09D1"/>
    <w:rsid w:val="003014F6"/>
    <w:rsid w:val="00304F5B"/>
    <w:rsid w:val="00327077"/>
    <w:rsid w:val="00346D0B"/>
    <w:rsid w:val="0035687D"/>
    <w:rsid w:val="00370113"/>
    <w:rsid w:val="00376DE6"/>
    <w:rsid w:val="00385539"/>
    <w:rsid w:val="003939E0"/>
    <w:rsid w:val="00393DF7"/>
    <w:rsid w:val="003A1FE5"/>
    <w:rsid w:val="003A6455"/>
    <w:rsid w:val="003B0414"/>
    <w:rsid w:val="003B601C"/>
    <w:rsid w:val="003D0411"/>
    <w:rsid w:val="003D2646"/>
    <w:rsid w:val="003D265D"/>
    <w:rsid w:val="003F4BB3"/>
    <w:rsid w:val="0041148A"/>
    <w:rsid w:val="00412CF8"/>
    <w:rsid w:val="00434381"/>
    <w:rsid w:val="004577AE"/>
    <w:rsid w:val="00473C7F"/>
    <w:rsid w:val="00474F7D"/>
    <w:rsid w:val="004B3FC4"/>
    <w:rsid w:val="004B4506"/>
    <w:rsid w:val="004E3A87"/>
    <w:rsid w:val="004E4746"/>
    <w:rsid w:val="004F3732"/>
    <w:rsid w:val="00541D2D"/>
    <w:rsid w:val="0054455D"/>
    <w:rsid w:val="00545439"/>
    <w:rsid w:val="00552929"/>
    <w:rsid w:val="0055518E"/>
    <w:rsid w:val="00561136"/>
    <w:rsid w:val="00570B3E"/>
    <w:rsid w:val="0058187B"/>
    <w:rsid w:val="00586DAE"/>
    <w:rsid w:val="005B28E2"/>
    <w:rsid w:val="005D0462"/>
    <w:rsid w:val="005D496C"/>
    <w:rsid w:val="005E1F53"/>
    <w:rsid w:val="005E3D5B"/>
    <w:rsid w:val="005E7E3D"/>
    <w:rsid w:val="005F6EB8"/>
    <w:rsid w:val="006078F0"/>
    <w:rsid w:val="00610CF5"/>
    <w:rsid w:val="00612E7F"/>
    <w:rsid w:val="00621F3A"/>
    <w:rsid w:val="006471DC"/>
    <w:rsid w:val="00653E5D"/>
    <w:rsid w:val="00662EB0"/>
    <w:rsid w:val="00670571"/>
    <w:rsid w:val="00675E49"/>
    <w:rsid w:val="0068756A"/>
    <w:rsid w:val="006D3199"/>
    <w:rsid w:val="006D656D"/>
    <w:rsid w:val="006E59E8"/>
    <w:rsid w:val="006F5D20"/>
    <w:rsid w:val="00705260"/>
    <w:rsid w:val="007360C5"/>
    <w:rsid w:val="00751131"/>
    <w:rsid w:val="00753CA9"/>
    <w:rsid w:val="00787C08"/>
    <w:rsid w:val="007A0993"/>
    <w:rsid w:val="007A14CE"/>
    <w:rsid w:val="007B7E26"/>
    <w:rsid w:val="007D153D"/>
    <w:rsid w:val="007D1CC9"/>
    <w:rsid w:val="007D376E"/>
    <w:rsid w:val="007F2D9C"/>
    <w:rsid w:val="0080792C"/>
    <w:rsid w:val="00810D47"/>
    <w:rsid w:val="0083547A"/>
    <w:rsid w:val="008359EC"/>
    <w:rsid w:val="00841065"/>
    <w:rsid w:val="008B3EA8"/>
    <w:rsid w:val="008C33A7"/>
    <w:rsid w:val="008E1705"/>
    <w:rsid w:val="008E6084"/>
    <w:rsid w:val="00930805"/>
    <w:rsid w:val="00962950"/>
    <w:rsid w:val="009649B9"/>
    <w:rsid w:val="00980E93"/>
    <w:rsid w:val="00985A04"/>
    <w:rsid w:val="00985B21"/>
    <w:rsid w:val="00987824"/>
    <w:rsid w:val="009A7F99"/>
    <w:rsid w:val="009B7C52"/>
    <w:rsid w:val="009F3F6D"/>
    <w:rsid w:val="00A2377B"/>
    <w:rsid w:val="00A42C7D"/>
    <w:rsid w:val="00A708FA"/>
    <w:rsid w:val="00A829C8"/>
    <w:rsid w:val="00A847BC"/>
    <w:rsid w:val="00A8520D"/>
    <w:rsid w:val="00AB6DA9"/>
    <w:rsid w:val="00AD2D61"/>
    <w:rsid w:val="00B24909"/>
    <w:rsid w:val="00B364D5"/>
    <w:rsid w:val="00B54750"/>
    <w:rsid w:val="00BA7AB0"/>
    <w:rsid w:val="00BD0627"/>
    <w:rsid w:val="00BE0B05"/>
    <w:rsid w:val="00BE37D3"/>
    <w:rsid w:val="00BE6683"/>
    <w:rsid w:val="00BF5397"/>
    <w:rsid w:val="00C07278"/>
    <w:rsid w:val="00C20E3B"/>
    <w:rsid w:val="00C24A74"/>
    <w:rsid w:val="00C25573"/>
    <w:rsid w:val="00C33D05"/>
    <w:rsid w:val="00C349FB"/>
    <w:rsid w:val="00C4763B"/>
    <w:rsid w:val="00C8354B"/>
    <w:rsid w:val="00C90747"/>
    <w:rsid w:val="00CA0523"/>
    <w:rsid w:val="00CC1541"/>
    <w:rsid w:val="00CE0F50"/>
    <w:rsid w:val="00CF2F06"/>
    <w:rsid w:val="00D00C3B"/>
    <w:rsid w:val="00D22F8B"/>
    <w:rsid w:val="00D236F4"/>
    <w:rsid w:val="00D24A37"/>
    <w:rsid w:val="00D55C3E"/>
    <w:rsid w:val="00D6084C"/>
    <w:rsid w:val="00D70D97"/>
    <w:rsid w:val="00D770E7"/>
    <w:rsid w:val="00D87798"/>
    <w:rsid w:val="00D96F62"/>
    <w:rsid w:val="00DA477A"/>
    <w:rsid w:val="00DB33D2"/>
    <w:rsid w:val="00DC313C"/>
    <w:rsid w:val="00DE2BEB"/>
    <w:rsid w:val="00DE4D18"/>
    <w:rsid w:val="00E124DE"/>
    <w:rsid w:val="00E25BD4"/>
    <w:rsid w:val="00E32A56"/>
    <w:rsid w:val="00E54D3A"/>
    <w:rsid w:val="00E606C4"/>
    <w:rsid w:val="00EA1F9E"/>
    <w:rsid w:val="00EC21F6"/>
    <w:rsid w:val="00F046CE"/>
    <w:rsid w:val="00F205EA"/>
    <w:rsid w:val="00F30B42"/>
    <w:rsid w:val="00F43D73"/>
    <w:rsid w:val="00F51ADD"/>
    <w:rsid w:val="00F6503F"/>
    <w:rsid w:val="00F740CF"/>
    <w:rsid w:val="00F82F73"/>
    <w:rsid w:val="00F857E1"/>
    <w:rsid w:val="00F87EA5"/>
    <w:rsid w:val="00F975F7"/>
    <w:rsid w:val="00FA69E2"/>
    <w:rsid w:val="00FC4375"/>
    <w:rsid w:val="00FC7713"/>
    <w:rsid w:val="00FE01C6"/>
    <w:rsid w:val="00FE01E3"/>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73BDAC"/>
  <w15:docId w15:val="{ABDF4ED2-1334-4982-B151-55C76430B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E26"/>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character" w:styleId="PlaceholderText">
    <w:name w:val="Placeholder Text"/>
    <w:basedOn w:val="DefaultParagraphFont"/>
    <w:uiPriority w:val="99"/>
    <w:semiHidden/>
    <w:rsid w:val="0035687D"/>
    <w:rPr>
      <w:color w:val="808080"/>
    </w:rPr>
  </w:style>
  <w:style w:type="paragraph" w:customStyle="1" w:styleId="Heading3list">
    <w:name w:val="Heading3list"/>
    <w:basedOn w:val="Normal"/>
    <w:qFormat/>
    <w:rsid w:val="0035687D"/>
    <w:pPr>
      <w:spacing w:before="200" w:after="200" w:line="276" w:lineRule="auto"/>
    </w:pPr>
    <w:rPr>
      <w:rFonts w:asciiTheme="majorHAnsi" w:eastAsiaTheme="minorEastAsia" w:hAnsiTheme="majorHAnsi"/>
      <w:b/>
      <w:color w:val="9B4AD6" w:themeColor="text2" w:themeTint="99"/>
      <w:sz w:val="24"/>
      <w:szCs w:val="24"/>
      <w:lang w:eastAsia="en-AU"/>
    </w:rPr>
  </w:style>
  <w:style w:type="character" w:styleId="Emphasis">
    <w:name w:val="Emphasis"/>
    <w:uiPriority w:val="20"/>
    <w:qFormat/>
    <w:rsid w:val="0035687D"/>
    <w:rPr>
      <w:caps/>
      <w:color w:val="7927B7" w:themeColor="accent1" w:themeShade="7F"/>
      <w:spacing w:val="5"/>
    </w:rPr>
  </w:style>
  <w:style w:type="character" w:styleId="CommentReference">
    <w:name w:val="annotation reference"/>
    <w:basedOn w:val="DefaultParagraphFont"/>
    <w:uiPriority w:val="99"/>
    <w:semiHidden/>
    <w:unhideWhenUsed/>
    <w:rsid w:val="008359EC"/>
    <w:rPr>
      <w:sz w:val="16"/>
      <w:szCs w:val="16"/>
    </w:rPr>
  </w:style>
  <w:style w:type="paragraph" w:styleId="CommentText">
    <w:name w:val="annotation text"/>
    <w:basedOn w:val="Normal"/>
    <w:link w:val="CommentTextChar"/>
    <w:uiPriority w:val="99"/>
    <w:semiHidden/>
    <w:unhideWhenUsed/>
    <w:rsid w:val="008359EC"/>
    <w:pPr>
      <w:spacing w:line="240" w:lineRule="auto"/>
    </w:pPr>
    <w:rPr>
      <w:sz w:val="20"/>
      <w:szCs w:val="20"/>
    </w:rPr>
  </w:style>
  <w:style w:type="character" w:customStyle="1" w:styleId="CommentTextChar">
    <w:name w:val="Comment Text Char"/>
    <w:basedOn w:val="DefaultParagraphFont"/>
    <w:link w:val="CommentText"/>
    <w:uiPriority w:val="99"/>
    <w:semiHidden/>
    <w:rsid w:val="008359EC"/>
    <w:rPr>
      <w:sz w:val="20"/>
      <w:szCs w:val="20"/>
    </w:rPr>
  </w:style>
  <w:style w:type="paragraph" w:styleId="CommentSubject">
    <w:name w:val="annotation subject"/>
    <w:basedOn w:val="CommentText"/>
    <w:next w:val="CommentText"/>
    <w:link w:val="CommentSubjectChar"/>
    <w:uiPriority w:val="99"/>
    <w:semiHidden/>
    <w:unhideWhenUsed/>
    <w:rsid w:val="008359EC"/>
    <w:rPr>
      <w:b/>
      <w:bCs/>
    </w:rPr>
  </w:style>
  <w:style w:type="character" w:customStyle="1" w:styleId="CommentSubjectChar">
    <w:name w:val="Comment Subject Char"/>
    <w:basedOn w:val="CommentTextChar"/>
    <w:link w:val="CommentSubject"/>
    <w:uiPriority w:val="99"/>
    <w:semiHidden/>
    <w:rsid w:val="008359EC"/>
    <w:rPr>
      <w:b/>
      <w:bCs/>
      <w:sz w:val="20"/>
      <w:szCs w:val="20"/>
    </w:rPr>
  </w:style>
  <w:style w:type="table" w:customStyle="1" w:styleId="TableGrid1">
    <w:name w:val="Table Grid1"/>
    <w:basedOn w:val="TableNormal"/>
    <w:next w:val="TableGrid"/>
    <w:uiPriority w:val="59"/>
    <w:rsid w:val="00BF5397"/>
    <w:pPr>
      <w:spacing w:before="200" w:after="200" w:line="276" w:lineRule="auto"/>
    </w:pPr>
    <w:rPr>
      <w:rFonts w:eastAsiaTheme="minorEastAsia"/>
      <w:color w:val="auto"/>
      <w:lang w:eastAsia="en-AU"/>
    </w:rPr>
    <w:tblPr>
      <w:tblBorders>
        <w:top w:val="single" w:sz="4" w:space="0" w:color="17365D" w:themeColor="text1"/>
        <w:left w:val="single" w:sz="4" w:space="0" w:color="17365D" w:themeColor="text1"/>
        <w:bottom w:val="single" w:sz="4" w:space="0" w:color="17365D" w:themeColor="text1"/>
        <w:right w:val="single" w:sz="4" w:space="0" w:color="17365D" w:themeColor="text1"/>
        <w:insideH w:val="single" w:sz="4" w:space="0" w:color="17365D" w:themeColor="text1"/>
        <w:insideV w:val="single" w:sz="4" w:space="0" w:color="17365D"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1EAC04517A4B59BEC451CE7E176CDC"/>
        <w:category>
          <w:name w:val="General"/>
          <w:gallery w:val="placeholder"/>
        </w:category>
        <w:types>
          <w:type w:val="bbPlcHdr"/>
        </w:types>
        <w:behaviors>
          <w:behavior w:val="content"/>
        </w:behaviors>
        <w:guid w:val="{9B48D7D7-C5E1-450B-996F-585CA0F0DBE4}"/>
      </w:docPartPr>
      <w:docPartBody>
        <w:p w:rsidR="00126119" w:rsidRDefault="00432A55">
          <w:pPr>
            <w:pStyle w:val="861EAC04517A4B59BEC451CE7E176CDC"/>
          </w:pPr>
          <w:r w:rsidRPr="0075526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A55"/>
    <w:rsid w:val="00071DA7"/>
    <w:rsid w:val="00081691"/>
    <w:rsid w:val="00126119"/>
    <w:rsid w:val="0015447F"/>
    <w:rsid w:val="00162900"/>
    <w:rsid w:val="0022183E"/>
    <w:rsid w:val="00236BFC"/>
    <w:rsid w:val="00297A94"/>
    <w:rsid w:val="00342205"/>
    <w:rsid w:val="00432A55"/>
    <w:rsid w:val="00480801"/>
    <w:rsid w:val="00520751"/>
    <w:rsid w:val="005D1AB8"/>
    <w:rsid w:val="00944965"/>
    <w:rsid w:val="00A4556C"/>
    <w:rsid w:val="00BC640F"/>
    <w:rsid w:val="00C3330E"/>
    <w:rsid w:val="00C6440D"/>
    <w:rsid w:val="00CC429B"/>
    <w:rsid w:val="00E745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4965"/>
    <w:rPr>
      <w:color w:val="808080"/>
    </w:rPr>
  </w:style>
  <w:style w:type="paragraph" w:customStyle="1" w:styleId="D8BB739648C2456D8C56A1A3F679AFE4">
    <w:name w:val="D8BB739648C2456D8C56A1A3F679AFE4"/>
  </w:style>
  <w:style w:type="paragraph" w:customStyle="1" w:styleId="ED62B0F7C4FC4ECE9CE851DED11070C7">
    <w:name w:val="ED62B0F7C4FC4ECE9CE851DED11070C7"/>
  </w:style>
  <w:style w:type="paragraph" w:customStyle="1" w:styleId="A8A5B3D9379840C4B780340FC341B85C">
    <w:name w:val="A8A5B3D9379840C4B780340FC341B85C"/>
  </w:style>
  <w:style w:type="paragraph" w:customStyle="1" w:styleId="6CBAD92BA3554CFE84E2F76D10C01D7C">
    <w:name w:val="6CBAD92BA3554CFE84E2F76D10C01D7C"/>
  </w:style>
  <w:style w:type="paragraph" w:customStyle="1" w:styleId="4ED64170F56D461A90ABEBCFF3A626FC">
    <w:name w:val="4ED64170F56D461A90ABEBCFF3A626FC"/>
  </w:style>
  <w:style w:type="paragraph" w:customStyle="1" w:styleId="BF3AFB186BF84C19B2673D8246D7BC9F">
    <w:name w:val="BF3AFB186BF84C19B2673D8246D7BC9F"/>
  </w:style>
  <w:style w:type="paragraph" w:customStyle="1" w:styleId="861EAC04517A4B59BEC451CE7E176CDC">
    <w:name w:val="861EAC04517A4B59BEC451CE7E176CDC"/>
  </w:style>
  <w:style w:type="paragraph" w:customStyle="1" w:styleId="7588E984DD364FA0B9B84465C28CB834">
    <w:name w:val="7588E984DD364FA0B9B84465C28CB834"/>
  </w:style>
  <w:style w:type="paragraph" w:customStyle="1" w:styleId="C772A5AA7BDD4F9BA8A7B3E02C4433EE">
    <w:name w:val="C772A5AA7BDD4F9BA8A7B3E02C4433EE"/>
  </w:style>
  <w:style w:type="paragraph" w:customStyle="1" w:styleId="39B7E86B63B747DF8D686781C2C31D94">
    <w:name w:val="39B7E86B63B747DF8D686781C2C31D94"/>
  </w:style>
  <w:style w:type="paragraph" w:customStyle="1" w:styleId="B6B27AD8698C47AAA6A75A37BA7FD06A">
    <w:name w:val="B6B27AD8698C47AAA6A75A37BA7FD06A"/>
  </w:style>
  <w:style w:type="paragraph" w:customStyle="1" w:styleId="DB30F30D25704D5DB76BC5EC39A4FEE5">
    <w:name w:val="DB30F30D25704D5DB76BC5EC39A4FEE5"/>
  </w:style>
  <w:style w:type="paragraph" w:customStyle="1" w:styleId="F6632505B04F406EB7D4479C50D92182">
    <w:name w:val="F6632505B04F406EB7D4479C50D92182"/>
  </w:style>
  <w:style w:type="paragraph" w:customStyle="1" w:styleId="D44A41A7D0704D929A6A076E48AE9FC0">
    <w:name w:val="D44A41A7D0704D929A6A076E48AE9FC0"/>
  </w:style>
  <w:style w:type="paragraph" w:customStyle="1" w:styleId="A8A5B3D9379840C4B780340FC341B85C1">
    <w:name w:val="A8A5B3D9379840C4B780340FC341B85C1"/>
    <w:rsid w:val="00432A55"/>
    <w:pPr>
      <w:keepNext/>
      <w:keepLines/>
      <w:spacing w:before="240" w:after="0" w:line="264" w:lineRule="auto"/>
      <w:outlineLvl w:val="1"/>
    </w:pPr>
    <w:rPr>
      <w:rFonts w:ascii="Calibri" w:eastAsiaTheme="majorEastAsia" w:hAnsi="Calibri" w:cstheme="majorBidi"/>
      <w:b/>
      <w:bCs/>
      <w:color w:val="4E1A74"/>
      <w:sz w:val="26"/>
      <w:szCs w:val="26"/>
      <w:lang w:eastAsia="en-US"/>
    </w:rPr>
  </w:style>
  <w:style w:type="paragraph" w:styleId="FootnoteText">
    <w:name w:val="footnote text"/>
    <w:basedOn w:val="Normal"/>
    <w:link w:val="FootnoteTextChar"/>
    <w:uiPriority w:val="99"/>
    <w:qFormat/>
    <w:rsid w:val="00432A55"/>
    <w:pPr>
      <w:spacing w:before="60" w:after="0" w:line="240" w:lineRule="auto"/>
      <w:ind w:left="284" w:hanging="284"/>
    </w:pPr>
    <w:rPr>
      <w:rFonts w:eastAsiaTheme="minorHAnsi"/>
      <w:color w:val="444444"/>
      <w:sz w:val="18"/>
      <w:szCs w:val="20"/>
      <w:lang w:eastAsia="en-US"/>
    </w:rPr>
  </w:style>
  <w:style w:type="character" w:customStyle="1" w:styleId="FootnoteTextChar">
    <w:name w:val="Footnote Text Char"/>
    <w:basedOn w:val="DefaultParagraphFont"/>
    <w:link w:val="FootnoteText"/>
    <w:uiPriority w:val="99"/>
    <w:rsid w:val="00432A55"/>
    <w:rPr>
      <w:rFonts w:eastAsiaTheme="minorHAnsi"/>
      <w:color w:val="444444"/>
      <w:sz w:val="18"/>
      <w:szCs w:val="20"/>
      <w:lang w:eastAsia="en-US"/>
    </w:rPr>
  </w:style>
  <w:style w:type="paragraph" w:customStyle="1" w:styleId="7588E984DD364FA0B9B84465C28CB8341">
    <w:name w:val="7588E984DD364FA0B9B84465C28CB8341"/>
    <w:rsid w:val="00432A55"/>
    <w:pPr>
      <w:spacing w:before="240" w:after="0" w:line="264" w:lineRule="auto"/>
    </w:pPr>
    <w:rPr>
      <w:rFonts w:eastAsiaTheme="minorHAnsi"/>
      <w:color w:val="444444"/>
      <w:lang w:eastAsia="en-US"/>
    </w:rPr>
  </w:style>
  <w:style w:type="paragraph" w:customStyle="1" w:styleId="C772A5AA7BDD4F9BA8A7B3E02C4433EE1">
    <w:name w:val="C772A5AA7BDD4F9BA8A7B3E02C4433EE1"/>
    <w:rsid w:val="00432A55"/>
    <w:pPr>
      <w:spacing w:before="240" w:after="0" w:line="264" w:lineRule="auto"/>
    </w:pPr>
    <w:rPr>
      <w:rFonts w:eastAsiaTheme="minorHAnsi"/>
      <w:color w:val="444444"/>
      <w:lang w:eastAsia="en-US"/>
    </w:rPr>
  </w:style>
  <w:style w:type="paragraph" w:customStyle="1" w:styleId="39B7E86B63B747DF8D686781C2C31D941">
    <w:name w:val="39B7E86B63B747DF8D686781C2C31D941"/>
    <w:rsid w:val="00432A55"/>
    <w:pPr>
      <w:keepNext/>
      <w:keepLines/>
      <w:spacing w:before="240" w:after="0" w:line="264" w:lineRule="auto"/>
      <w:outlineLvl w:val="1"/>
    </w:pPr>
    <w:rPr>
      <w:rFonts w:ascii="Calibri" w:eastAsiaTheme="majorEastAsia" w:hAnsi="Calibri" w:cstheme="majorBidi"/>
      <w:b/>
      <w:bCs/>
      <w:color w:val="4E1A74"/>
      <w:sz w:val="26"/>
      <w:szCs w:val="26"/>
      <w:lang w:eastAsia="en-US"/>
    </w:rPr>
  </w:style>
  <w:style w:type="paragraph" w:customStyle="1" w:styleId="B6B27AD8698C47AAA6A75A37BA7FD06A1">
    <w:name w:val="B6B27AD8698C47AAA6A75A37BA7FD06A1"/>
    <w:rsid w:val="00432A55"/>
    <w:pPr>
      <w:spacing w:before="240" w:after="0" w:line="264" w:lineRule="auto"/>
    </w:pPr>
    <w:rPr>
      <w:rFonts w:eastAsiaTheme="minorHAnsi"/>
      <w:color w:val="444444"/>
      <w:lang w:eastAsia="en-US"/>
    </w:rPr>
  </w:style>
  <w:style w:type="paragraph" w:customStyle="1" w:styleId="DB30F30D25704D5DB76BC5EC39A4FEE51">
    <w:name w:val="DB30F30D25704D5DB76BC5EC39A4FEE51"/>
    <w:rsid w:val="00432A55"/>
    <w:pPr>
      <w:tabs>
        <w:tab w:val="center" w:pos="4513"/>
        <w:tab w:val="right" w:pos="9026"/>
      </w:tabs>
      <w:spacing w:after="0" w:line="240" w:lineRule="auto"/>
    </w:pPr>
    <w:rPr>
      <w:rFonts w:eastAsiaTheme="minorHAnsi"/>
      <w:color w:val="444444"/>
      <w:lang w:eastAsia="en-US"/>
    </w:rPr>
  </w:style>
  <w:style w:type="paragraph" w:customStyle="1" w:styleId="F6632505B04F406EB7D4479C50D921821">
    <w:name w:val="F6632505B04F406EB7D4479C50D921821"/>
    <w:rsid w:val="00432A55"/>
    <w:pPr>
      <w:tabs>
        <w:tab w:val="center" w:pos="4513"/>
        <w:tab w:val="right" w:pos="9026"/>
      </w:tabs>
      <w:spacing w:after="0" w:line="240" w:lineRule="auto"/>
    </w:pPr>
    <w:rPr>
      <w:rFonts w:eastAsiaTheme="minorHAnsi"/>
      <w:color w:val="444444"/>
      <w:lang w:eastAsia="en-US"/>
    </w:rPr>
  </w:style>
  <w:style w:type="paragraph" w:customStyle="1" w:styleId="D44A41A7D0704D929A6A076E48AE9FC01">
    <w:name w:val="D44A41A7D0704D929A6A076E48AE9FC01"/>
    <w:rsid w:val="00432A55"/>
    <w:pPr>
      <w:tabs>
        <w:tab w:val="center" w:pos="4513"/>
        <w:tab w:val="right" w:pos="9026"/>
      </w:tabs>
      <w:spacing w:after="0" w:line="240" w:lineRule="auto"/>
    </w:pPr>
    <w:rPr>
      <w:rFonts w:eastAsiaTheme="minorHAnsi"/>
      <w:color w:val="444444"/>
      <w:lang w:eastAsia="en-US"/>
    </w:rPr>
  </w:style>
  <w:style w:type="paragraph" w:customStyle="1" w:styleId="1B9B7560E1D04F178669C937434D1982">
    <w:name w:val="1B9B7560E1D04F178669C937434D1982"/>
    <w:rsid w:val="0022183E"/>
  </w:style>
  <w:style w:type="paragraph" w:customStyle="1" w:styleId="CD100E8E23EB46E0955B5D0D73A3D8CF">
    <w:name w:val="CD100E8E23EB46E0955B5D0D73A3D8CF"/>
    <w:rsid w:val="0015447F"/>
  </w:style>
  <w:style w:type="paragraph" w:customStyle="1" w:styleId="9A38140ED5C24490A21493E96D8CA254">
    <w:name w:val="9A38140ED5C24490A21493E96D8CA254"/>
    <w:rsid w:val="009449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A3CDE361-80A9-4647-9336-18A95A6B8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1292</Words>
  <Characters>7368</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the Australian National University (ANU)</vt:lpstr>
    </vt:vector>
  </TitlesOfParts>
  <Company>ARPANSA</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Australian National University (ANU)</dc:title>
  <dc:creator>Narelle Archer</dc:creator>
  <cp:keywords>&lt;S/FXXXX&gt;</cp:keywords>
  <cp:lastModifiedBy>Kelsie Kruse</cp:lastModifiedBy>
  <cp:revision>2</cp:revision>
  <dcterms:created xsi:type="dcterms:W3CDTF">2019-12-19T02:58:00Z</dcterms:created>
  <dcterms:modified xsi:type="dcterms:W3CDTF">2019-12-19T02:58:00Z</dcterms:modified>
</cp:coreProperties>
</file>