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2632C" w14:textId="77777777" w:rsidR="00F404C1" w:rsidRDefault="00F404C1" w:rsidP="00F404C1">
      <w:pPr>
        <w:pStyle w:val="Title"/>
        <w:spacing w:before="240"/>
        <w:contextualSpacing w:val="0"/>
        <w:rPr>
          <w:sz w:val="36"/>
        </w:rPr>
      </w:pPr>
    </w:p>
    <w:p w14:paraId="37734E4D" w14:textId="77777777" w:rsidR="00F404C1" w:rsidRPr="005E6663" w:rsidRDefault="00F404C1" w:rsidP="00F404C1">
      <w:pPr>
        <w:pStyle w:val="Title"/>
        <w:spacing w:before="240"/>
        <w:contextualSpacing w:val="0"/>
        <w:rPr>
          <w:sz w:val="36"/>
        </w:rPr>
      </w:pPr>
      <w:r w:rsidRPr="005E6663">
        <w:rPr>
          <w:sz w:val="36"/>
        </w:rPr>
        <w:t>Resolution of comments from stakeholder submissions</w:t>
      </w:r>
      <w:r>
        <w:rPr>
          <w:sz w:val="36"/>
        </w:rPr>
        <w:t xml:space="preserve"> on</w:t>
      </w:r>
    </w:p>
    <w:p w14:paraId="5D8FA61B" w14:textId="77777777" w:rsidR="00F404C1" w:rsidRDefault="00F404C1" w:rsidP="00F404C1">
      <w:pPr>
        <w:pStyle w:val="Title"/>
        <w:spacing w:before="120"/>
        <w:contextualSpacing w:val="0"/>
        <w:rPr>
          <w:i/>
          <w:sz w:val="36"/>
        </w:rPr>
      </w:pPr>
      <w:r w:rsidRPr="00460079">
        <w:rPr>
          <w:sz w:val="36"/>
        </w:rPr>
        <w:t>Document Title:</w:t>
      </w:r>
      <w:r>
        <w:rPr>
          <w:i/>
          <w:sz w:val="36"/>
        </w:rPr>
        <w:t xml:space="preserve"> Guide for Radiation Protection in Emergency Exposure Situations (RPS G-3)</w:t>
      </w:r>
    </w:p>
    <w:p w14:paraId="6AE4343F" w14:textId="77777777" w:rsidR="00F404C1" w:rsidRDefault="00F404C1" w:rsidP="00F404C1">
      <w:pPr>
        <w:pStyle w:val="Title"/>
        <w:spacing w:before="120"/>
        <w:contextualSpacing w:val="0"/>
        <w:rPr>
          <w:sz w:val="24"/>
        </w:rPr>
      </w:pPr>
      <w:r>
        <w:rPr>
          <w:sz w:val="24"/>
        </w:rPr>
        <w:t>Consultation period: 20 April 2018</w:t>
      </w:r>
      <w:r w:rsidRPr="00460079">
        <w:rPr>
          <w:sz w:val="24"/>
        </w:rPr>
        <w:t xml:space="preserve"> – </w:t>
      </w:r>
      <w:r>
        <w:rPr>
          <w:sz w:val="24"/>
        </w:rPr>
        <w:t>16 July 2018</w:t>
      </w:r>
    </w:p>
    <w:p w14:paraId="4FB537F1" w14:textId="77777777" w:rsidR="00F404C1" w:rsidRDefault="00F404C1" w:rsidP="00F404C1"/>
    <w:p w14:paraId="762FF77B" w14:textId="77777777" w:rsidR="00F404C1" w:rsidRPr="00452766" w:rsidRDefault="00F404C1" w:rsidP="00F404C1">
      <w:r w:rsidRPr="00452766">
        <w:t>This Guide for Radiation Protection in Emergency Exposure Situations describes objectives for protection of human health and of the environment, drawing upon international best practice in relation to planning, preparedness, response and transition in nuclear or radiological emergencies. The Guide includes:</w:t>
      </w:r>
    </w:p>
    <w:p w14:paraId="29362F35" w14:textId="77777777" w:rsidR="00F404C1" w:rsidRPr="00452766" w:rsidRDefault="00F404C1" w:rsidP="00F404C1">
      <w:pPr>
        <w:pStyle w:val="ListParagraph"/>
        <w:numPr>
          <w:ilvl w:val="0"/>
          <w:numId w:val="9"/>
        </w:numPr>
        <w:spacing w:before="200" w:after="200" w:line="276" w:lineRule="auto"/>
        <w:contextualSpacing/>
      </w:pPr>
      <w:proofErr w:type="gramStart"/>
      <w:r w:rsidRPr="00452766">
        <w:t>relevant</w:t>
      </w:r>
      <w:proofErr w:type="gramEnd"/>
      <w:r w:rsidRPr="00452766">
        <w:t xml:space="preserve"> safety requirements from the IAEA </w:t>
      </w:r>
      <w:r w:rsidRPr="00452766">
        <w:rPr>
          <w:i/>
        </w:rPr>
        <w:t>Preparedness and Response for a Nuclear or Radiological Emergency. General Safety Requirements No. GSR Part 7, 2015</w:t>
      </w:r>
      <w:r w:rsidRPr="00452766">
        <w:t xml:space="preserve"> within Part 1 of the Guide known as The Framework</w:t>
      </w:r>
    </w:p>
    <w:p w14:paraId="1EBDD21B" w14:textId="77777777" w:rsidR="00F404C1" w:rsidRPr="00452766" w:rsidRDefault="00F404C1" w:rsidP="00F404C1">
      <w:pPr>
        <w:pStyle w:val="ListParagraph"/>
        <w:numPr>
          <w:ilvl w:val="0"/>
          <w:numId w:val="9"/>
        </w:numPr>
        <w:spacing w:before="200" w:after="200" w:line="276" w:lineRule="auto"/>
        <w:contextualSpacing/>
      </w:pPr>
      <w:proofErr w:type="gramStart"/>
      <w:r w:rsidRPr="00452766">
        <w:t>additional</w:t>
      </w:r>
      <w:proofErr w:type="gramEnd"/>
      <w:r w:rsidRPr="00452766">
        <w:t xml:space="preserve"> guidance within Part 2 – Planning, Preparedness, Response and Transition of the Guide in relation to the Australian context. </w:t>
      </w:r>
    </w:p>
    <w:p w14:paraId="73322514" w14:textId="77777777" w:rsidR="00F404C1" w:rsidRDefault="00F404C1" w:rsidP="00F404C1">
      <w:r w:rsidRPr="00452766">
        <w:t xml:space="preserve">When responding to comments on the draft </w:t>
      </w:r>
      <w:r w:rsidRPr="00452766">
        <w:rPr>
          <w:rFonts w:cs="Source Sans Pro"/>
        </w:rPr>
        <w:t>Guide for Radiation Protection in Emergency Exposure Situations</w:t>
      </w:r>
      <w:r w:rsidRPr="00452766">
        <w:t>, the following terms have been used:</w:t>
      </w:r>
      <w:r>
        <w:br/>
      </w:r>
    </w:p>
    <w:tbl>
      <w:tblPr>
        <w:tblStyle w:val="GenericARPANSA"/>
        <w:tblW w:w="9639" w:type="dxa"/>
        <w:tblInd w:w="0" w:type="dxa"/>
        <w:tblLook w:val="04A0" w:firstRow="1" w:lastRow="0" w:firstColumn="1" w:lastColumn="0" w:noHBand="0" w:noVBand="1"/>
      </w:tblPr>
      <w:tblGrid>
        <w:gridCol w:w="1432"/>
        <w:gridCol w:w="8207"/>
      </w:tblGrid>
      <w:tr w:rsidR="00F404C1" w14:paraId="082E8D20" w14:textId="77777777" w:rsidTr="00F404C1">
        <w:trPr>
          <w:cnfStyle w:val="100000000000" w:firstRow="1" w:lastRow="0" w:firstColumn="0" w:lastColumn="0" w:oddVBand="0" w:evenVBand="0" w:oddHBand="0" w:evenHBand="0" w:firstRowFirstColumn="0" w:firstRowLastColumn="0" w:lastRowFirstColumn="0" w:lastRowLastColumn="0"/>
        </w:trPr>
        <w:tc>
          <w:tcPr>
            <w:tcW w:w="1413" w:type="dxa"/>
          </w:tcPr>
          <w:p w14:paraId="65C57736" w14:textId="77777777" w:rsidR="00F404C1" w:rsidRDefault="00F404C1" w:rsidP="00342B93">
            <w:r>
              <w:t>Term</w:t>
            </w:r>
          </w:p>
        </w:tc>
        <w:tc>
          <w:tcPr>
            <w:tcW w:w="8215" w:type="dxa"/>
          </w:tcPr>
          <w:p w14:paraId="637B31B3" w14:textId="77777777" w:rsidR="00F404C1" w:rsidRDefault="00F404C1" w:rsidP="00342B93">
            <w:r>
              <w:t>Definition</w:t>
            </w:r>
          </w:p>
        </w:tc>
      </w:tr>
      <w:tr w:rsidR="00F404C1" w14:paraId="77E19132" w14:textId="77777777" w:rsidTr="00F404C1">
        <w:tc>
          <w:tcPr>
            <w:tcW w:w="1413" w:type="dxa"/>
            <w:vAlign w:val="top"/>
          </w:tcPr>
          <w:p w14:paraId="7CE8CA15" w14:textId="77777777" w:rsidR="00F404C1" w:rsidRPr="001901D4" w:rsidRDefault="00F404C1" w:rsidP="00342B93">
            <w:pPr>
              <w:pStyle w:val="Tabletext"/>
              <w:jc w:val="left"/>
            </w:pPr>
            <w:r w:rsidRPr="001901D4">
              <w:t>Accepted</w:t>
            </w:r>
          </w:p>
        </w:tc>
        <w:tc>
          <w:tcPr>
            <w:tcW w:w="8215" w:type="dxa"/>
            <w:vAlign w:val="top"/>
          </w:tcPr>
          <w:p w14:paraId="099D7015" w14:textId="77777777" w:rsidR="00F404C1" w:rsidRPr="001901D4" w:rsidRDefault="00F404C1" w:rsidP="00342B93">
            <w:pPr>
              <w:pStyle w:val="Tabletext"/>
              <w:jc w:val="left"/>
            </w:pPr>
            <w:r w:rsidRPr="001901D4">
              <w:t>The proposed change has been made to the text.</w:t>
            </w:r>
          </w:p>
        </w:tc>
      </w:tr>
      <w:tr w:rsidR="00F404C1" w14:paraId="59491B4D" w14:textId="77777777" w:rsidTr="00F404C1">
        <w:trPr>
          <w:cnfStyle w:val="000000010000" w:firstRow="0" w:lastRow="0" w:firstColumn="0" w:lastColumn="0" w:oddVBand="0" w:evenVBand="0" w:oddHBand="0" w:evenHBand="1" w:firstRowFirstColumn="0" w:firstRowLastColumn="0" w:lastRowFirstColumn="0" w:lastRowLastColumn="0"/>
        </w:trPr>
        <w:tc>
          <w:tcPr>
            <w:tcW w:w="1413" w:type="dxa"/>
            <w:vAlign w:val="top"/>
          </w:tcPr>
          <w:p w14:paraId="238C1484" w14:textId="7605D530" w:rsidR="00F404C1" w:rsidRPr="001901D4" w:rsidRDefault="00FF10B5" w:rsidP="00342B93">
            <w:pPr>
              <w:pStyle w:val="Tabletext"/>
              <w:jc w:val="left"/>
            </w:pPr>
            <w:r>
              <w:t>Accepted with modifications</w:t>
            </w:r>
          </w:p>
        </w:tc>
        <w:tc>
          <w:tcPr>
            <w:tcW w:w="8215" w:type="dxa"/>
            <w:vAlign w:val="top"/>
          </w:tcPr>
          <w:p w14:paraId="4FFBCE6A" w14:textId="77777777" w:rsidR="00F404C1" w:rsidRDefault="00F404C1" w:rsidP="00342B93">
            <w:pPr>
              <w:pStyle w:val="Tabletext"/>
              <w:jc w:val="left"/>
            </w:pPr>
            <w:r>
              <w:t xml:space="preserve">Either: </w:t>
            </w:r>
          </w:p>
          <w:p w14:paraId="0A2A96C5" w14:textId="77777777" w:rsidR="00F404C1" w:rsidRDefault="00F404C1" w:rsidP="00F404C1">
            <w:pPr>
              <w:pStyle w:val="Tabletext"/>
              <w:numPr>
                <w:ilvl w:val="0"/>
                <w:numId w:val="10"/>
              </w:numPr>
              <w:jc w:val="left"/>
            </w:pPr>
            <w:r>
              <w:t>the proposed change has been made, however the suggested text was modified</w:t>
            </w:r>
          </w:p>
          <w:p w14:paraId="1EE6CA60" w14:textId="77777777" w:rsidR="00F404C1" w:rsidRDefault="00F404C1" w:rsidP="00F404C1">
            <w:pPr>
              <w:pStyle w:val="Tabletext"/>
              <w:numPr>
                <w:ilvl w:val="0"/>
                <w:numId w:val="10"/>
              </w:numPr>
              <w:jc w:val="left"/>
            </w:pPr>
            <w:r>
              <w:t>the proposed change is accepted but the text has been modified in a different clause/section</w:t>
            </w:r>
            <w:r>
              <w:br/>
              <w:t>or</w:t>
            </w:r>
          </w:p>
          <w:p w14:paraId="16EE914E" w14:textId="524C09B5" w:rsidR="00F404C1" w:rsidRPr="001901D4" w:rsidRDefault="00F404C1" w:rsidP="00F404C1">
            <w:pPr>
              <w:pStyle w:val="Tabletext"/>
              <w:numPr>
                <w:ilvl w:val="0"/>
                <w:numId w:val="10"/>
              </w:numPr>
              <w:jc w:val="left"/>
            </w:pPr>
            <w:proofErr w:type="gramStart"/>
            <w:r>
              <w:t>part</w:t>
            </w:r>
            <w:proofErr w:type="gramEnd"/>
            <w:r>
              <w:t xml:space="preserve"> of the proposed change was accepted and/or </w:t>
            </w:r>
            <w:r w:rsidR="00FF10B5">
              <w:t>Accepted with modifications</w:t>
            </w:r>
            <w:r>
              <w:t xml:space="preserve"> and part was </w:t>
            </w:r>
            <w:r w:rsidR="00FF10B5">
              <w:t>Not accepted</w:t>
            </w:r>
            <w:r>
              <w:t>.</w:t>
            </w:r>
          </w:p>
        </w:tc>
      </w:tr>
      <w:tr w:rsidR="00F404C1" w14:paraId="12E8EC0E" w14:textId="77777777" w:rsidTr="00F404C1">
        <w:tc>
          <w:tcPr>
            <w:tcW w:w="1413" w:type="dxa"/>
            <w:vAlign w:val="top"/>
          </w:tcPr>
          <w:p w14:paraId="64A93B20" w14:textId="2D550153" w:rsidR="00F404C1" w:rsidRPr="00A7574F" w:rsidRDefault="00FF10B5" w:rsidP="00342B93">
            <w:pPr>
              <w:pStyle w:val="Tabletext"/>
              <w:jc w:val="left"/>
            </w:pPr>
            <w:r>
              <w:t>Not accepted</w:t>
            </w:r>
          </w:p>
        </w:tc>
        <w:tc>
          <w:tcPr>
            <w:tcW w:w="8215" w:type="dxa"/>
            <w:vAlign w:val="top"/>
          </w:tcPr>
          <w:p w14:paraId="4B4E38E1" w14:textId="77777777" w:rsidR="00F404C1" w:rsidRPr="001901D4" w:rsidRDefault="00F404C1" w:rsidP="00342B93">
            <w:pPr>
              <w:pStyle w:val="Tabletext"/>
              <w:jc w:val="left"/>
            </w:pPr>
            <w:r w:rsidRPr="00F9115B">
              <w:t>No changes were made to the text based on this comment.</w:t>
            </w:r>
          </w:p>
        </w:tc>
      </w:tr>
      <w:tr w:rsidR="00F404C1" w14:paraId="69EADCDE" w14:textId="77777777" w:rsidTr="00F404C1">
        <w:trPr>
          <w:cnfStyle w:val="000000010000" w:firstRow="0" w:lastRow="0" w:firstColumn="0" w:lastColumn="0" w:oddVBand="0" w:evenVBand="0" w:oddHBand="0" w:evenHBand="1" w:firstRowFirstColumn="0" w:firstRowLastColumn="0" w:lastRowFirstColumn="0" w:lastRowLastColumn="0"/>
        </w:trPr>
        <w:tc>
          <w:tcPr>
            <w:tcW w:w="1413" w:type="dxa"/>
            <w:vAlign w:val="top"/>
          </w:tcPr>
          <w:p w14:paraId="0CB4802C" w14:textId="77777777" w:rsidR="00F404C1" w:rsidRDefault="00F404C1" w:rsidP="00342B93">
            <w:pPr>
              <w:pStyle w:val="Tabletext"/>
              <w:jc w:val="left"/>
            </w:pPr>
            <w:r w:rsidRPr="00A7574F">
              <w:t>Noted</w:t>
            </w:r>
          </w:p>
        </w:tc>
        <w:tc>
          <w:tcPr>
            <w:tcW w:w="8215" w:type="dxa"/>
            <w:vAlign w:val="top"/>
          </w:tcPr>
          <w:p w14:paraId="03A5DC79" w14:textId="77777777" w:rsidR="00F404C1" w:rsidRDefault="00F404C1" w:rsidP="00342B93">
            <w:pPr>
              <w:pStyle w:val="Tabletext"/>
              <w:jc w:val="left"/>
            </w:pPr>
            <w:r>
              <w:t>Either:</w:t>
            </w:r>
          </w:p>
          <w:p w14:paraId="0D07C22F" w14:textId="77777777" w:rsidR="00F404C1" w:rsidRDefault="00F404C1" w:rsidP="00F404C1">
            <w:pPr>
              <w:pStyle w:val="Tabletext"/>
              <w:numPr>
                <w:ilvl w:val="0"/>
                <w:numId w:val="11"/>
              </w:numPr>
              <w:jc w:val="left"/>
            </w:pPr>
            <w:r>
              <w:t>no proposed change to the text was required to address the comment</w:t>
            </w:r>
          </w:p>
          <w:p w14:paraId="7DB14FB3" w14:textId="77777777" w:rsidR="00F404C1" w:rsidRDefault="00F404C1" w:rsidP="00F404C1">
            <w:pPr>
              <w:pStyle w:val="Tabletext"/>
              <w:numPr>
                <w:ilvl w:val="0"/>
                <w:numId w:val="11"/>
              </w:numPr>
              <w:jc w:val="left"/>
            </w:pPr>
            <w:r>
              <w:t>the comment was outside the scope of the document</w:t>
            </w:r>
            <w:r>
              <w:br/>
              <w:t>or</w:t>
            </w:r>
          </w:p>
          <w:p w14:paraId="164B82F0" w14:textId="77777777" w:rsidR="00F404C1" w:rsidRPr="001901D4" w:rsidRDefault="00F404C1" w:rsidP="00F404C1">
            <w:pPr>
              <w:pStyle w:val="Tabletext"/>
              <w:numPr>
                <w:ilvl w:val="0"/>
                <w:numId w:val="11"/>
              </w:numPr>
              <w:jc w:val="left"/>
            </w:pPr>
            <w:proofErr w:type="gramStart"/>
            <w:r>
              <w:t>noting</w:t>
            </w:r>
            <w:proofErr w:type="gramEnd"/>
            <w:r>
              <w:t xml:space="preserve"> a comment does not imply that ARPANSA endorses the comment.</w:t>
            </w:r>
          </w:p>
        </w:tc>
      </w:tr>
    </w:tbl>
    <w:p w14:paraId="38750B0D" w14:textId="77777777" w:rsidR="00452766" w:rsidRDefault="00452766" w:rsidP="00452766">
      <w:pPr>
        <w:sectPr w:rsidR="00452766" w:rsidSect="00DA3A53">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pPr>
    </w:p>
    <w:tbl>
      <w:tblPr>
        <w:tblStyle w:val="GenericARPANSA"/>
        <w:tblW w:w="14596" w:type="dxa"/>
        <w:tblInd w:w="0" w:type="dxa"/>
        <w:tblLayout w:type="fixed"/>
        <w:tblLook w:val="0600" w:firstRow="0" w:lastRow="0" w:firstColumn="0" w:lastColumn="0" w:noHBand="1" w:noVBand="1"/>
      </w:tblPr>
      <w:tblGrid>
        <w:gridCol w:w="561"/>
        <w:gridCol w:w="1417"/>
        <w:gridCol w:w="852"/>
        <w:gridCol w:w="1137"/>
        <w:gridCol w:w="2269"/>
        <w:gridCol w:w="2406"/>
        <w:gridCol w:w="1836"/>
        <w:gridCol w:w="4118"/>
      </w:tblGrid>
      <w:tr w:rsidR="003441FA" w:rsidRPr="00D27467" w14:paraId="0B939503" w14:textId="77777777" w:rsidTr="002C6E3A">
        <w:trPr>
          <w:trHeight w:val="454"/>
          <w:tblHeader/>
        </w:trPr>
        <w:tc>
          <w:tcPr>
            <w:tcW w:w="8642" w:type="dxa"/>
            <w:gridSpan w:val="6"/>
            <w:tcBorders>
              <w:bottom w:val="single" w:sz="4" w:space="0" w:color="FFFFFF" w:themeColor="background1"/>
              <w:right w:val="single" w:sz="4" w:space="0" w:color="FFFFFF" w:themeColor="background1"/>
            </w:tcBorders>
            <w:shd w:val="clear" w:color="auto" w:fill="4E1A74"/>
            <w:tcMar>
              <w:left w:w="0" w:type="dxa"/>
              <w:right w:w="0" w:type="dxa"/>
            </w:tcMar>
          </w:tcPr>
          <w:p w14:paraId="32BDE4CB" w14:textId="03A886AD" w:rsidR="003441FA" w:rsidRPr="00771EA0" w:rsidRDefault="00771EA0" w:rsidP="002C6E3A">
            <w:pPr>
              <w:spacing w:beforeLines="60" w:before="144" w:afterLines="60" w:after="144"/>
              <w:rPr>
                <w:rFonts w:eastAsia="Calibri"/>
                <w:b/>
                <w:color w:val="FFFFFF" w:themeColor="background1"/>
              </w:rPr>
            </w:pPr>
            <w:r w:rsidRPr="00771EA0">
              <w:rPr>
                <w:rFonts w:eastAsia="Calibri"/>
                <w:b/>
                <w:color w:val="FFFFFF" w:themeColor="background1"/>
              </w:rPr>
              <w:lastRenderedPageBreak/>
              <w:t>Comments by r</w:t>
            </w:r>
            <w:r w:rsidR="003441FA" w:rsidRPr="00771EA0">
              <w:rPr>
                <w:rFonts w:eastAsia="Calibri"/>
                <w:b/>
                <w:color w:val="FFFFFF" w:themeColor="background1"/>
              </w:rPr>
              <w:t>eviewers</w:t>
            </w:r>
            <w:bookmarkStart w:id="0" w:name="OLE_LINK2"/>
            <w:bookmarkStart w:id="1" w:name="_Hlk101598741"/>
            <w:bookmarkStart w:id="2" w:name="OLE_LINK1"/>
          </w:p>
        </w:tc>
        <w:tc>
          <w:tcPr>
            <w:tcW w:w="5954" w:type="dxa"/>
            <w:gridSpan w:val="2"/>
            <w:tcBorders>
              <w:left w:val="single" w:sz="4" w:space="0" w:color="FFFFFF" w:themeColor="background1"/>
              <w:bottom w:val="single" w:sz="4" w:space="0" w:color="FFFFFF" w:themeColor="background1"/>
            </w:tcBorders>
            <w:shd w:val="clear" w:color="auto" w:fill="4E1A74"/>
          </w:tcPr>
          <w:p w14:paraId="39FF20A1" w14:textId="77777777" w:rsidR="003441FA" w:rsidRPr="00771EA0" w:rsidRDefault="003441FA" w:rsidP="002C6E3A">
            <w:pPr>
              <w:spacing w:beforeLines="60" w:before="144" w:afterLines="60" w:after="144"/>
              <w:rPr>
                <w:rFonts w:eastAsia="Calibri"/>
                <w:b/>
                <w:color w:val="FFFFFF" w:themeColor="background1"/>
              </w:rPr>
            </w:pPr>
            <w:r w:rsidRPr="00771EA0">
              <w:rPr>
                <w:rFonts w:eastAsia="Calibri"/>
                <w:b/>
                <w:color w:val="FFFFFF" w:themeColor="background1"/>
              </w:rPr>
              <w:t>Resolution</w:t>
            </w:r>
          </w:p>
        </w:tc>
      </w:tr>
      <w:bookmarkEnd w:id="0"/>
      <w:bookmarkEnd w:id="1"/>
      <w:bookmarkEnd w:id="2"/>
      <w:tr w:rsidR="003441FA" w:rsidRPr="00D27467" w14:paraId="1EC52A24" w14:textId="77777777" w:rsidTr="002C6E3A">
        <w:trPr>
          <w:trHeight w:val="340"/>
          <w:tblHeader/>
        </w:trPr>
        <w:tc>
          <w:tcPr>
            <w:tcW w:w="561" w:type="dxa"/>
            <w:tcBorders>
              <w:top w:val="single" w:sz="4" w:space="0" w:color="FFFFFF" w:themeColor="background1"/>
              <w:right w:val="single" w:sz="4" w:space="0" w:color="FFFFFF" w:themeColor="background1"/>
            </w:tcBorders>
            <w:shd w:val="clear" w:color="auto" w:fill="6B24A0"/>
            <w:tcMar>
              <w:left w:w="0" w:type="dxa"/>
              <w:right w:w="0" w:type="dxa"/>
            </w:tcMar>
          </w:tcPr>
          <w:p w14:paraId="37C8435F" w14:textId="77777777" w:rsidR="003441FA" w:rsidRPr="00771EA0" w:rsidRDefault="003441FA" w:rsidP="002C6E3A">
            <w:pPr>
              <w:spacing w:beforeLines="60" w:before="144" w:afterLines="60" w:after="144"/>
              <w:rPr>
                <w:rFonts w:eastAsia="Calibri"/>
                <w:b/>
                <w:color w:val="FFFFFF" w:themeColor="background1"/>
                <w:sz w:val="18"/>
                <w:szCs w:val="18"/>
              </w:rPr>
            </w:pPr>
            <w:r w:rsidRPr="00771EA0">
              <w:rPr>
                <w:rFonts w:eastAsia="Calibri"/>
                <w:b/>
                <w:color w:val="FFFFFF" w:themeColor="background1"/>
                <w:sz w:val="18"/>
                <w:szCs w:val="18"/>
              </w:rPr>
              <w:t>#</w:t>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6B24A0"/>
          </w:tcPr>
          <w:p w14:paraId="18CD5E98" w14:textId="77777777" w:rsidR="003441FA" w:rsidRPr="00771EA0" w:rsidRDefault="003441FA" w:rsidP="002C6E3A">
            <w:pPr>
              <w:spacing w:beforeLines="60" w:before="144" w:afterLines="60" w:after="144"/>
              <w:rPr>
                <w:rFonts w:eastAsia="Calibri"/>
                <w:b/>
                <w:color w:val="FFFFFF" w:themeColor="background1"/>
                <w:sz w:val="18"/>
                <w:szCs w:val="18"/>
              </w:rPr>
            </w:pPr>
            <w:r w:rsidRPr="00771EA0">
              <w:rPr>
                <w:rFonts w:eastAsia="Calibri"/>
                <w:b/>
                <w:color w:val="FFFFFF" w:themeColor="background1"/>
                <w:sz w:val="18"/>
                <w:szCs w:val="18"/>
              </w:rPr>
              <w:t>Submitter</w:t>
            </w:r>
          </w:p>
        </w:tc>
        <w:tc>
          <w:tcPr>
            <w:tcW w:w="852" w:type="dxa"/>
            <w:tcBorders>
              <w:top w:val="single" w:sz="4" w:space="0" w:color="FFFFFF" w:themeColor="background1"/>
              <w:left w:val="single" w:sz="4" w:space="0" w:color="FFFFFF" w:themeColor="background1"/>
              <w:right w:val="single" w:sz="4" w:space="0" w:color="FFFFFF" w:themeColor="background1"/>
            </w:tcBorders>
            <w:shd w:val="clear" w:color="auto" w:fill="6B24A0"/>
          </w:tcPr>
          <w:p w14:paraId="19B2A0D9" w14:textId="77777777" w:rsidR="003441FA" w:rsidRPr="00771EA0" w:rsidRDefault="003441FA" w:rsidP="002C6E3A">
            <w:pPr>
              <w:spacing w:beforeLines="60" w:before="144" w:afterLines="60" w:after="144"/>
              <w:rPr>
                <w:rFonts w:eastAsia="Calibri"/>
                <w:b/>
                <w:color w:val="FFFFFF" w:themeColor="background1"/>
                <w:sz w:val="18"/>
                <w:szCs w:val="18"/>
              </w:rPr>
            </w:pPr>
            <w:r w:rsidRPr="00771EA0">
              <w:rPr>
                <w:rFonts w:eastAsia="Calibri"/>
                <w:b/>
                <w:color w:val="FFFFFF" w:themeColor="background1"/>
                <w:sz w:val="18"/>
                <w:szCs w:val="18"/>
              </w:rPr>
              <w:t>Guide #</w:t>
            </w:r>
          </w:p>
        </w:tc>
        <w:tc>
          <w:tcPr>
            <w:tcW w:w="1137" w:type="dxa"/>
            <w:tcBorders>
              <w:top w:val="single" w:sz="4" w:space="0" w:color="FFFFFF" w:themeColor="background1"/>
              <w:left w:val="single" w:sz="4" w:space="0" w:color="FFFFFF" w:themeColor="background1"/>
              <w:right w:val="single" w:sz="4" w:space="0" w:color="FFFFFF" w:themeColor="background1"/>
            </w:tcBorders>
            <w:shd w:val="clear" w:color="auto" w:fill="6B24A0"/>
          </w:tcPr>
          <w:p w14:paraId="74D15E13" w14:textId="68113444" w:rsidR="003441FA" w:rsidRPr="00771EA0" w:rsidRDefault="00771EA0" w:rsidP="002C6E3A">
            <w:pPr>
              <w:spacing w:beforeLines="60" w:before="144" w:afterLines="60" w:after="144"/>
              <w:rPr>
                <w:rFonts w:eastAsia="Calibri"/>
                <w:b/>
                <w:color w:val="FFFFFF" w:themeColor="background1"/>
                <w:sz w:val="18"/>
                <w:szCs w:val="18"/>
              </w:rPr>
            </w:pPr>
            <w:r>
              <w:rPr>
                <w:rFonts w:eastAsia="Calibri"/>
                <w:b/>
                <w:color w:val="FFFFFF" w:themeColor="background1"/>
                <w:sz w:val="18"/>
                <w:szCs w:val="18"/>
              </w:rPr>
              <w:t>Para/l</w:t>
            </w:r>
            <w:r w:rsidR="003441FA" w:rsidRPr="00771EA0">
              <w:rPr>
                <w:rFonts w:eastAsia="Calibri"/>
                <w:b/>
                <w:color w:val="FFFFFF" w:themeColor="background1"/>
                <w:sz w:val="18"/>
                <w:szCs w:val="18"/>
              </w:rPr>
              <w:t>ine #</w:t>
            </w:r>
          </w:p>
        </w:tc>
        <w:tc>
          <w:tcPr>
            <w:tcW w:w="2269" w:type="dxa"/>
            <w:tcBorders>
              <w:top w:val="single" w:sz="4" w:space="0" w:color="FFFFFF" w:themeColor="background1"/>
              <w:left w:val="single" w:sz="4" w:space="0" w:color="FFFFFF" w:themeColor="background1"/>
              <w:right w:val="single" w:sz="4" w:space="0" w:color="FFFFFF" w:themeColor="background1"/>
            </w:tcBorders>
            <w:shd w:val="clear" w:color="auto" w:fill="6B24A0"/>
          </w:tcPr>
          <w:p w14:paraId="1F12F66A" w14:textId="77777777" w:rsidR="003441FA" w:rsidRPr="00771EA0" w:rsidRDefault="003441FA" w:rsidP="002C6E3A">
            <w:pPr>
              <w:spacing w:beforeLines="60" w:before="144" w:afterLines="60" w:after="144"/>
              <w:rPr>
                <w:rFonts w:eastAsia="Calibri"/>
                <w:b/>
                <w:color w:val="FFFFFF" w:themeColor="background1"/>
                <w:sz w:val="18"/>
                <w:szCs w:val="18"/>
              </w:rPr>
            </w:pPr>
            <w:r w:rsidRPr="00771EA0">
              <w:rPr>
                <w:rFonts w:eastAsia="Calibri"/>
                <w:b/>
                <w:color w:val="FFFFFF" w:themeColor="background1"/>
                <w:sz w:val="18"/>
                <w:szCs w:val="18"/>
              </w:rPr>
              <w:t>Comment</w:t>
            </w:r>
          </w:p>
        </w:tc>
        <w:tc>
          <w:tcPr>
            <w:tcW w:w="2406" w:type="dxa"/>
            <w:tcBorders>
              <w:top w:val="single" w:sz="4" w:space="0" w:color="FFFFFF" w:themeColor="background1"/>
              <w:left w:val="single" w:sz="4" w:space="0" w:color="FFFFFF" w:themeColor="background1"/>
              <w:right w:val="single" w:sz="4" w:space="0" w:color="FFFFFF" w:themeColor="background1"/>
            </w:tcBorders>
            <w:shd w:val="clear" w:color="auto" w:fill="6B24A0"/>
          </w:tcPr>
          <w:p w14:paraId="35840F8F" w14:textId="77777777" w:rsidR="003441FA" w:rsidRPr="00771EA0" w:rsidRDefault="003441FA" w:rsidP="002C6E3A">
            <w:pPr>
              <w:spacing w:beforeLines="60" w:before="144" w:afterLines="60" w:after="144"/>
              <w:rPr>
                <w:rFonts w:eastAsia="Calibri"/>
                <w:b/>
                <w:color w:val="FFFFFF" w:themeColor="background1"/>
                <w:sz w:val="18"/>
                <w:szCs w:val="18"/>
              </w:rPr>
            </w:pPr>
            <w:r w:rsidRPr="00771EA0">
              <w:rPr>
                <w:rFonts w:eastAsia="Calibri"/>
                <w:b/>
                <w:color w:val="FFFFFF" w:themeColor="background1"/>
                <w:sz w:val="18"/>
                <w:szCs w:val="18"/>
              </w:rPr>
              <w:t>Reason</w:t>
            </w: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6B24A0"/>
          </w:tcPr>
          <w:p w14:paraId="2655ACA1" w14:textId="77777777" w:rsidR="003441FA" w:rsidRPr="00771EA0" w:rsidRDefault="003441FA" w:rsidP="002C6E3A">
            <w:pPr>
              <w:spacing w:beforeLines="60" w:before="144" w:afterLines="60" w:after="144"/>
              <w:rPr>
                <w:rFonts w:eastAsia="Calibri"/>
                <w:b/>
                <w:color w:val="FFFFFF" w:themeColor="background1"/>
                <w:sz w:val="18"/>
                <w:szCs w:val="18"/>
              </w:rPr>
            </w:pPr>
            <w:r w:rsidRPr="00771EA0">
              <w:rPr>
                <w:rFonts w:eastAsia="Calibri"/>
                <w:b/>
                <w:color w:val="FFFFFF" w:themeColor="background1"/>
                <w:sz w:val="18"/>
                <w:szCs w:val="18"/>
              </w:rPr>
              <w:t>Outcome</w:t>
            </w:r>
          </w:p>
        </w:tc>
        <w:tc>
          <w:tcPr>
            <w:tcW w:w="4118" w:type="dxa"/>
            <w:tcBorders>
              <w:top w:val="single" w:sz="4" w:space="0" w:color="FFFFFF" w:themeColor="background1"/>
              <w:left w:val="single" w:sz="4" w:space="0" w:color="FFFFFF" w:themeColor="background1"/>
            </w:tcBorders>
            <w:shd w:val="clear" w:color="auto" w:fill="6B24A0"/>
          </w:tcPr>
          <w:p w14:paraId="3FCC617F" w14:textId="49045A5D" w:rsidR="003441FA" w:rsidRPr="00771EA0" w:rsidRDefault="003441FA" w:rsidP="002C6E3A">
            <w:pPr>
              <w:spacing w:beforeLines="60" w:before="144" w:afterLines="60" w:after="144"/>
              <w:rPr>
                <w:rFonts w:eastAsia="Calibri"/>
                <w:b/>
                <w:color w:val="FFFFFF" w:themeColor="background1"/>
                <w:sz w:val="18"/>
                <w:szCs w:val="18"/>
              </w:rPr>
            </w:pPr>
            <w:r w:rsidRPr="00771EA0">
              <w:rPr>
                <w:rFonts w:eastAsia="Calibri"/>
                <w:b/>
                <w:color w:val="FFFFFF" w:themeColor="background1"/>
                <w:sz w:val="18"/>
                <w:szCs w:val="18"/>
              </w:rPr>
              <w:t>Reason for modification/</w:t>
            </w:r>
            <w:r w:rsidR="00FF10B5">
              <w:rPr>
                <w:rFonts w:eastAsia="Calibri"/>
                <w:b/>
                <w:color w:val="FFFFFF" w:themeColor="background1"/>
                <w:sz w:val="18"/>
                <w:szCs w:val="18"/>
              </w:rPr>
              <w:t>Not accepted</w:t>
            </w:r>
          </w:p>
        </w:tc>
      </w:tr>
      <w:tr w:rsidR="000369FE" w:rsidRPr="00E64147" w14:paraId="57EEE795" w14:textId="77777777" w:rsidTr="002C6E3A">
        <w:tblPrEx>
          <w:tblLook w:val="04A0" w:firstRow="1" w:lastRow="0" w:firstColumn="1" w:lastColumn="0" w:noHBand="0" w:noVBand="1"/>
        </w:tblPrEx>
        <w:trPr>
          <w:trHeight w:val="615"/>
        </w:trPr>
        <w:tc>
          <w:tcPr>
            <w:tcW w:w="561" w:type="dxa"/>
            <w:hideMark/>
          </w:tcPr>
          <w:p w14:paraId="0CEE7B3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417" w:type="dxa"/>
            <w:hideMark/>
          </w:tcPr>
          <w:p w14:paraId="33FA12D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1BB2D4B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69688C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9</w:t>
            </w:r>
          </w:p>
        </w:tc>
        <w:tc>
          <w:tcPr>
            <w:tcW w:w="2269" w:type="dxa"/>
            <w:hideMark/>
          </w:tcPr>
          <w:p w14:paraId="480A2B82"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Management &amp; avoidance of radiation risks</w:t>
            </w:r>
          </w:p>
        </w:tc>
        <w:tc>
          <w:tcPr>
            <w:tcW w:w="2406" w:type="dxa"/>
          </w:tcPr>
          <w:p w14:paraId="493405A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 added avoidance – also referred further in the doc</w:t>
            </w:r>
          </w:p>
        </w:tc>
        <w:tc>
          <w:tcPr>
            <w:tcW w:w="1836" w:type="dxa"/>
          </w:tcPr>
          <w:p w14:paraId="6BCA8374" w14:textId="1FDA2C0E"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5321EF87" w14:textId="6C74FA24" w:rsidR="000369FE" w:rsidRPr="00687FBF" w:rsidRDefault="0031002C" w:rsidP="002C6E3A">
            <w:pPr>
              <w:spacing w:beforeLines="60" w:before="144" w:afterLines="60" w:after="144"/>
              <w:rPr>
                <w:rFonts w:ascii="Calibri" w:hAnsi="Calibri" w:cs="Calibri"/>
                <w:sz w:val="18"/>
              </w:rPr>
            </w:pPr>
            <w:r w:rsidRPr="00687FBF">
              <w:rPr>
                <w:rFonts w:ascii="Calibri" w:hAnsi="Calibri" w:cs="Calibri"/>
                <w:sz w:val="18"/>
              </w:rPr>
              <w:t>Management is a broad term</w:t>
            </w:r>
            <w:r w:rsidR="000369FE" w:rsidRPr="00687FBF">
              <w:rPr>
                <w:rFonts w:ascii="Calibri" w:hAnsi="Calibri" w:cs="Calibri"/>
                <w:sz w:val="18"/>
              </w:rPr>
              <w:t>.</w:t>
            </w:r>
            <w:r w:rsidRPr="00687FBF">
              <w:rPr>
                <w:rFonts w:ascii="Calibri" w:hAnsi="Calibri" w:cs="Calibri"/>
                <w:sz w:val="18"/>
              </w:rPr>
              <w:t xml:space="preserve"> The term reduce or avoid undesirable consequences is used in the Forward.</w:t>
            </w:r>
          </w:p>
        </w:tc>
      </w:tr>
      <w:tr w:rsidR="000369FE" w:rsidRPr="00E64147" w14:paraId="35430B4F"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00"/>
        </w:trPr>
        <w:tc>
          <w:tcPr>
            <w:tcW w:w="561" w:type="dxa"/>
            <w:hideMark/>
          </w:tcPr>
          <w:p w14:paraId="03371B4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417" w:type="dxa"/>
            <w:hideMark/>
          </w:tcPr>
          <w:p w14:paraId="741ECFC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5D15123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0C6845D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100</w:t>
            </w:r>
          </w:p>
        </w:tc>
        <w:tc>
          <w:tcPr>
            <w:tcW w:w="2269" w:type="dxa"/>
            <w:hideMark/>
          </w:tcPr>
          <w:p w14:paraId="174AE5C7" w14:textId="77777777" w:rsidR="000369FE" w:rsidRPr="00687FBF" w:rsidRDefault="000369FE" w:rsidP="002C6E3A">
            <w:pPr>
              <w:spacing w:beforeLines="60" w:before="144" w:afterLines="60" w:after="144"/>
              <w:rPr>
                <w:rFonts w:ascii="Calibri" w:eastAsia="Times New Roman" w:hAnsi="Calibri" w:cs="Calibri"/>
                <w:sz w:val="18"/>
                <w:lang w:eastAsia="en-AU"/>
              </w:rPr>
            </w:pPr>
            <w:proofErr w:type="spellStart"/>
            <w:r w:rsidRPr="00687FBF">
              <w:rPr>
                <w:rFonts w:ascii="Calibri" w:eastAsia="Times New Roman" w:hAnsi="Calibri" w:cs="Calibri"/>
                <w:sz w:val="18"/>
                <w:lang w:eastAsia="en-AU"/>
              </w:rPr>
              <w:t>Pls</w:t>
            </w:r>
            <w:proofErr w:type="spellEnd"/>
            <w:r w:rsidRPr="00687FBF">
              <w:rPr>
                <w:rFonts w:ascii="Calibri" w:eastAsia="Times New Roman" w:hAnsi="Calibri" w:cs="Calibri"/>
                <w:sz w:val="18"/>
                <w:lang w:eastAsia="en-AU"/>
              </w:rPr>
              <w:t xml:space="preserve"> define off-site jurisdictions</w:t>
            </w:r>
          </w:p>
        </w:tc>
        <w:tc>
          <w:tcPr>
            <w:tcW w:w="2406" w:type="dxa"/>
          </w:tcPr>
          <w:p w14:paraId="2F5DB306"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38A9BBB5"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6292D004" w14:textId="106B653B"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This term has been added to the glossary</w:t>
            </w:r>
            <w:r w:rsidR="00AC2FEC" w:rsidRPr="00687FBF">
              <w:rPr>
                <w:rFonts w:ascii="Calibri" w:hAnsi="Calibri" w:cs="Calibri"/>
                <w:sz w:val="18"/>
              </w:rPr>
              <w:t xml:space="preserve"> under the term ‘site area’.</w:t>
            </w:r>
          </w:p>
        </w:tc>
      </w:tr>
      <w:tr w:rsidR="000369FE" w:rsidRPr="00E64147" w14:paraId="37B5A943" w14:textId="77777777" w:rsidTr="002C6E3A">
        <w:tblPrEx>
          <w:tblLook w:val="04A0" w:firstRow="1" w:lastRow="0" w:firstColumn="1" w:lastColumn="0" w:noHBand="0" w:noVBand="1"/>
        </w:tblPrEx>
        <w:trPr>
          <w:trHeight w:val="600"/>
        </w:trPr>
        <w:tc>
          <w:tcPr>
            <w:tcW w:w="561" w:type="dxa"/>
            <w:hideMark/>
          </w:tcPr>
          <w:p w14:paraId="6815B81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417" w:type="dxa"/>
            <w:hideMark/>
          </w:tcPr>
          <w:p w14:paraId="2443C41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56C569C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E773069" w14:textId="47960E1B"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103</w:t>
            </w:r>
          </w:p>
        </w:tc>
        <w:tc>
          <w:tcPr>
            <w:tcW w:w="2269" w:type="dxa"/>
            <w:hideMark/>
          </w:tcPr>
          <w:p w14:paraId="6D890C6D"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Such security events include, but are not limited to</w:t>
            </w:r>
          </w:p>
        </w:tc>
        <w:tc>
          <w:tcPr>
            <w:tcW w:w="2406" w:type="dxa"/>
          </w:tcPr>
          <w:p w14:paraId="3DAE9B2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Add are</w:t>
            </w:r>
          </w:p>
        </w:tc>
        <w:tc>
          <w:tcPr>
            <w:tcW w:w="1836" w:type="dxa"/>
          </w:tcPr>
          <w:p w14:paraId="6E83BE46"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4F2774B8"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5D03C572"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4F2B30D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w:t>
            </w:r>
          </w:p>
        </w:tc>
        <w:tc>
          <w:tcPr>
            <w:tcW w:w="1417" w:type="dxa"/>
            <w:hideMark/>
          </w:tcPr>
          <w:p w14:paraId="46FD056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73C5898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7C39C79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126</w:t>
            </w:r>
          </w:p>
        </w:tc>
        <w:tc>
          <w:tcPr>
            <w:tcW w:w="2269" w:type="dxa"/>
            <w:hideMark/>
          </w:tcPr>
          <w:p w14:paraId="4FAB2467"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Add “and other members of the public”</w:t>
            </w:r>
          </w:p>
        </w:tc>
        <w:tc>
          <w:tcPr>
            <w:tcW w:w="2406" w:type="dxa"/>
          </w:tcPr>
          <w:p w14:paraId="73A06BF1"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6C59E54C" w14:textId="0ED75CD8"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4FBE926A"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Annex A provides guidance values for restricting exposure of emergency workers only</w:t>
            </w:r>
          </w:p>
        </w:tc>
      </w:tr>
      <w:tr w:rsidR="000369FE" w:rsidRPr="00E64147" w14:paraId="3D153095" w14:textId="77777777" w:rsidTr="002C6E3A">
        <w:tblPrEx>
          <w:tblLook w:val="04A0" w:firstRow="1" w:lastRow="0" w:firstColumn="1" w:lastColumn="0" w:noHBand="0" w:noVBand="1"/>
        </w:tblPrEx>
        <w:trPr>
          <w:trHeight w:val="1200"/>
        </w:trPr>
        <w:tc>
          <w:tcPr>
            <w:tcW w:w="561" w:type="dxa"/>
            <w:hideMark/>
          </w:tcPr>
          <w:p w14:paraId="74BA978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w:t>
            </w:r>
          </w:p>
        </w:tc>
        <w:tc>
          <w:tcPr>
            <w:tcW w:w="1417" w:type="dxa"/>
            <w:hideMark/>
          </w:tcPr>
          <w:p w14:paraId="3555071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19FCE0F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154FD3C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204</w:t>
            </w:r>
          </w:p>
        </w:tc>
        <w:tc>
          <w:tcPr>
            <w:tcW w:w="2269" w:type="dxa"/>
            <w:hideMark/>
          </w:tcPr>
          <w:p w14:paraId="327D386A" w14:textId="4957B0DD" w:rsidR="000369FE" w:rsidRPr="00687FBF" w:rsidRDefault="008455C6"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Add: </w:t>
            </w:r>
            <w:r w:rsidRPr="00687FBF">
              <w:rPr>
                <w:rFonts w:ascii="Calibri" w:eastAsia="Times New Roman" w:hAnsi="Calibri" w:cs="Calibri"/>
                <w:sz w:val="18"/>
                <w:lang w:eastAsia="en-AU"/>
              </w:rPr>
              <w:br/>
            </w:r>
            <w:r w:rsidR="000369FE" w:rsidRPr="00687FBF">
              <w:rPr>
                <w:rFonts w:ascii="Calibri" w:eastAsia="Times New Roman" w:hAnsi="Calibri" w:cs="Calibri"/>
                <w:sz w:val="18"/>
                <w:lang w:eastAsia="en-AU"/>
              </w:rPr>
              <w:t>Evaluate/undertake an investigation to evaluate the damage &amp; causes</w:t>
            </w:r>
          </w:p>
        </w:tc>
        <w:tc>
          <w:tcPr>
            <w:tcW w:w="2406" w:type="dxa"/>
          </w:tcPr>
          <w:p w14:paraId="08EA054A"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 assessment is mentioned on the next page line 215, but it’s not enough; you need to add another dot point</w:t>
            </w:r>
          </w:p>
        </w:tc>
        <w:tc>
          <w:tcPr>
            <w:tcW w:w="1836" w:type="dxa"/>
          </w:tcPr>
          <w:p w14:paraId="14D9A600" w14:textId="278DB313"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7CC217BA" w14:textId="6A18C3BF"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This text has been adapted </w:t>
            </w:r>
            <w:r w:rsidR="00AC2FEC" w:rsidRPr="00687FBF">
              <w:rPr>
                <w:rFonts w:ascii="Calibri" w:hAnsi="Calibri" w:cs="Calibri"/>
                <w:sz w:val="18"/>
              </w:rPr>
              <w:t>from GSR Part 7 and was approved</w:t>
            </w:r>
            <w:r w:rsidRPr="00687FBF">
              <w:rPr>
                <w:rFonts w:ascii="Calibri" w:hAnsi="Calibri" w:cs="Calibri"/>
                <w:sz w:val="18"/>
              </w:rPr>
              <w:t xml:space="preserve"> by </w:t>
            </w:r>
            <w:r w:rsidR="00AC2FEC" w:rsidRPr="00687FBF">
              <w:rPr>
                <w:rFonts w:ascii="Calibri" w:hAnsi="Calibri" w:cs="Calibri"/>
                <w:sz w:val="18"/>
              </w:rPr>
              <w:t>the Radiation Health Committee</w:t>
            </w:r>
            <w:r w:rsidRPr="00687FBF">
              <w:rPr>
                <w:rFonts w:ascii="Calibri" w:hAnsi="Calibri" w:cs="Calibri"/>
                <w:sz w:val="18"/>
              </w:rPr>
              <w:t>.</w:t>
            </w:r>
            <w:r w:rsidRPr="00687FBF">
              <w:rPr>
                <w:rFonts w:ascii="Calibri" w:hAnsi="Calibri" w:cs="Calibri"/>
                <w:sz w:val="18"/>
              </w:rPr>
              <w:br/>
              <w:t xml:space="preserve">3.2.102-105 </w:t>
            </w:r>
            <w:r w:rsidR="00AC2FEC" w:rsidRPr="00687FBF">
              <w:rPr>
                <w:rFonts w:ascii="Calibri" w:hAnsi="Calibri" w:cs="Calibri"/>
                <w:sz w:val="18"/>
              </w:rPr>
              <w:t>of Part 1 a</w:t>
            </w:r>
            <w:r w:rsidRPr="00687FBF">
              <w:rPr>
                <w:rFonts w:ascii="Calibri" w:hAnsi="Calibri" w:cs="Calibri"/>
                <w:sz w:val="18"/>
              </w:rPr>
              <w:t>ddress this comment</w:t>
            </w:r>
            <w:r w:rsidR="00AC2FEC" w:rsidRPr="00687FBF">
              <w:rPr>
                <w:rFonts w:ascii="Calibri" w:hAnsi="Calibri" w:cs="Calibri"/>
                <w:sz w:val="18"/>
              </w:rPr>
              <w:t>.</w:t>
            </w:r>
          </w:p>
        </w:tc>
      </w:tr>
      <w:tr w:rsidR="000369FE" w:rsidRPr="00E64147" w14:paraId="4F255CCE"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100"/>
        </w:trPr>
        <w:tc>
          <w:tcPr>
            <w:tcW w:w="561" w:type="dxa"/>
            <w:hideMark/>
          </w:tcPr>
          <w:p w14:paraId="70F5A14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w:t>
            </w:r>
          </w:p>
        </w:tc>
        <w:tc>
          <w:tcPr>
            <w:tcW w:w="1417" w:type="dxa"/>
            <w:hideMark/>
          </w:tcPr>
          <w:p w14:paraId="1A387F1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046FDFF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52EE9A1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237</w:t>
            </w:r>
          </w:p>
        </w:tc>
        <w:tc>
          <w:tcPr>
            <w:tcW w:w="2269" w:type="dxa"/>
            <w:hideMark/>
          </w:tcPr>
          <w:p w14:paraId="269AE630"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“regulatory control”</w:t>
            </w:r>
            <w:r w:rsidRPr="00687FBF">
              <w:rPr>
                <w:rFonts w:ascii="Calibri" w:eastAsia="Times New Roman" w:hAnsi="Calibri" w:cs="Calibri"/>
                <w:sz w:val="18"/>
                <w:lang w:eastAsia="en-AU"/>
              </w:rPr>
              <w:br/>
              <w:t xml:space="preserve">You need to add the </w:t>
            </w:r>
            <w:proofErr w:type="spellStart"/>
            <w:r w:rsidRPr="00687FBF">
              <w:rPr>
                <w:rFonts w:ascii="Calibri" w:eastAsia="Times New Roman" w:hAnsi="Calibri" w:cs="Calibri"/>
                <w:sz w:val="18"/>
                <w:lang w:eastAsia="en-AU"/>
              </w:rPr>
              <w:t>cyber attacks</w:t>
            </w:r>
            <w:proofErr w:type="spellEnd"/>
            <w:r w:rsidRPr="00687FBF">
              <w:rPr>
                <w:rFonts w:ascii="Calibri" w:eastAsia="Times New Roman" w:hAnsi="Calibri" w:cs="Calibri"/>
                <w:sz w:val="18"/>
                <w:lang w:eastAsia="en-AU"/>
              </w:rPr>
              <w:t xml:space="preserve"> – see </w:t>
            </w:r>
            <w:proofErr w:type="spellStart"/>
            <w:r w:rsidRPr="00687FBF">
              <w:rPr>
                <w:rFonts w:ascii="Calibri" w:eastAsia="Times New Roman" w:hAnsi="Calibri" w:cs="Calibri"/>
                <w:sz w:val="18"/>
                <w:lang w:eastAsia="en-AU"/>
              </w:rPr>
              <w:t>Stuxnet</w:t>
            </w:r>
            <w:proofErr w:type="spellEnd"/>
            <w:r w:rsidRPr="00687FBF">
              <w:rPr>
                <w:rFonts w:ascii="Calibri" w:eastAsia="Times New Roman" w:hAnsi="Calibri" w:cs="Calibri"/>
                <w:sz w:val="18"/>
                <w:lang w:eastAsia="en-AU"/>
              </w:rPr>
              <w:t xml:space="preserve"> and the nuclear plant in Iran</w:t>
            </w:r>
          </w:p>
        </w:tc>
        <w:tc>
          <w:tcPr>
            <w:tcW w:w="2406" w:type="dxa"/>
          </w:tcPr>
          <w:p w14:paraId="1F7D73E4"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Obvious – many controllers are </w:t>
            </w:r>
            <w:proofErr w:type="spellStart"/>
            <w:r w:rsidRPr="00687FBF">
              <w:rPr>
                <w:rFonts w:ascii="Calibri" w:eastAsia="Times New Roman" w:hAnsi="Calibri" w:cs="Calibri"/>
                <w:sz w:val="18"/>
                <w:lang w:eastAsia="en-AU"/>
              </w:rPr>
              <w:t>IoT</w:t>
            </w:r>
            <w:proofErr w:type="spellEnd"/>
            <w:r w:rsidRPr="00687FBF">
              <w:rPr>
                <w:rFonts w:ascii="Calibri" w:eastAsia="Times New Roman" w:hAnsi="Calibri" w:cs="Calibri"/>
                <w:sz w:val="18"/>
                <w:lang w:eastAsia="en-AU"/>
              </w:rPr>
              <w:t xml:space="preserve"> devices (internet of things) which were not designed with security in mind, hence they are prone to attacks</w:t>
            </w:r>
          </w:p>
        </w:tc>
        <w:tc>
          <w:tcPr>
            <w:tcW w:w="1836" w:type="dxa"/>
          </w:tcPr>
          <w:p w14:paraId="2AD3AB00" w14:textId="797884CF"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1553E92F" w14:textId="03B96EF2" w:rsidR="000369FE" w:rsidRPr="00687FBF" w:rsidRDefault="000369FE" w:rsidP="002C6E3A">
            <w:pPr>
              <w:spacing w:beforeLines="60" w:before="144" w:afterLines="60" w:after="144"/>
              <w:rPr>
                <w:rFonts w:ascii="Calibri" w:hAnsi="Calibri" w:cs="Calibri"/>
                <w:sz w:val="18"/>
              </w:rPr>
            </w:pPr>
            <w:proofErr w:type="spellStart"/>
            <w:r w:rsidRPr="00687FBF">
              <w:rPr>
                <w:rFonts w:ascii="Calibri" w:hAnsi="Calibri" w:cs="Calibri"/>
                <w:sz w:val="18"/>
              </w:rPr>
              <w:t>Cyber attacks</w:t>
            </w:r>
            <w:proofErr w:type="spellEnd"/>
            <w:r w:rsidRPr="00687FBF">
              <w:rPr>
                <w:rFonts w:ascii="Calibri" w:hAnsi="Calibri" w:cs="Calibri"/>
                <w:sz w:val="18"/>
              </w:rPr>
              <w:t xml:space="preserve"> are implicitly covered by the term 'nuclear security event', specific guidance on this is outside the scope of G3</w:t>
            </w:r>
            <w:r w:rsidRPr="00687FBF">
              <w:rPr>
                <w:rFonts w:ascii="Calibri" w:hAnsi="Calibri" w:cs="Calibri"/>
                <w:sz w:val="18"/>
              </w:rPr>
              <w:br/>
              <w:t xml:space="preserve">Generic </w:t>
            </w:r>
            <w:r w:rsidR="008455C6" w:rsidRPr="00687FBF">
              <w:rPr>
                <w:rFonts w:ascii="Calibri" w:hAnsi="Calibri" w:cs="Calibri"/>
                <w:sz w:val="18"/>
              </w:rPr>
              <w:t>reference</w:t>
            </w:r>
            <w:r w:rsidRPr="00687FBF">
              <w:rPr>
                <w:rFonts w:ascii="Calibri" w:hAnsi="Calibri" w:cs="Calibri"/>
                <w:sz w:val="18"/>
              </w:rPr>
              <w:t xml:space="preserve"> to this type of initiatin</w:t>
            </w:r>
            <w:r w:rsidR="00AC2FEC" w:rsidRPr="00687FBF">
              <w:rPr>
                <w:rFonts w:ascii="Calibri" w:hAnsi="Calibri" w:cs="Calibri"/>
                <w:sz w:val="18"/>
              </w:rPr>
              <w:t>g event is mentioned on page 8 in Part 1,</w:t>
            </w:r>
            <w:r w:rsidRPr="00687FBF">
              <w:rPr>
                <w:rFonts w:ascii="Calibri" w:hAnsi="Calibri" w:cs="Calibri"/>
                <w:sz w:val="18"/>
              </w:rPr>
              <w:t xml:space="preserve"> "A nuclear security event such as, the sabotage of a nuclear facility (either physically, electronically or both)..."</w:t>
            </w:r>
          </w:p>
        </w:tc>
      </w:tr>
      <w:tr w:rsidR="000369FE" w:rsidRPr="00E64147" w14:paraId="4104C5BD" w14:textId="77777777" w:rsidTr="002C6E3A">
        <w:tblPrEx>
          <w:tblLook w:val="04A0" w:firstRow="1" w:lastRow="0" w:firstColumn="1" w:lastColumn="0" w:noHBand="0" w:noVBand="1"/>
        </w:tblPrEx>
        <w:trPr>
          <w:trHeight w:val="300"/>
        </w:trPr>
        <w:tc>
          <w:tcPr>
            <w:tcW w:w="561" w:type="dxa"/>
            <w:hideMark/>
          </w:tcPr>
          <w:p w14:paraId="6766358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w:t>
            </w:r>
          </w:p>
        </w:tc>
        <w:tc>
          <w:tcPr>
            <w:tcW w:w="1417" w:type="dxa"/>
            <w:hideMark/>
          </w:tcPr>
          <w:p w14:paraId="5720956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1811231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47C989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248</w:t>
            </w:r>
          </w:p>
        </w:tc>
        <w:tc>
          <w:tcPr>
            <w:tcW w:w="2269" w:type="dxa"/>
            <w:hideMark/>
          </w:tcPr>
          <w:p w14:paraId="1AF724F6"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Add cyber</w:t>
            </w:r>
          </w:p>
        </w:tc>
        <w:tc>
          <w:tcPr>
            <w:tcW w:w="2406" w:type="dxa"/>
          </w:tcPr>
          <w:p w14:paraId="1651C31E"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59B70FE4" w14:textId="56E07932"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5EE98E4B"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resolution 6</w:t>
            </w:r>
          </w:p>
        </w:tc>
      </w:tr>
      <w:tr w:rsidR="000369FE" w:rsidRPr="00E64147" w14:paraId="66441101"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6F22AC1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w:t>
            </w:r>
          </w:p>
        </w:tc>
        <w:tc>
          <w:tcPr>
            <w:tcW w:w="1417" w:type="dxa"/>
            <w:hideMark/>
          </w:tcPr>
          <w:p w14:paraId="2031C72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30B2DFE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5943FFC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table 2.1</w:t>
            </w:r>
          </w:p>
        </w:tc>
        <w:tc>
          <w:tcPr>
            <w:tcW w:w="2269" w:type="dxa"/>
            <w:hideMark/>
          </w:tcPr>
          <w:p w14:paraId="20B92A60"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Add unknown type – you cannot always calculate &amp; predict</w:t>
            </w:r>
          </w:p>
        </w:tc>
        <w:tc>
          <w:tcPr>
            <w:tcW w:w="2406" w:type="dxa"/>
          </w:tcPr>
          <w:p w14:paraId="7A9B629D"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362314A7" w14:textId="2CA4D615"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7ADC08A1" w14:textId="7FA7A5F1" w:rsidR="000369FE" w:rsidRPr="00687FBF" w:rsidRDefault="00AC2FEC" w:rsidP="002C6E3A">
            <w:pPr>
              <w:spacing w:beforeLines="60" w:before="144" w:afterLines="60" w:after="144"/>
              <w:rPr>
                <w:rFonts w:ascii="Calibri" w:hAnsi="Calibri" w:cs="Calibri"/>
                <w:sz w:val="18"/>
              </w:rPr>
            </w:pPr>
            <w:r w:rsidRPr="00687FBF">
              <w:rPr>
                <w:rFonts w:ascii="Calibri" w:hAnsi="Calibri" w:cs="Calibri"/>
                <w:sz w:val="18"/>
              </w:rPr>
              <w:t xml:space="preserve">This table is based on the Australian Clinical Guidelines for Radiological Emergencies. The </w:t>
            </w:r>
            <w:r w:rsidRPr="00687FBF">
              <w:rPr>
                <w:rFonts w:ascii="Calibri" w:hAnsi="Calibri" w:cs="Calibri"/>
                <w:sz w:val="18"/>
              </w:rPr>
              <w:lastRenderedPageBreak/>
              <w:t>addition of this term will not be in</w:t>
            </w:r>
            <w:r w:rsidR="000369FE" w:rsidRPr="00687FBF">
              <w:rPr>
                <w:rFonts w:ascii="Calibri" w:hAnsi="Calibri" w:cs="Calibri"/>
                <w:sz w:val="18"/>
              </w:rPr>
              <w:t xml:space="preserve"> alignment of definitions and criteria between security and safety</w:t>
            </w:r>
            <w:r w:rsidRPr="00687FBF">
              <w:rPr>
                <w:rFonts w:ascii="Calibri" w:hAnsi="Calibri" w:cs="Calibri"/>
                <w:sz w:val="18"/>
              </w:rPr>
              <w:t>.</w:t>
            </w:r>
          </w:p>
        </w:tc>
      </w:tr>
      <w:tr w:rsidR="000369FE" w:rsidRPr="00E64147" w14:paraId="0CE4FF6B" w14:textId="77777777" w:rsidTr="002C6E3A">
        <w:tblPrEx>
          <w:tblLook w:val="04A0" w:firstRow="1" w:lastRow="0" w:firstColumn="1" w:lastColumn="0" w:noHBand="0" w:noVBand="1"/>
        </w:tblPrEx>
        <w:trPr>
          <w:trHeight w:val="1200"/>
        </w:trPr>
        <w:tc>
          <w:tcPr>
            <w:tcW w:w="561" w:type="dxa"/>
            <w:hideMark/>
          </w:tcPr>
          <w:p w14:paraId="5C4D51C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9</w:t>
            </w:r>
          </w:p>
        </w:tc>
        <w:tc>
          <w:tcPr>
            <w:tcW w:w="1417" w:type="dxa"/>
            <w:hideMark/>
          </w:tcPr>
          <w:p w14:paraId="1D46B67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3CD2495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A54A09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341</w:t>
            </w:r>
          </w:p>
        </w:tc>
        <w:tc>
          <w:tcPr>
            <w:tcW w:w="2269" w:type="dxa"/>
            <w:hideMark/>
          </w:tcPr>
          <w:p w14:paraId="4BA0AE38"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Add phreatic water</w:t>
            </w:r>
          </w:p>
        </w:tc>
        <w:tc>
          <w:tcPr>
            <w:tcW w:w="2406" w:type="dxa"/>
          </w:tcPr>
          <w:p w14:paraId="6E48887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See the </w:t>
            </w:r>
            <w:proofErr w:type="spellStart"/>
            <w:r w:rsidRPr="00687FBF">
              <w:rPr>
                <w:rFonts w:ascii="Calibri" w:eastAsia="Times New Roman" w:hAnsi="Calibri" w:cs="Calibri"/>
                <w:sz w:val="18"/>
                <w:lang w:eastAsia="en-AU"/>
              </w:rPr>
              <w:t>Fukoshima</w:t>
            </w:r>
            <w:proofErr w:type="spellEnd"/>
            <w:r w:rsidRPr="00687FBF">
              <w:rPr>
                <w:rFonts w:ascii="Calibri" w:eastAsia="Times New Roman" w:hAnsi="Calibri" w:cs="Calibri"/>
                <w:sz w:val="18"/>
                <w:lang w:eastAsia="en-AU"/>
              </w:rPr>
              <w:t xml:space="preserve"> example &amp; Chernobyl</w:t>
            </w:r>
          </w:p>
        </w:tc>
        <w:tc>
          <w:tcPr>
            <w:tcW w:w="1836" w:type="dxa"/>
          </w:tcPr>
          <w:p w14:paraId="6FA8FDB2" w14:textId="347B2C95"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41199139" w14:textId="4318A0E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This is a general overview of a hazard not present in Australia, as such this comment is too specific for </w:t>
            </w:r>
            <w:r w:rsidR="00AC2FEC" w:rsidRPr="00687FBF">
              <w:rPr>
                <w:rFonts w:ascii="Calibri" w:hAnsi="Calibri" w:cs="Calibri"/>
                <w:sz w:val="18"/>
              </w:rPr>
              <w:t xml:space="preserve">RPS </w:t>
            </w:r>
            <w:r w:rsidRPr="00687FBF">
              <w:rPr>
                <w:rFonts w:ascii="Calibri" w:hAnsi="Calibri" w:cs="Calibri"/>
                <w:sz w:val="18"/>
              </w:rPr>
              <w:t>G</w:t>
            </w:r>
            <w:r w:rsidR="00AC2FEC" w:rsidRPr="00687FBF">
              <w:rPr>
                <w:rFonts w:ascii="Calibri" w:hAnsi="Calibri" w:cs="Calibri"/>
                <w:sz w:val="18"/>
              </w:rPr>
              <w:t>-</w:t>
            </w:r>
            <w:r w:rsidRPr="00687FBF">
              <w:rPr>
                <w:rFonts w:ascii="Calibri" w:hAnsi="Calibri" w:cs="Calibri"/>
                <w:sz w:val="18"/>
              </w:rPr>
              <w:t>3 and is already generically address by the</w:t>
            </w:r>
            <w:r w:rsidR="00356BD7" w:rsidRPr="00687FBF">
              <w:rPr>
                <w:rFonts w:ascii="Calibri" w:hAnsi="Calibri" w:cs="Calibri"/>
                <w:sz w:val="18"/>
              </w:rPr>
              <w:t xml:space="preserve"> term water supplies in 2.5.1 Nuclear Power Plant Reactor emergencies.</w:t>
            </w:r>
          </w:p>
        </w:tc>
      </w:tr>
      <w:tr w:rsidR="000369FE" w:rsidRPr="00E64147" w14:paraId="3340925B"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482758D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10</w:t>
            </w:r>
          </w:p>
        </w:tc>
        <w:tc>
          <w:tcPr>
            <w:tcW w:w="1417" w:type="dxa"/>
            <w:hideMark/>
          </w:tcPr>
          <w:p w14:paraId="2887964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749C224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24DB5EB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482</w:t>
            </w:r>
          </w:p>
        </w:tc>
        <w:tc>
          <w:tcPr>
            <w:tcW w:w="2269" w:type="dxa"/>
            <w:hideMark/>
          </w:tcPr>
          <w:p w14:paraId="0ECCC455"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“is carried long distances by the wind &amp; clouds”</w:t>
            </w:r>
          </w:p>
        </w:tc>
        <w:tc>
          <w:tcPr>
            <w:tcW w:w="2406" w:type="dxa"/>
          </w:tcPr>
          <w:p w14:paraId="6094B968"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Added clouds – remember Chernobyl</w:t>
            </w:r>
          </w:p>
        </w:tc>
        <w:tc>
          <w:tcPr>
            <w:tcW w:w="1836" w:type="dxa"/>
          </w:tcPr>
          <w:p w14:paraId="4499C464" w14:textId="287419C9"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5A100299" w14:textId="1F2A3915"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The transport of clouds is via wind</w:t>
            </w:r>
            <w:r w:rsidR="00356BD7" w:rsidRPr="00687FBF">
              <w:rPr>
                <w:rFonts w:ascii="Calibri" w:hAnsi="Calibri" w:cs="Calibri"/>
                <w:sz w:val="18"/>
              </w:rPr>
              <w:t>.</w:t>
            </w:r>
          </w:p>
        </w:tc>
      </w:tr>
      <w:tr w:rsidR="000369FE" w:rsidRPr="00E64147" w14:paraId="446A93BE" w14:textId="77777777" w:rsidTr="002C6E3A">
        <w:tblPrEx>
          <w:tblLook w:val="04A0" w:firstRow="1" w:lastRow="0" w:firstColumn="1" w:lastColumn="0" w:noHBand="0" w:noVBand="1"/>
        </w:tblPrEx>
        <w:trPr>
          <w:trHeight w:val="1500"/>
        </w:trPr>
        <w:tc>
          <w:tcPr>
            <w:tcW w:w="561" w:type="dxa"/>
            <w:hideMark/>
          </w:tcPr>
          <w:p w14:paraId="4F3B80A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11</w:t>
            </w:r>
          </w:p>
        </w:tc>
        <w:tc>
          <w:tcPr>
            <w:tcW w:w="1417" w:type="dxa"/>
            <w:hideMark/>
          </w:tcPr>
          <w:p w14:paraId="38C461F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60EEF08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498E8D4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figure 2.3</w:t>
            </w:r>
          </w:p>
        </w:tc>
        <w:tc>
          <w:tcPr>
            <w:tcW w:w="2269" w:type="dxa"/>
            <w:hideMark/>
          </w:tcPr>
          <w:p w14:paraId="7CCE26D7"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There is nothing mentioning that reserves of food and water from a non-contaminated area must be made available and a total ban on products possibly contaminated should be imposed</w:t>
            </w:r>
          </w:p>
        </w:tc>
        <w:tc>
          <w:tcPr>
            <w:tcW w:w="2406" w:type="dxa"/>
          </w:tcPr>
          <w:p w14:paraId="0BB50EB4"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3C01C7F6" w14:textId="768AB864"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2B610787" w14:textId="51A7D59C" w:rsidR="000369FE" w:rsidRPr="00687FBF" w:rsidRDefault="00ED621A" w:rsidP="002C6E3A">
            <w:pPr>
              <w:spacing w:beforeLines="60" w:before="144" w:afterLines="60" w:after="144"/>
              <w:rPr>
                <w:rFonts w:ascii="Calibri" w:hAnsi="Calibri" w:cs="Calibri"/>
                <w:sz w:val="18"/>
              </w:rPr>
            </w:pPr>
            <w:r w:rsidRPr="00687FBF">
              <w:rPr>
                <w:rFonts w:ascii="Calibri" w:hAnsi="Calibri" w:cs="Calibri"/>
                <w:sz w:val="18"/>
              </w:rPr>
              <w:t>Out of scope for this figure.</w:t>
            </w:r>
          </w:p>
        </w:tc>
      </w:tr>
      <w:tr w:rsidR="000369FE" w:rsidRPr="00E64147" w14:paraId="4E3B3103"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47B2C7B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w:t>
            </w:r>
          </w:p>
        </w:tc>
        <w:tc>
          <w:tcPr>
            <w:tcW w:w="1417" w:type="dxa"/>
            <w:hideMark/>
          </w:tcPr>
          <w:p w14:paraId="30A4ED0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42262A2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4D2C7A6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786</w:t>
            </w:r>
          </w:p>
        </w:tc>
        <w:tc>
          <w:tcPr>
            <w:tcW w:w="2269" w:type="dxa"/>
            <w:hideMark/>
          </w:tcPr>
          <w:p w14:paraId="3E619A63"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There should be a point about testing and rehearsal of the emergency plan</w:t>
            </w:r>
          </w:p>
        </w:tc>
        <w:tc>
          <w:tcPr>
            <w:tcW w:w="2406" w:type="dxa"/>
          </w:tcPr>
          <w:p w14:paraId="416CAC4B"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011A9B68"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74C8964E" w14:textId="118DFE1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Training, drills and exercises for emergency preparedness and response on </w:t>
            </w:r>
            <w:r w:rsidR="00356BD7" w:rsidRPr="00687FBF">
              <w:rPr>
                <w:rFonts w:ascii="Calibri" w:hAnsi="Calibri" w:cs="Calibri"/>
                <w:sz w:val="18"/>
              </w:rPr>
              <w:t>page 58</w:t>
            </w:r>
            <w:r w:rsidRPr="00687FBF">
              <w:rPr>
                <w:rFonts w:ascii="Calibri" w:hAnsi="Calibri" w:cs="Calibri"/>
                <w:sz w:val="18"/>
              </w:rPr>
              <w:t xml:space="preserve"> addresses this comment</w:t>
            </w:r>
            <w:r w:rsidR="00356BD7" w:rsidRPr="00687FBF">
              <w:rPr>
                <w:rFonts w:ascii="Calibri" w:hAnsi="Calibri" w:cs="Calibri"/>
                <w:sz w:val="18"/>
              </w:rPr>
              <w:t>.</w:t>
            </w:r>
          </w:p>
        </w:tc>
      </w:tr>
      <w:tr w:rsidR="000369FE" w:rsidRPr="00E64147" w14:paraId="6D4E767B" w14:textId="77777777" w:rsidTr="002C6E3A">
        <w:tblPrEx>
          <w:tblLook w:val="04A0" w:firstRow="1" w:lastRow="0" w:firstColumn="1" w:lastColumn="0" w:noHBand="0" w:noVBand="1"/>
        </w:tblPrEx>
        <w:trPr>
          <w:trHeight w:val="1200"/>
        </w:trPr>
        <w:tc>
          <w:tcPr>
            <w:tcW w:w="561" w:type="dxa"/>
            <w:hideMark/>
          </w:tcPr>
          <w:p w14:paraId="4FD41D1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13</w:t>
            </w:r>
          </w:p>
        </w:tc>
        <w:tc>
          <w:tcPr>
            <w:tcW w:w="1417" w:type="dxa"/>
            <w:hideMark/>
          </w:tcPr>
          <w:p w14:paraId="176C4BB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30A0FE2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2B42D5C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1396</w:t>
            </w:r>
          </w:p>
        </w:tc>
        <w:tc>
          <w:tcPr>
            <w:tcW w:w="2269" w:type="dxa"/>
            <w:hideMark/>
          </w:tcPr>
          <w:p w14:paraId="3E0F9180"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Storage facilities for emergency cases should be identified before a disaster occurs, NOT after; as such this condition should be added</w:t>
            </w:r>
          </w:p>
        </w:tc>
        <w:tc>
          <w:tcPr>
            <w:tcW w:w="2406" w:type="dxa"/>
          </w:tcPr>
          <w:p w14:paraId="764DB868"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1EA876FA"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3FE91EC6"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Comment Only</w:t>
            </w:r>
          </w:p>
        </w:tc>
      </w:tr>
      <w:tr w:rsidR="000369FE" w:rsidRPr="00E64147" w14:paraId="3D8890EE"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800"/>
        </w:trPr>
        <w:tc>
          <w:tcPr>
            <w:tcW w:w="561" w:type="dxa"/>
            <w:hideMark/>
          </w:tcPr>
          <w:p w14:paraId="762443B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14</w:t>
            </w:r>
          </w:p>
        </w:tc>
        <w:tc>
          <w:tcPr>
            <w:tcW w:w="1417" w:type="dxa"/>
            <w:hideMark/>
          </w:tcPr>
          <w:p w14:paraId="6847C1F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23E9EB6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5FF8250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1476</w:t>
            </w:r>
          </w:p>
        </w:tc>
        <w:tc>
          <w:tcPr>
            <w:tcW w:w="2269" w:type="dxa"/>
            <w:hideMark/>
          </w:tcPr>
          <w:p w14:paraId="4DB28019"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Long term measures after an emergency should be added in this section and they should include as an example NOT importing agricultural products into the country when they originate from an area which had a nuclear disaster</w:t>
            </w:r>
          </w:p>
        </w:tc>
        <w:tc>
          <w:tcPr>
            <w:tcW w:w="2406" w:type="dxa"/>
          </w:tcPr>
          <w:p w14:paraId="53E91C24"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See </w:t>
            </w:r>
            <w:proofErr w:type="spellStart"/>
            <w:r w:rsidRPr="00687FBF">
              <w:rPr>
                <w:rFonts w:ascii="Calibri" w:eastAsia="Times New Roman" w:hAnsi="Calibri" w:cs="Calibri"/>
                <w:sz w:val="18"/>
                <w:lang w:eastAsia="en-AU"/>
              </w:rPr>
              <w:t>Fukoshima</w:t>
            </w:r>
            <w:proofErr w:type="spellEnd"/>
            <w:r w:rsidRPr="00687FBF">
              <w:rPr>
                <w:rFonts w:ascii="Calibri" w:eastAsia="Times New Roman" w:hAnsi="Calibri" w:cs="Calibri"/>
                <w:sz w:val="18"/>
                <w:lang w:eastAsia="en-AU"/>
              </w:rPr>
              <w:t xml:space="preserve"> example</w:t>
            </w:r>
            <w:r w:rsidRPr="00687FBF">
              <w:rPr>
                <w:rFonts w:ascii="Calibri" w:eastAsia="Times New Roman" w:hAnsi="Calibri" w:cs="Calibri"/>
                <w:sz w:val="18"/>
                <w:lang w:eastAsia="en-AU"/>
              </w:rPr>
              <w:br/>
              <w:t>http://time.com/4241443/fukushima-disaster-food-safety/</w:t>
            </w:r>
          </w:p>
        </w:tc>
        <w:tc>
          <w:tcPr>
            <w:tcW w:w="1836" w:type="dxa"/>
          </w:tcPr>
          <w:p w14:paraId="30E981D9" w14:textId="5E990C9F"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09272379" w14:textId="22BFEA36"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This text has been adapted </w:t>
            </w:r>
            <w:r w:rsidR="00356BD7" w:rsidRPr="00687FBF">
              <w:rPr>
                <w:rFonts w:ascii="Calibri" w:hAnsi="Calibri" w:cs="Calibri"/>
                <w:sz w:val="18"/>
              </w:rPr>
              <w:t>from GSR Part 7 and was approved</w:t>
            </w:r>
            <w:r w:rsidRPr="00687FBF">
              <w:rPr>
                <w:rFonts w:ascii="Calibri" w:hAnsi="Calibri" w:cs="Calibri"/>
                <w:sz w:val="18"/>
              </w:rPr>
              <w:t xml:space="preserve"> by </w:t>
            </w:r>
            <w:r w:rsidR="00C7572F" w:rsidRPr="00687FBF">
              <w:rPr>
                <w:rFonts w:ascii="Calibri" w:hAnsi="Calibri" w:cs="Calibri"/>
                <w:sz w:val="18"/>
              </w:rPr>
              <w:t xml:space="preserve">the </w:t>
            </w:r>
            <w:r w:rsidRPr="00687FBF">
              <w:rPr>
                <w:rFonts w:ascii="Calibri" w:hAnsi="Calibri" w:cs="Calibri"/>
                <w:sz w:val="18"/>
              </w:rPr>
              <w:t>R</w:t>
            </w:r>
            <w:r w:rsidR="00356BD7" w:rsidRPr="00687FBF">
              <w:rPr>
                <w:rFonts w:ascii="Calibri" w:hAnsi="Calibri" w:cs="Calibri"/>
                <w:sz w:val="18"/>
              </w:rPr>
              <w:t xml:space="preserve">adiation </w:t>
            </w:r>
            <w:r w:rsidRPr="00687FBF">
              <w:rPr>
                <w:rFonts w:ascii="Calibri" w:hAnsi="Calibri" w:cs="Calibri"/>
                <w:sz w:val="18"/>
              </w:rPr>
              <w:t>H</w:t>
            </w:r>
            <w:r w:rsidR="00356BD7" w:rsidRPr="00687FBF">
              <w:rPr>
                <w:rFonts w:ascii="Calibri" w:hAnsi="Calibri" w:cs="Calibri"/>
                <w:sz w:val="18"/>
              </w:rPr>
              <w:t xml:space="preserve">ealth </w:t>
            </w:r>
            <w:r w:rsidRPr="00687FBF">
              <w:rPr>
                <w:rFonts w:ascii="Calibri" w:hAnsi="Calibri" w:cs="Calibri"/>
                <w:sz w:val="18"/>
              </w:rPr>
              <w:t>C</w:t>
            </w:r>
            <w:r w:rsidR="00356BD7" w:rsidRPr="00687FBF">
              <w:rPr>
                <w:rFonts w:ascii="Calibri" w:hAnsi="Calibri" w:cs="Calibri"/>
                <w:sz w:val="18"/>
              </w:rPr>
              <w:t>ommittee</w:t>
            </w:r>
            <w:r w:rsidRPr="00687FBF">
              <w:rPr>
                <w:rFonts w:ascii="Calibri" w:hAnsi="Calibri" w:cs="Calibri"/>
                <w:sz w:val="18"/>
              </w:rPr>
              <w:t>.</w:t>
            </w:r>
            <w:r w:rsidRPr="00687FBF">
              <w:rPr>
                <w:rFonts w:ascii="Calibri" w:hAnsi="Calibri" w:cs="Calibri"/>
                <w:sz w:val="18"/>
              </w:rPr>
              <w:br/>
              <w:t>Part 1 Annex B provides Generic criteria to address this comment</w:t>
            </w:r>
            <w:r w:rsidR="00356BD7" w:rsidRPr="00687FBF">
              <w:rPr>
                <w:rFonts w:ascii="Calibri" w:hAnsi="Calibri" w:cs="Calibri"/>
                <w:sz w:val="18"/>
              </w:rPr>
              <w:t>.</w:t>
            </w:r>
          </w:p>
        </w:tc>
      </w:tr>
      <w:tr w:rsidR="000369FE" w:rsidRPr="00E64147" w14:paraId="4E5692C5" w14:textId="77777777" w:rsidTr="002C6E3A">
        <w:tblPrEx>
          <w:tblLook w:val="04A0" w:firstRow="1" w:lastRow="0" w:firstColumn="1" w:lastColumn="0" w:noHBand="0" w:noVBand="1"/>
        </w:tblPrEx>
        <w:trPr>
          <w:trHeight w:val="900"/>
        </w:trPr>
        <w:tc>
          <w:tcPr>
            <w:tcW w:w="561" w:type="dxa"/>
            <w:hideMark/>
          </w:tcPr>
          <w:p w14:paraId="3B2CC83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15</w:t>
            </w:r>
          </w:p>
        </w:tc>
        <w:tc>
          <w:tcPr>
            <w:tcW w:w="1417" w:type="dxa"/>
            <w:hideMark/>
          </w:tcPr>
          <w:p w14:paraId="400A947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70EE7DEE" w14:textId="6823D52E" w:rsidR="006D6AB6"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p w14:paraId="046EE488" w14:textId="77777777" w:rsidR="006D6AB6" w:rsidRPr="00687FBF" w:rsidRDefault="006D6AB6" w:rsidP="002C6E3A">
            <w:pPr>
              <w:spacing w:beforeLines="60" w:before="144" w:afterLines="60" w:after="144"/>
              <w:rPr>
                <w:rFonts w:ascii="Calibri" w:eastAsia="Times New Roman" w:hAnsi="Calibri" w:cs="Calibri"/>
                <w:sz w:val="18"/>
                <w:szCs w:val="18"/>
                <w:lang w:eastAsia="en-AU"/>
              </w:rPr>
            </w:pPr>
          </w:p>
          <w:p w14:paraId="5744B89B" w14:textId="77777777" w:rsidR="006D6AB6" w:rsidRPr="00687FBF" w:rsidRDefault="006D6AB6" w:rsidP="002C6E3A">
            <w:pPr>
              <w:spacing w:beforeLines="60" w:before="144" w:afterLines="60" w:after="144"/>
              <w:rPr>
                <w:rFonts w:ascii="Calibri" w:eastAsia="Times New Roman" w:hAnsi="Calibri" w:cs="Calibri"/>
                <w:sz w:val="18"/>
                <w:szCs w:val="18"/>
                <w:lang w:eastAsia="en-AU"/>
              </w:rPr>
            </w:pPr>
          </w:p>
          <w:p w14:paraId="41B634D4" w14:textId="7BF107AA" w:rsidR="006D6AB6" w:rsidRPr="00687FBF" w:rsidRDefault="006D6AB6" w:rsidP="002C6E3A">
            <w:pPr>
              <w:spacing w:beforeLines="60" w:before="144" w:afterLines="60" w:after="144"/>
              <w:rPr>
                <w:rFonts w:ascii="Calibri" w:eastAsia="Times New Roman" w:hAnsi="Calibri" w:cs="Calibri"/>
                <w:sz w:val="18"/>
                <w:szCs w:val="18"/>
                <w:lang w:eastAsia="en-AU"/>
              </w:rPr>
            </w:pPr>
          </w:p>
          <w:p w14:paraId="2E43BEFE" w14:textId="77777777" w:rsidR="006D6AB6" w:rsidRPr="00687FBF" w:rsidRDefault="006D6AB6" w:rsidP="002C6E3A">
            <w:pPr>
              <w:spacing w:beforeLines="60" w:before="144" w:afterLines="60" w:after="144"/>
              <w:rPr>
                <w:rFonts w:ascii="Calibri" w:eastAsia="Times New Roman" w:hAnsi="Calibri" w:cs="Calibri"/>
                <w:sz w:val="18"/>
                <w:szCs w:val="18"/>
                <w:lang w:eastAsia="en-AU"/>
              </w:rPr>
            </w:pPr>
          </w:p>
          <w:p w14:paraId="68C00DCD" w14:textId="032A7D27" w:rsidR="006D6AB6" w:rsidRPr="00687FBF" w:rsidRDefault="006D6AB6" w:rsidP="002C6E3A">
            <w:pPr>
              <w:spacing w:beforeLines="60" w:before="144" w:afterLines="60" w:after="144"/>
              <w:rPr>
                <w:rFonts w:ascii="Calibri" w:eastAsia="Times New Roman" w:hAnsi="Calibri" w:cs="Calibri"/>
                <w:sz w:val="18"/>
                <w:szCs w:val="18"/>
                <w:lang w:eastAsia="en-AU"/>
              </w:rPr>
            </w:pPr>
          </w:p>
          <w:p w14:paraId="100FF0F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p>
        </w:tc>
        <w:tc>
          <w:tcPr>
            <w:tcW w:w="1137" w:type="dxa"/>
            <w:hideMark/>
          </w:tcPr>
          <w:p w14:paraId="0862187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1890</w:t>
            </w:r>
          </w:p>
        </w:tc>
        <w:tc>
          <w:tcPr>
            <w:tcW w:w="2269" w:type="dxa"/>
            <w:hideMark/>
          </w:tcPr>
          <w:p w14:paraId="36512A3B"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Stronger actions, tests and audits of the food should be mandated</w:t>
            </w:r>
          </w:p>
        </w:tc>
        <w:tc>
          <w:tcPr>
            <w:tcW w:w="2406" w:type="dxa"/>
          </w:tcPr>
          <w:p w14:paraId="62CDD839"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See example above &amp; the fact that Australia was importing food from regions in the vicinity of </w:t>
            </w:r>
            <w:proofErr w:type="spellStart"/>
            <w:r w:rsidRPr="00687FBF">
              <w:rPr>
                <w:rFonts w:ascii="Calibri" w:eastAsia="Times New Roman" w:hAnsi="Calibri" w:cs="Calibri"/>
                <w:sz w:val="18"/>
                <w:lang w:eastAsia="en-AU"/>
              </w:rPr>
              <w:t>Fukoshima</w:t>
            </w:r>
            <w:proofErr w:type="spellEnd"/>
            <w:r w:rsidRPr="00687FBF">
              <w:rPr>
                <w:rFonts w:ascii="Calibri" w:eastAsia="Times New Roman" w:hAnsi="Calibri" w:cs="Calibri"/>
                <w:sz w:val="18"/>
                <w:lang w:eastAsia="en-AU"/>
              </w:rPr>
              <w:t xml:space="preserve"> (example green tea, </w:t>
            </w:r>
            <w:proofErr w:type="spellStart"/>
            <w:r w:rsidRPr="00687FBF">
              <w:rPr>
                <w:rFonts w:ascii="Calibri" w:eastAsia="Times New Roman" w:hAnsi="Calibri" w:cs="Calibri"/>
                <w:sz w:val="18"/>
                <w:lang w:eastAsia="en-AU"/>
              </w:rPr>
              <w:t>etc</w:t>
            </w:r>
            <w:proofErr w:type="spellEnd"/>
            <w:r w:rsidRPr="00687FBF">
              <w:rPr>
                <w:rFonts w:ascii="Calibri" w:eastAsia="Times New Roman" w:hAnsi="Calibri" w:cs="Calibri"/>
                <w:sz w:val="18"/>
                <w:lang w:eastAsia="en-AU"/>
              </w:rPr>
              <w:t>)</w:t>
            </w:r>
          </w:p>
        </w:tc>
        <w:tc>
          <w:tcPr>
            <w:tcW w:w="1836" w:type="dxa"/>
          </w:tcPr>
          <w:p w14:paraId="0DECE4CB" w14:textId="212E0A7D"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5411EA4E" w14:textId="78154EAD"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This text has been adapted </w:t>
            </w:r>
            <w:r w:rsidR="00C7572F" w:rsidRPr="00687FBF">
              <w:rPr>
                <w:rFonts w:ascii="Calibri" w:hAnsi="Calibri" w:cs="Calibri"/>
                <w:sz w:val="18"/>
              </w:rPr>
              <w:t>from GSR Part 7 and was approved</w:t>
            </w:r>
            <w:r w:rsidRPr="00687FBF">
              <w:rPr>
                <w:rFonts w:ascii="Calibri" w:hAnsi="Calibri" w:cs="Calibri"/>
                <w:sz w:val="18"/>
              </w:rPr>
              <w:t xml:space="preserve"> by</w:t>
            </w:r>
            <w:r w:rsidR="00C7572F" w:rsidRPr="00687FBF">
              <w:rPr>
                <w:rFonts w:ascii="Calibri" w:hAnsi="Calibri" w:cs="Calibri"/>
                <w:sz w:val="18"/>
              </w:rPr>
              <w:t xml:space="preserve"> the</w:t>
            </w:r>
            <w:r w:rsidRPr="00687FBF">
              <w:rPr>
                <w:rFonts w:ascii="Calibri" w:hAnsi="Calibri" w:cs="Calibri"/>
                <w:sz w:val="18"/>
              </w:rPr>
              <w:t xml:space="preserve"> R</w:t>
            </w:r>
            <w:r w:rsidR="00C7572F" w:rsidRPr="00687FBF">
              <w:rPr>
                <w:rFonts w:ascii="Calibri" w:hAnsi="Calibri" w:cs="Calibri"/>
                <w:sz w:val="18"/>
              </w:rPr>
              <w:t xml:space="preserve">adiation </w:t>
            </w:r>
            <w:r w:rsidRPr="00687FBF">
              <w:rPr>
                <w:rFonts w:ascii="Calibri" w:hAnsi="Calibri" w:cs="Calibri"/>
                <w:sz w:val="18"/>
              </w:rPr>
              <w:t>H</w:t>
            </w:r>
            <w:r w:rsidR="00C7572F" w:rsidRPr="00687FBF">
              <w:rPr>
                <w:rFonts w:ascii="Calibri" w:hAnsi="Calibri" w:cs="Calibri"/>
                <w:sz w:val="18"/>
              </w:rPr>
              <w:t xml:space="preserve">ealth </w:t>
            </w:r>
            <w:r w:rsidRPr="00687FBF">
              <w:rPr>
                <w:rFonts w:ascii="Calibri" w:hAnsi="Calibri" w:cs="Calibri"/>
                <w:sz w:val="18"/>
              </w:rPr>
              <w:t>C</w:t>
            </w:r>
            <w:r w:rsidR="00C7572F" w:rsidRPr="00687FBF">
              <w:rPr>
                <w:rFonts w:ascii="Calibri" w:hAnsi="Calibri" w:cs="Calibri"/>
                <w:sz w:val="18"/>
              </w:rPr>
              <w:t>ommittee</w:t>
            </w:r>
            <w:r w:rsidRPr="00687FBF">
              <w:rPr>
                <w:rFonts w:ascii="Calibri" w:hAnsi="Calibri" w:cs="Calibri"/>
                <w:sz w:val="18"/>
              </w:rPr>
              <w:t>.</w:t>
            </w:r>
            <w:r w:rsidRPr="00687FBF">
              <w:rPr>
                <w:rFonts w:ascii="Calibri" w:hAnsi="Calibri" w:cs="Calibri"/>
                <w:sz w:val="18"/>
              </w:rPr>
              <w:br/>
              <w:t>The screening criteria in this guide is best practice</w:t>
            </w:r>
            <w:r w:rsidR="00C7572F" w:rsidRPr="00687FBF">
              <w:rPr>
                <w:rFonts w:ascii="Calibri" w:hAnsi="Calibri" w:cs="Calibri"/>
                <w:sz w:val="18"/>
              </w:rPr>
              <w:t>.</w:t>
            </w:r>
          </w:p>
        </w:tc>
      </w:tr>
      <w:tr w:rsidR="000369FE" w:rsidRPr="00E64147" w14:paraId="028153AB"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196"/>
        </w:trPr>
        <w:tc>
          <w:tcPr>
            <w:tcW w:w="561" w:type="dxa"/>
            <w:hideMark/>
          </w:tcPr>
          <w:p w14:paraId="6A4960A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6</w:t>
            </w:r>
          </w:p>
        </w:tc>
        <w:tc>
          <w:tcPr>
            <w:tcW w:w="1417" w:type="dxa"/>
            <w:hideMark/>
          </w:tcPr>
          <w:p w14:paraId="1C0D3B9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42B3B25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02CCE2E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Whole document</w:t>
            </w:r>
          </w:p>
        </w:tc>
        <w:tc>
          <w:tcPr>
            <w:tcW w:w="2269" w:type="dxa"/>
            <w:hideMark/>
          </w:tcPr>
          <w:p w14:paraId="0929C66F"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There is detail around the emergency events and the measures that need to be taken immediately after, but there is almost nothing I could see about the long term plan.</w:t>
            </w:r>
            <w:r w:rsidRPr="00687FBF">
              <w:rPr>
                <w:rFonts w:ascii="Calibri" w:eastAsia="Times New Roman" w:hAnsi="Calibri" w:cs="Calibri"/>
                <w:sz w:val="18"/>
                <w:lang w:eastAsia="en-AU"/>
              </w:rPr>
              <w:br/>
              <w:t>I see it as incumbent on a country like Australia through its government or agencies to stop imports from countries that suffered a nuclear disaster, rather than to leave it to the countries affected themselves to be honest and vigilant.</w:t>
            </w:r>
            <w:r w:rsidRPr="00687FBF">
              <w:rPr>
                <w:rFonts w:ascii="Calibri" w:eastAsia="Times New Roman" w:hAnsi="Calibri" w:cs="Calibri"/>
                <w:sz w:val="18"/>
                <w:lang w:eastAsia="en-AU"/>
              </w:rPr>
              <w:br/>
              <w:t xml:space="preserve">I have seen the same product in Australia, with production dates after the </w:t>
            </w:r>
            <w:proofErr w:type="spellStart"/>
            <w:r w:rsidRPr="00687FBF">
              <w:rPr>
                <w:rFonts w:ascii="Calibri" w:eastAsia="Times New Roman" w:hAnsi="Calibri" w:cs="Calibri"/>
                <w:sz w:val="18"/>
                <w:lang w:eastAsia="en-AU"/>
              </w:rPr>
              <w:t>Fukoshima</w:t>
            </w:r>
            <w:proofErr w:type="spellEnd"/>
            <w:r w:rsidRPr="00687FBF">
              <w:rPr>
                <w:rFonts w:ascii="Calibri" w:eastAsia="Times New Roman" w:hAnsi="Calibri" w:cs="Calibri"/>
                <w:sz w:val="18"/>
                <w:lang w:eastAsia="en-AU"/>
              </w:rPr>
              <w:t xml:space="preserve"> disaster.</w:t>
            </w:r>
          </w:p>
        </w:tc>
        <w:tc>
          <w:tcPr>
            <w:tcW w:w="2406" w:type="dxa"/>
          </w:tcPr>
          <w:p w14:paraId="22AE563D"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Again, I give the </w:t>
            </w:r>
            <w:proofErr w:type="spellStart"/>
            <w:r w:rsidRPr="00687FBF">
              <w:rPr>
                <w:rFonts w:ascii="Calibri" w:eastAsia="Times New Roman" w:hAnsi="Calibri" w:cs="Calibri"/>
                <w:sz w:val="18"/>
                <w:lang w:eastAsia="en-AU"/>
              </w:rPr>
              <w:t>Fukoshima</w:t>
            </w:r>
            <w:proofErr w:type="spellEnd"/>
            <w:r w:rsidRPr="00687FBF">
              <w:rPr>
                <w:rFonts w:ascii="Calibri" w:eastAsia="Times New Roman" w:hAnsi="Calibri" w:cs="Calibri"/>
                <w:sz w:val="18"/>
                <w:lang w:eastAsia="en-AU"/>
              </w:rPr>
              <w:t xml:space="preserve"> example</w:t>
            </w:r>
            <w:proofErr w:type="gramStart"/>
            <w:r w:rsidRPr="00687FBF">
              <w:rPr>
                <w:rFonts w:ascii="Calibri" w:eastAsia="Times New Roman" w:hAnsi="Calibri" w:cs="Calibri"/>
                <w:sz w:val="18"/>
                <w:lang w:eastAsia="en-AU"/>
              </w:rPr>
              <w:t>:</w:t>
            </w:r>
            <w:proofErr w:type="gramEnd"/>
            <w:r w:rsidRPr="00687FBF">
              <w:rPr>
                <w:rFonts w:ascii="Calibri" w:eastAsia="Times New Roman" w:hAnsi="Calibri" w:cs="Calibri"/>
                <w:sz w:val="18"/>
                <w:lang w:eastAsia="en-AU"/>
              </w:rPr>
              <w:br/>
              <w:t>https://www.teamuse.com/article_110701.html</w:t>
            </w:r>
            <w:r w:rsidRPr="00687FBF">
              <w:rPr>
                <w:rFonts w:ascii="Calibri" w:eastAsia="Times New Roman" w:hAnsi="Calibri" w:cs="Calibri"/>
                <w:sz w:val="18"/>
                <w:lang w:eastAsia="en-AU"/>
              </w:rPr>
              <w:br/>
              <w:t>Excerpt:</w:t>
            </w:r>
            <w:r w:rsidRPr="00687FBF">
              <w:rPr>
                <w:rFonts w:ascii="Calibri" w:eastAsia="Times New Roman" w:hAnsi="Calibri" w:cs="Calibri"/>
                <w:sz w:val="18"/>
                <w:lang w:eastAsia="en-AU"/>
              </w:rPr>
              <w:br/>
              <w:t xml:space="preserve">The World Health Organization (WHO) and the Food and Agricultural Organization (FAO) jointly set standards for radiation in food products, called the Codex General Standard for Contaminants and Toxins in Food and Feed, which contain Codex Guideline Levels. The Codex Guideline level for food products is a maximum of 1000 </w:t>
            </w:r>
            <w:proofErr w:type="spellStart"/>
            <w:r w:rsidRPr="00687FBF">
              <w:rPr>
                <w:rFonts w:ascii="Calibri" w:eastAsia="Times New Roman" w:hAnsi="Calibri" w:cs="Calibri"/>
                <w:sz w:val="18"/>
                <w:lang w:eastAsia="en-AU"/>
              </w:rPr>
              <w:t>Bq</w:t>
            </w:r>
            <w:proofErr w:type="spellEnd"/>
            <w:r w:rsidRPr="00687FBF">
              <w:rPr>
                <w:rFonts w:ascii="Calibri" w:eastAsia="Times New Roman" w:hAnsi="Calibri" w:cs="Calibri"/>
                <w:sz w:val="18"/>
                <w:lang w:eastAsia="en-AU"/>
              </w:rPr>
              <w:t xml:space="preserve">/kg for cesium-137 and 100 </w:t>
            </w:r>
            <w:proofErr w:type="spellStart"/>
            <w:r w:rsidRPr="00687FBF">
              <w:rPr>
                <w:rFonts w:ascii="Calibri" w:eastAsia="Times New Roman" w:hAnsi="Calibri" w:cs="Calibri"/>
                <w:sz w:val="18"/>
                <w:lang w:eastAsia="en-AU"/>
              </w:rPr>
              <w:t>Bq</w:t>
            </w:r>
            <w:proofErr w:type="spellEnd"/>
            <w:r w:rsidRPr="00687FBF">
              <w:rPr>
                <w:rFonts w:ascii="Calibri" w:eastAsia="Times New Roman" w:hAnsi="Calibri" w:cs="Calibri"/>
                <w:sz w:val="18"/>
                <w:lang w:eastAsia="en-AU"/>
              </w:rPr>
              <w:t xml:space="preserve">/kg for iodine-131. In comparison, the U.S. Food and Drug Administration has a border intervention level of 1200 </w:t>
            </w:r>
            <w:proofErr w:type="spellStart"/>
            <w:r w:rsidRPr="00687FBF">
              <w:rPr>
                <w:rFonts w:ascii="Calibri" w:eastAsia="Times New Roman" w:hAnsi="Calibri" w:cs="Calibri"/>
                <w:sz w:val="18"/>
                <w:lang w:eastAsia="en-AU"/>
              </w:rPr>
              <w:t>Bq</w:t>
            </w:r>
            <w:proofErr w:type="spellEnd"/>
            <w:r w:rsidRPr="00687FBF">
              <w:rPr>
                <w:rFonts w:ascii="Calibri" w:eastAsia="Times New Roman" w:hAnsi="Calibri" w:cs="Calibri"/>
                <w:sz w:val="18"/>
                <w:lang w:eastAsia="en-AU"/>
              </w:rPr>
              <w:t xml:space="preserve">/kg of </w:t>
            </w:r>
            <w:proofErr w:type="spellStart"/>
            <w:r w:rsidRPr="00687FBF">
              <w:rPr>
                <w:rFonts w:ascii="Calibri" w:eastAsia="Times New Roman" w:hAnsi="Calibri" w:cs="Calibri"/>
                <w:sz w:val="18"/>
                <w:lang w:eastAsia="en-AU"/>
              </w:rPr>
              <w:t>cesium</w:t>
            </w:r>
            <w:proofErr w:type="spellEnd"/>
            <w:r w:rsidRPr="00687FBF">
              <w:rPr>
                <w:rFonts w:ascii="Calibri" w:eastAsia="Times New Roman" w:hAnsi="Calibri" w:cs="Calibri"/>
                <w:sz w:val="18"/>
                <w:lang w:eastAsia="en-AU"/>
              </w:rPr>
              <w:t xml:space="preserve"> for imported goods.</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 xml:space="preserve">In early June, the Japanese government ordered a halt in shipments from the eastern prefectures of Ibaraki, Chiba, Kanagawa and Tochigi, which are not major tea producing areas of the country and decided to ban shipments of dried tea leaves containing more than 500 </w:t>
            </w:r>
            <w:proofErr w:type="spellStart"/>
            <w:r w:rsidRPr="00687FBF">
              <w:rPr>
                <w:rFonts w:ascii="Calibri" w:eastAsia="Times New Roman" w:hAnsi="Calibri" w:cs="Calibri"/>
                <w:sz w:val="18"/>
                <w:lang w:eastAsia="en-AU"/>
              </w:rPr>
              <w:t>Bq</w:t>
            </w:r>
            <w:proofErr w:type="spellEnd"/>
            <w:r w:rsidRPr="00687FBF">
              <w:rPr>
                <w:rFonts w:ascii="Calibri" w:eastAsia="Times New Roman" w:hAnsi="Calibri" w:cs="Calibri"/>
                <w:sz w:val="18"/>
                <w:lang w:eastAsia="en-AU"/>
              </w:rPr>
              <w:t xml:space="preserve">/kg of radioactive </w:t>
            </w:r>
            <w:proofErr w:type="spellStart"/>
            <w:r w:rsidRPr="00687FBF">
              <w:rPr>
                <w:rFonts w:ascii="Calibri" w:eastAsia="Times New Roman" w:hAnsi="Calibri" w:cs="Calibri"/>
                <w:sz w:val="18"/>
                <w:lang w:eastAsia="en-AU"/>
              </w:rPr>
              <w:t>cesium</w:t>
            </w:r>
            <w:proofErr w:type="spellEnd"/>
            <w:r w:rsidRPr="00687FBF">
              <w:rPr>
                <w:rFonts w:ascii="Calibri" w:eastAsia="Times New Roman" w:hAnsi="Calibri" w:cs="Calibri"/>
                <w:sz w:val="18"/>
                <w:lang w:eastAsia="en-AU"/>
              </w:rPr>
              <w:t xml:space="preserve">. The Japanese government exercised caution by setting </w:t>
            </w:r>
            <w:r w:rsidRPr="00687FBF">
              <w:rPr>
                <w:rFonts w:ascii="Calibri" w:eastAsia="Times New Roman" w:hAnsi="Calibri" w:cs="Calibri"/>
                <w:sz w:val="18"/>
                <w:lang w:eastAsia="en-AU"/>
              </w:rPr>
              <w:lastRenderedPageBreak/>
              <w:t>the level at half the Codex accepted maximum, which should be reassuring to tea drinkers.</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 xml:space="preserve">Spread to </w:t>
            </w:r>
            <w:proofErr w:type="spellStart"/>
            <w:r w:rsidRPr="00687FBF">
              <w:rPr>
                <w:rFonts w:ascii="Calibri" w:eastAsia="Times New Roman" w:hAnsi="Calibri" w:cs="Calibri"/>
                <w:sz w:val="18"/>
                <w:lang w:eastAsia="en-AU"/>
              </w:rPr>
              <w:t>Shizouka</w:t>
            </w:r>
            <w:proofErr w:type="spellEnd"/>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 xml:space="preserve">Tea connoisseurs’ concern began when radioactive </w:t>
            </w:r>
            <w:proofErr w:type="spellStart"/>
            <w:r w:rsidRPr="00687FBF">
              <w:rPr>
                <w:rFonts w:ascii="Calibri" w:eastAsia="Times New Roman" w:hAnsi="Calibri" w:cs="Calibri"/>
                <w:sz w:val="18"/>
                <w:lang w:eastAsia="en-AU"/>
              </w:rPr>
              <w:t>cesium</w:t>
            </w:r>
            <w:proofErr w:type="spellEnd"/>
            <w:r w:rsidRPr="00687FBF">
              <w:rPr>
                <w:rFonts w:ascii="Calibri" w:eastAsia="Times New Roman" w:hAnsi="Calibri" w:cs="Calibri"/>
                <w:sz w:val="18"/>
                <w:lang w:eastAsia="en-AU"/>
              </w:rPr>
              <w:t xml:space="preserve"> was detected in tea from the Shizuoka prefecture, 350 km from the Daiichi nuclear power plant. Shizuoka produces 40% of Japan’s green tea, and had initially declared its teas safe; most people thought it was far enough away to avoid the impacts of the Daiichi </w:t>
            </w:r>
            <w:proofErr w:type="spellStart"/>
            <w:r w:rsidRPr="00687FBF">
              <w:rPr>
                <w:rFonts w:ascii="Calibri" w:eastAsia="Times New Roman" w:hAnsi="Calibri" w:cs="Calibri"/>
                <w:sz w:val="18"/>
                <w:lang w:eastAsia="en-AU"/>
              </w:rPr>
              <w:t>distaster</w:t>
            </w:r>
            <w:proofErr w:type="spellEnd"/>
            <w:r w:rsidRPr="00687FBF">
              <w:rPr>
                <w:rFonts w:ascii="Calibri" w:eastAsia="Times New Roman" w:hAnsi="Calibri" w:cs="Calibri"/>
                <w:sz w:val="18"/>
                <w:lang w:eastAsia="en-AU"/>
              </w:rPr>
              <w:t xml:space="preserve">. A recall of dried tea had to be initiated after leaves from a tea factory in the city of Shizuoka measured about 179 </w:t>
            </w:r>
            <w:proofErr w:type="spellStart"/>
            <w:r w:rsidRPr="00687FBF">
              <w:rPr>
                <w:rFonts w:ascii="Calibri" w:eastAsia="Times New Roman" w:hAnsi="Calibri" w:cs="Calibri"/>
                <w:sz w:val="18"/>
                <w:lang w:eastAsia="en-AU"/>
              </w:rPr>
              <w:t>Bq</w:t>
            </w:r>
            <w:proofErr w:type="spellEnd"/>
            <w:r w:rsidRPr="00687FBF">
              <w:rPr>
                <w:rFonts w:ascii="Calibri" w:eastAsia="Times New Roman" w:hAnsi="Calibri" w:cs="Calibri"/>
                <w:sz w:val="18"/>
                <w:lang w:eastAsia="en-AU"/>
              </w:rPr>
              <w:t xml:space="preserve">/kg over the government’s limit, officials said. Although the </w:t>
            </w:r>
            <w:proofErr w:type="spellStart"/>
            <w:r w:rsidRPr="00687FBF">
              <w:rPr>
                <w:rFonts w:ascii="Calibri" w:eastAsia="Times New Roman" w:hAnsi="Calibri" w:cs="Calibri"/>
                <w:sz w:val="18"/>
                <w:lang w:eastAsia="en-AU"/>
              </w:rPr>
              <w:t>cesium</w:t>
            </w:r>
            <w:proofErr w:type="spellEnd"/>
            <w:r w:rsidRPr="00687FBF">
              <w:rPr>
                <w:rFonts w:ascii="Calibri" w:eastAsia="Times New Roman" w:hAnsi="Calibri" w:cs="Calibri"/>
                <w:sz w:val="18"/>
                <w:lang w:eastAsia="en-AU"/>
              </w:rPr>
              <w:t xml:space="preserve"> was at a level unlikely to affect human health according to Codex guidelines, Shizuoka prefecture decided to carry out sampling tests at nearly 100 other tea factories in the area. As of June 15th, five processing plants of the 20 tested thus far were asked to stop shipping tea due to </w:t>
            </w:r>
            <w:proofErr w:type="spellStart"/>
            <w:r w:rsidRPr="00687FBF">
              <w:rPr>
                <w:rFonts w:ascii="Calibri" w:eastAsia="Times New Roman" w:hAnsi="Calibri" w:cs="Calibri"/>
                <w:sz w:val="18"/>
                <w:lang w:eastAsia="en-AU"/>
              </w:rPr>
              <w:t>cesium</w:t>
            </w:r>
            <w:proofErr w:type="spellEnd"/>
            <w:r w:rsidRPr="00687FBF">
              <w:rPr>
                <w:rFonts w:ascii="Calibri" w:eastAsia="Times New Roman" w:hAnsi="Calibri" w:cs="Calibri"/>
                <w:sz w:val="18"/>
                <w:lang w:eastAsia="en-AU"/>
              </w:rPr>
              <w:t xml:space="preserve"> levels above the limit. </w:t>
            </w:r>
            <w:r w:rsidRPr="00687FBF">
              <w:rPr>
                <w:rFonts w:ascii="Calibri" w:eastAsia="Times New Roman" w:hAnsi="Calibri" w:cs="Calibri"/>
                <w:sz w:val="18"/>
                <w:lang w:eastAsia="en-AU"/>
              </w:rPr>
              <w:lastRenderedPageBreak/>
              <w:t xml:space="preserve">There have been unsubstantiated </w:t>
            </w:r>
            <w:proofErr w:type="spellStart"/>
            <w:r w:rsidRPr="00687FBF">
              <w:rPr>
                <w:rFonts w:ascii="Calibri" w:eastAsia="Times New Roman" w:hAnsi="Calibri" w:cs="Calibri"/>
                <w:sz w:val="18"/>
                <w:lang w:eastAsia="en-AU"/>
              </w:rPr>
              <w:t>rumors</w:t>
            </w:r>
            <w:proofErr w:type="spellEnd"/>
            <w:r w:rsidRPr="00687FBF">
              <w:rPr>
                <w:rFonts w:ascii="Calibri" w:eastAsia="Times New Roman" w:hAnsi="Calibri" w:cs="Calibri"/>
                <w:sz w:val="18"/>
                <w:lang w:eastAsia="en-AU"/>
              </w:rPr>
              <w:t xml:space="preserve"> that the Japanese government has tried to censor the release of </w:t>
            </w:r>
            <w:proofErr w:type="spellStart"/>
            <w:r w:rsidRPr="00687FBF">
              <w:rPr>
                <w:rFonts w:ascii="Calibri" w:eastAsia="Times New Roman" w:hAnsi="Calibri" w:cs="Calibri"/>
                <w:sz w:val="18"/>
                <w:lang w:eastAsia="en-AU"/>
              </w:rPr>
              <w:t>unfavorable</w:t>
            </w:r>
            <w:proofErr w:type="spellEnd"/>
            <w:r w:rsidRPr="00687FBF">
              <w:rPr>
                <w:rFonts w:ascii="Calibri" w:eastAsia="Times New Roman" w:hAnsi="Calibri" w:cs="Calibri"/>
                <w:sz w:val="18"/>
                <w:lang w:eastAsia="en-AU"/>
              </w:rPr>
              <w:t xml:space="preserve"> test results.</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 xml:space="preserve">On June 17th, the French press reported that Shizuoka tea with double the accepted level of </w:t>
            </w:r>
            <w:proofErr w:type="spellStart"/>
            <w:r w:rsidRPr="00687FBF">
              <w:rPr>
                <w:rFonts w:ascii="Calibri" w:eastAsia="Times New Roman" w:hAnsi="Calibri" w:cs="Calibri"/>
                <w:sz w:val="18"/>
                <w:lang w:eastAsia="en-AU"/>
              </w:rPr>
              <w:t>cesium</w:t>
            </w:r>
            <w:proofErr w:type="spellEnd"/>
            <w:r w:rsidRPr="00687FBF">
              <w:rPr>
                <w:rFonts w:ascii="Calibri" w:eastAsia="Times New Roman" w:hAnsi="Calibri" w:cs="Calibri"/>
                <w:sz w:val="18"/>
                <w:lang w:eastAsia="en-AU"/>
              </w:rPr>
              <w:t xml:space="preserve"> was intercepted in Paris. EU rules on acceptable levels of radiation are the same as Japan’s for cesium-137. The official government statement indicated the tea would be destroyed.</w:t>
            </w:r>
          </w:p>
        </w:tc>
        <w:tc>
          <w:tcPr>
            <w:tcW w:w="1836" w:type="dxa"/>
          </w:tcPr>
          <w:p w14:paraId="152F1854" w14:textId="25860BD0"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lastRenderedPageBreak/>
              <w:t>Not accepted</w:t>
            </w:r>
          </w:p>
        </w:tc>
        <w:tc>
          <w:tcPr>
            <w:tcW w:w="4118" w:type="dxa"/>
          </w:tcPr>
          <w:p w14:paraId="4AC4FF42" w14:textId="78C66B6B" w:rsidR="000369FE" w:rsidRPr="00687FBF" w:rsidRDefault="00C7572F" w:rsidP="002C6E3A">
            <w:pPr>
              <w:spacing w:beforeLines="60" w:before="144" w:afterLines="60" w:after="144"/>
              <w:rPr>
                <w:rFonts w:ascii="Calibri" w:hAnsi="Calibri" w:cs="Calibri"/>
                <w:sz w:val="18"/>
              </w:rPr>
            </w:pPr>
            <w:r w:rsidRPr="00687FBF">
              <w:rPr>
                <w:rFonts w:ascii="Calibri" w:hAnsi="Calibri" w:cs="Calibri"/>
                <w:sz w:val="18"/>
              </w:rPr>
              <w:t>Part 2</w:t>
            </w:r>
            <w:r w:rsidR="000369FE" w:rsidRPr="00687FBF">
              <w:rPr>
                <w:rFonts w:ascii="Calibri" w:hAnsi="Calibri" w:cs="Calibri"/>
                <w:sz w:val="18"/>
              </w:rPr>
              <w:t xml:space="preserve"> provides</w:t>
            </w:r>
            <w:r w:rsidRPr="00687FBF">
              <w:rPr>
                <w:rFonts w:ascii="Calibri" w:hAnsi="Calibri" w:cs="Calibri"/>
                <w:sz w:val="18"/>
              </w:rPr>
              <w:t xml:space="preserve"> detail on Transition (section 6) and Termination (Section 7</w:t>
            </w:r>
            <w:r w:rsidR="000369FE" w:rsidRPr="00687FBF">
              <w:rPr>
                <w:rFonts w:ascii="Calibri" w:hAnsi="Calibri" w:cs="Calibri"/>
                <w:sz w:val="18"/>
              </w:rPr>
              <w:t>) of</w:t>
            </w:r>
            <w:r w:rsidRPr="00687FBF">
              <w:rPr>
                <w:rFonts w:ascii="Calibri" w:hAnsi="Calibri" w:cs="Calibri"/>
                <w:sz w:val="18"/>
              </w:rPr>
              <w:t xml:space="preserve"> a nuclear or radiological emergency which</w:t>
            </w:r>
            <w:r w:rsidR="000369FE" w:rsidRPr="00687FBF">
              <w:rPr>
                <w:rFonts w:ascii="Calibri" w:hAnsi="Calibri" w:cs="Calibri"/>
                <w:sz w:val="18"/>
              </w:rPr>
              <w:t xml:space="preserve"> address</w:t>
            </w:r>
            <w:r w:rsidRPr="00687FBF">
              <w:rPr>
                <w:rFonts w:ascii="Calibri" w:hAnsi="Calibri" w:cs="Calibri"/>
                <w:sz w:val="18"/>
              </w:rPr>
              <w:t>es</w:t>
            </w:r>
            <w:r w:rsidR="000369FE" w:rsidRPr="00687FBF">
              <w:rPr>
                <w:rFonts w:ascii="Calibri" w:hAnsi="Calibri" w:cs="Calibri"/>
                <w:sz w:val="18"/>
              </w:rPr>
              <w:t xml:space="preserve"> this comment.</w:t>
            </w:r>
          </w:p>
        </w:tc>
      </w:tr>
      <w:tr w:rsidR="000369FE" w:rsidRPr="00E64147" w14:paraId="400701D0" w14:textId="77777777" w:rsidTr="002C6E3A">
        <w:tblPrEx>
          <w:tblLook w:val="04A0" w:firstRow="1" w:lastRow="0" w:firstColumn="1" w:lastColumn="0" w:noHBand="0" w:noVBand="1"/>
        </w:tblPrEx>
        <w:trPr>
          <w:trHeight w:val="2700"/>
        </w:trPr>
        <w:tc>
          <w:tcPr>
            <w:tcW w:w="561" w:type="dxa"/>
            <w:hideMark/>
          </w:tcPr>
          <w:p w14:paraId="36738A4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17</w:t>
            </w:r>
          </w:p>
        </w:tc>
        <w:tc>
          <w:tcPr>
            <w:tcW w:w="1417" w:type="dxa"/>
            <w:hideMark/>
          </w:tcPr>
          <w:p w14:paraId="098BD63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54A64E2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0B111B4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line 230</w:t>
            </w:r>
          </w:p>
        </w:tc>
        <w:tc>
          <w:tcPr>
            <w:tcW w:w="2269" w:type="dxa"/>
            <w:hideMark/>
          </w:tcPr>
          <w:p w14:paraId="2A4FC52A"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There should be more consideration given to </w:t>
            </w:r>
            <w:proofErr w:type="spellStart"/>
            <w:r w:rsidRPr="00687FBF">
              <w:rPr>
                <w:rFonts w:ascii="Calibri" w:eastAsia="Times New Roman" w:hAnsi="Calibri" w:cs="Calibri"/>
                <w:sz w:val="18"/>
                <w:lang w:eastAsia="en-AU"/>
              </w:rPr>
              <w:t>cyber attacks</w:t>
            </w:r>
            <w:proofErr w:type="spellEnd"/>
            <w:r w:rsidRPr="00687FBF">
              <w:rPr>
                <w:rFonts w:ascii="Calibri" w:eastAsia="Times New Roman" w:hAnsi="Calibri" w:cs="Calibri"/>
                <w:sz w:val="18"/>
                <w:lang w:eastAsia="en-AU"/>
              </w:rPr>
              <w:t xml:space="preserve"> on facilities and equipment; everything refers to containing and mitigating an event that occurred, not events that can re-occur.</w:t>
            </w:r>
            <w:r w:rsidRPr="00687FBF">
              <w:rPr>
                <w:rFonts w:ascii="Calibri" w:eastAsia="Times New Roman" w:hAnsi="Calibri" w:cs="Calibri"/>
                <w:sz w:val="18"/>
                <w:lang w:eastAsia="en-AU"/>
              </w:rPr>
              <w:br/>
              <w:t>The document deals with older types of causes, which triggered a one-off only event.</w:t>
            </w:r>
          </w:p>
        </w:tc>
        <w:tc>
          <w:tcPr>
            <w:tcW w:w="2406" w:type="dxa"/>
          </w:tcPr>
          <w:p w14:paraId="514B9E58"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See </w:t>
            </w:r>
            <w:proofErr w:type="spellStart"/>
            <w:r w:rsidRPr="00687FBF">
              <w:rPr>
                <w:rFonts w:ascii="Calibri" w:eastAsia="Times New Roman" w:hAnsi="Calibri" w:cs="Calibri"/>
                <w:sz w:val="18"/>
                <w:lang w:eastAsia="en-AU"/>
              </w:rPr>
              <w:t>Stuxnet</w:t>
            </w:r>
            <w:proofErr w:type="spellEnd"/>
            <w:r w:rsidRPr="00687FBF">
              <w:rPr>
                <w:rFonts w:ascii="Calibri" w:eastAsia="Times New Roman" w:hAnsi="Calibri" w:cs="Calibri"/>
                <w:sz w:val="18"/>
                <w:lang w:eastAsia="en-AU"/>
              </w:rPr>
              <w:t xml:space="preserve"> and the Iranian plant (relentless attacks):</w:t>
            </w:r>
            <w:r w:rsidRPr="00687FBF">
              <w:rPr>
                <w:rFonts w:ascii="Calibri" w:eastAsia="Times New Roman" w:hAnsi="Calibri" w:cs="Calibri"/>
                <w:sz w:val="18"/>
                <w:lang w:eastAsia="en-AU"/>
              </w:rPr>
              <w:br/>
              <w:t>http://www.abc.net.au/news/2015-10-07/four-corners-internet-of-hacked-things/7778954</w:t>
            </w:r>
          </w:p>
        </w:tc>
        <w:tc>
          <w:tcPr>
            <w:tcW w:w="1836" w:type="dxa"/>
          </w:tcPr>
          <w:p w14:paraId="5D0677C0" w14:textId="2195135B"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5C2CDC29"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resolution 6</w:t>
            </w:r>
          </w:p>
        </w:tc>
      </w:tr>
      <w:tr w:rsidR="000369FE" w:rsidRPr="00E64147" w14:paraId="36FD354E"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800"/>
        </w:trPr>
        <w:tc>
          <w:tcPr>
            <w:tcW w:w="561" w:type="dxa"/>
            <w:hideMark/>
          </w:tcPr>
          <w:p w14:paraId="67DD582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18</w:t>
            </w:r>
          </w:p>
        </w:tc>
        <w:tc>
          <w:tcPr>
            <w:tcW w:w="1417" w:type="dxa"/>
            <w:hideMark/>
          </w:tcPr>
          <w:p w14:paraId="318B0CC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3E772FB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p>
        </w:tc>
        <w:tc>
          <w:tcPr>
            <w:tcW w:w="1137" w:type="dxa"/>
            <w:hideMark/>
          </w:tcPr>
          <w:p w14:paraId="7D6EB3D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Overall</w:t>
            </w:r>
          </w:p>
        </w:tc>
        <w:tc>
          <w:tcPr>
            <w:tcW w:w="2269" w:type="dxa"/>
            <w:hideMark/>
          </w:tcPr>
          <w:p w14:paraId="1AF5D43D"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 responsibilities are also not clear – or the communication between various agencies is not defined.</w:t>
            </w:r>
            <w:r w:rsidRPr="00687FBF">
              <w:rPr>
                <w:rFonts w:ascii="Calibri" w:eastAsia="Times New Roman" w:hAnsi="Calibri" w:cs="Calibri"/>
                <w:sz w:val="18"/>
                <w:lang w:eastAsia="en-AU"/>
              </w:rPr>
              <w:br/>
              <w:t>(Table A.1 on page 29 is a good start, but not enough)</w:t>
            </w:r>
          </w:p>
        </w:tc>
        <w:tc>
          <w:tcPr>
            <w:tcW w:w="2406" w:type="dxa"/>
          </w:tcPr>
          <w:p w14:paraId="63DBE453"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 dealt with Incident response methodologies and I probably expect to see something more along the lines of ISO 20000 (ITIL) and  RASCI (responsible, accountable, support, consulted and informed) models</w:t>
            </w:r>
          </w:p>
        </w:tc>
        <w:tc>
          <w:tcPr>
            <w:tcW w:w="1836" w:type="dxa"/>
          </w:tcPr>
          <w:p w14:paraId="05D33EE4" w14:textId="77417A29"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1420522D" w14:textId="73D74429"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Outside of scope, Specific responsibilities and communication channels should be included in other plans and arrangements</w:t>
            </w:r>
            <w:r w:rsidR="00C7572F" w:rsidRPr="00687FBF">
              <w:rPr>
                <w:rFonts w:ascii="Calibri" w:hAnsi="Calibri" w:cs="Calibri"/>
                <w:sz w:val="18"/>
              </w:rPr>
              <w:t>.</w:t>
            </w:r>
          </w:p>
        </w:tc>
      </w:tr>
      <w:tr w:rsidR="000369FE" w:rsidRPr="00E64147" w14:paraId="1EE85558" w14:textId="77777777" w:rsidTr="002C6E3A">
        <w:tblPrEx>
          <w:tblLook w:val="04A0" w:firstRow="1" w:lastRow="0" w:firstColumn="1" w:lastColumn="0" w:noHBand="0" w:noVBand="1"/>
        </w:tblPrEx>
        <w:trPr>
          <w:trHeight w:val="900"/>
        </w:trPr>
        <w:tc>
          <w:tcPr>
            <w:tcW w:w="561" w:type="dxa"/>
            <w:hideMark/>
          </w:tcPr>
          <w:p w14:paraId="2AF2CA9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19</w:t>
            </w:r>
          </w:p>
        </w:tc>
        <w:tc>
          <w:tcPr>
            <w:tcW w:w="1417" w:type="dxa"/>
            <w:hideMark/>
          </w:tcPr>
          <w:p w14:paraId="3F52500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Monica Schlesinger</w:t>
            </w:r>
          </w:p>
        </w:tc>
        <w:tc>
          <w:tcPr>
            <w:tcW w:w="852" w:type="dxa"/>
            <w:hideMark/>
          </w:tcPr>
          <w:p w14:paraId="53D5FD1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p>
        </w:tc>
        <w:tc>
          <w:tcPr>
            <w:tcW w:w="1137" w:type="dxa"/>
            <w:hideMark/>
          </w:tcPr>
          <w:p w14:paraId="535AD9D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 Communication</w:t>
            </w:r>
          </w:p>
        </w:tc>
        <w:tc>
          <w:tcPr>
            <w:tcW w:w="2269" w:type="dxa"/>
            <w:hideMark/>
          </w:tcPr>
          <w:p w14:paraId="5F648E7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More guidance should be given here; in particular how to engage other stakeholders, not only the public</w:t>
            </w:r>
          </w:p>
        </w:tc>
        <w:tc>
          <w:tcPr>
            <w:tcW w:w="2406" w:type="dxa"/>
          </w:tcPr>
          <w:p w14:paraId="2FBB026A"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34586E68" w14:textId="5F72B954"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3F9053B6" w14:textId="74D8E67F"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Text </w:t>
            </w:r>
            <w:r w:rsidR="00C7572F" w:rsidRPr="00687FBF">
              <w:rPr>
                <w:rFonts w:ascii="Calibri" w:hAnsi="Calibri" w:cs="Calibri"/>
                <w:sz w:val="18"/>
              </w:rPr>
              <w:t xml:space="preserve">has been </w:t>
            </w:r>
            <w:r w:rsidRPr="00687FBF">
              <w:rPr>
                <w:rFonts w:ascii="Calibri" w:hAnsi="Calibri" w:cs="Calibri"/>
                <w:sz w:val="18"/>
              </w:rPr>
              <w:t xml:space="preserve">modified to expand </w:t>
            </w:r>
            <w:r w:rsidR="00C7572F" w:rsidRPr="00687FBF">
              <w:rPr>
                <w:rFonts w:ascii="Calibri" w:hAnsi="Calibri" w:cs="Calibri"/>
                <w:sz w:val="18"/>
              </w:rPr>
              <w:t xml:space="preserve">the </w:t>
            </w:r>
            <w:r w:rsidRPr="00687FBF">
              <w:rPr>
                <w:rFonts w:ascii="Calibri" w:hAnsi="Calibri" w:cs="Calibri"/>
                <w:sz w:val="18"/>
              </w:rPr>
              <w:t>scope to</w:t>
            </w:r>
            <w:r w:rsidR="00C7572F" w:rsidRPr="00687FBF">
              <w:rPr>
                <w:rFonts w:ascii="Calibri" w:hAnsi="Calibri" w:cs="Calibri"/>
                <w:sz w:val="18"/>
              </w:rPr>
              <w:t xml:space="preserve"> the </w:t>
            </w:r>
            <w:r w:rsidRPr="00687FBF">
              <w:rPr>
                <w:rFonts w:ascii="Calibri" w:hAnsi="Calibri" w:cs="Calibri"/>
                <w:sz w:val="18"/>
              </w:rPr>
              <w:t xml:space="preserve"> public and relevant stakeholders</w:t>
            </w:r>
          </w:p>
        </w:tc>
      </w:tr>
      <w:tr w:rsidR="000369FE" w:rsidRPr="00E64147" w14:paraId="65CACD95"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500"/>
        </w:trPr>
        <w:tc>
          <w:tcPr>
            <w:tcW w:w="561" w:type="dxa"/>
            <w:hideMark/>
          </w:tcPr>
          <w:p w14:paraId="521EDDD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20</w:t>
            </w:r>
          </w:p>
        </w:tc>
        <w:tc>
          <w:tcPr>
            <w:tcW w:w="1417" w:type="dxa"/>
            <w:hideMark/>
          </w:tcPr>
          <w:p w14:paraId="05318F4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South Australian Metropolitan Fire Service</w:t>
            </w:r>
          </w:p>
        </w:tc>
        <w:tc>
          <w:tcPr>
            <w:tcW w:w="852" w:type="dxa"/>
            <w:hideMark/>
          </w:tcPr>
          <w:p w14:paraId="59512D5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 2 &amp; 3</w:t>
            </w:r>
          </w:p>
        </w:tc>
        <w:tc>
          <w:tcPr>
            <w:tcW w:w="1137" w:type="dxa"/>
            <w:hideMark/>
          </w:tcPr>
          <w:p w14:paraId="1A44569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Phases of an Emergency Exposure Situation (Diagram)</w:t>
            </w:r>
          </w:p>
        </w:tc>
        <w:tc>
          <w:tcPr>
            <w:tcW w:w="2269" w:type="dxa"/>
            <w:hideMark/>
          </w:tcPr>
          <w:p w14:paraId="4AB9BFDB"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Training, drills and exercises for emergency response (involving the local emergency services)</w:t>
            </w:r>
          </w:p>
        </w:tc>
        <w:tc>
          <w:tcPr>
            <w:tcW w:w="2406" w:type="dxa"/>
          </w:tcPr>
          <w:p w14:paraId="530223D4"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We find that if it is not written in a Guide/Act/</w:t>
            </w:r>
            <w:proofErr w:type="spellStart"/>
            <w:r w:rsidRPr="00687FBF">
              <w:rPr>
                <w:rFonts w:ascii="Calibri" w:eastAsia="Times New Roman" w:hAnsi="Calibri" w:cs="Calibri"/>
                <w:sz w:val="18"/>
                <w:lang w:eastAsia="en-AU"/>
              </w:rPr>
              <w:t>Regs</w:t>
            </w:r>
            <w:proofErr w:type="spellEnd"/>
            <w:r w:rsidRPr="00687FBF">
              <w:rPr>
                <w:rFonts w:ascii="Calibri" w:eastAsia="Times New Roman" w:hAnsi="Calibri" w:cs="Calibri"/>
                <w:sz w:val="18"/>
                <w:lang w:eastAsia="en-AU"/>
              </w:rPr>
              <w:t xml:space="preserve"> </w:t>
            </w:r>
            <w:proofErr w:type="spellStart"/>
            <w:r w:rsidRPr="00687FBF">
              <w:rPr>
                <w:rFonts w:ascii="Calibri" w:eastAsia="Times New Roman" w:hAnsi="Calibri" w:cs="Calibri"/>
                <w:sz w:val="18"/>
                <w:lang w:eastAsia="en-AU"/>
              </w:rPr>
              <w:t>etc</w:t>
            </w:r>
            <w:proofErr w:type="spellEnd"/>
            <w:r w:rsidRPr="00687FBF">
              <w:rPr>
                <w:rFonts w:ascii="Calibri" w:eastAsia="Times New Roman" w:hAnsi="Calibri" w:cs="Calibri"/>
                <w:sz w:val="18"/>
                <w:lang w:eastAsia="en-AU"/>
              </w:rPr>
              <w:t xml:space="preserve"> to involve emergency services in the training, then we are not invited/involved. We need to be involved to improve our response, training and safety to the community.</w:t>
            </w:r>
          </w:p>
        </w:tc>
        <w:tc>
          <w:tcPr>
            <w:tcW w:w="1836" w:type="dxa"/>
          </w:tcPr>
          <w:p w14:paraId="14254BBE" w14:textId="66BFAD49"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75D775B0" w14:textId="06E737AB" w:rsidR="000369FE" w:rsidRPr="00687FBF" w:rsidRDefault="00C7572F" w:rsidP="002C6E3A">
            <w:pPr>
              <w:spacing w:beforeLines="60" w:before="144" w:afterLines="60" w:after="144"/>
              <w:rPr>
                <w:rFonts w:ascii="Calibri" w:hAnsi="Calibri" w:cs="Calibri"/>
                <w:sz w:val="18"/>
              </w:rPr>
            </w:pPr>
            <w:r w:rsidRPr="00687FBF">
              <w:rPr>
                <w:rFonts w:ascii="Calibri" w:hAnsi="Calibri" w:cs="Calibri"/>
                <w:sz w:val="18"/>
              </w:rPr>
              <w:t xml:space="preserve">This suggestion has been included to the figure </w:t>
            </w:r>
            <w:r w:rsidR="009B6E91" w:rsidRPr="00687FBF">
              <w:rPr>
                <w:rFonts w:ascii="Calibri" w:hAnsi="Calibri" w:cs="Calibri"/>
                <w:sz w:val="18"/>
              </w:rPr>
              <w:t>under ‘training, drills and exercises for emergency response. The text that has been ad</w:t>
            </w:r>
            <w:r w:rsidR="000369FE" w:rsidRPr="00687FBF">
              <w:rPr>
                <w:rFonts w:ascii="Calibri" w:hAnsi="Calibri" w:cs="Calibri"/>
                <w:sz w:val="18"/>
              </w:rPr>
              <w:t xml:space="preserve">ded </w:t>
            </w:r>
            <w:r w:rsidR="009B6E91" w:rsidRPr="00687FBF">
              <w:rPr>
                <w:rFonts w:ascii="Calibri" w:hAnsi="Calibri" w:cs="Calibri"/>
                <w:sz w:val="18"/>
              </w:rPr>
              <w:t>is ‘</w:t>
            </w:r>
            <w:r w:rsidR="000369FE" w:rsidRPr="00687FBF">
              <w:rPr>
                <w:rFonts w:ascii="Calibri" w:hAnsi="Calibri" w:cs="Calibri"/>
                <w:sz w:val="18"/>
              </w:rPr>
              <w:t>(</w:t>
            </w:r>
            <w:r w:rsidR="009B6E91" w:rsidRPr="00687FBF">
              <w:rPr>
                <w:rFonts w:ascii="Calibri" w:hAnsi="Calibri" w:cs="Calibri"/>
                <w:sz w:val="18"/>
              </w:rPr>
              <w:t>i</w:t>
            </w:r>
            <w:r w:rsidR="000369FE" w:rsidRPr="00687FBF">
              <w:rPr>
                <w:rFonts w:ascii="Calibri" w:hAnsi="Calibri" w:cs="Calibri"/>
                <w:sz w:val="18"/>
              </w:rPr>
              <w:t>nvolving fr</w:t>
            </w:r>
            <w:r w:rsidR="009B6E91" w:rsidRPr="00687FBF">
              <w:rPr>
                <w:rFonts w:ascii="Calibri" w:hAnsi="Calibri" w:cs="Calibri"/>
                <w:sz w:val="18"/>
              </w:rPr>
              <w:t>om local emergency services</w:t>
            </w:r>
            <w:r w:rsidR="000369FE" w:rsidRPr="00687FBF">
              <w:rPr>
                <w:rFonts w:ascii="Calibri" w:hAnsi="Calibri" w:cs="Calibri"/>
                <w:sz w:val="18"/>
              </w:rPr>
              <w:t>)</w:t>
            </w:r>
            <w:r w:rsidR="009B6E91" w:rsidRPr="00687FBF">
              <w:rPr>
                <w:rFonts w:ascii="Calibri" w:hAnsi="Calibri" w:cs="Calibri"/>
                <w:sz w:val="18"/>
              </w:rPr>
              <w:t>’.</w:t>
            </w:r>
          </w:p>
        </w:tc>
      </w:tr>
      <w:tr w:rsidR="000369FE" w:rsidRPr="00E64147" w14:paraId="6196CA8C" w14:textId="77777777" w:rsidTr="002C6E3A">
        <w:tblPrEx>
          <w:tblLook w:val="04A0" w:firstRow="1" w:lastRow="0" w:firstColumn="1" w:lastColumn="0" w:noHBand="0" w:noVBand="1"/>
        </w:tblPrEx>
        <w:trPr>
          <w:trHeight w:val="1500"/>
        </w:trPr>
        <w:tc>
          <w:tcPr>
            <w:tcW w:w="561" w:type="dxa"/>
            <w:hideMark/>
          </w:tcPr>
          <w:p w14:paraId="303DB5A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21</w:t>
            </w:r>
          </w:p>
        </w:tc>
        <w:tc>
          <w:tcPr>
            <w:tcW w:w="1417" w:type="dxa"/>
            <w:hideMark/>
          </w:tcPr>
          <w:p w14:paraId="4A6EB06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South Australian Metropolitan Fire Service</w:t>
            </w:r>
          </w:p>
        </w:tc>
        <w:tc>
          <w:tcPr>
            <w:tcW w:w="852" w:type="dxa"/>
            <w:hideMark/>
          </w:tcPr>
          <w:p w14:paraId="1372D02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 2 &amp; 3</w:t>
            </w:r>
          </w:p>
        </w:tc>
        <w:tc>
          <w:tcPr>
            <w:tcW w:w="1137" w:type="dxa"/>
            <w:hideMark/>
          </w:tcPr>
          <w:p w14:paraId="36A8A63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Phases of an Emergency Exposure Situation (Diagram)</w:t>
            </w:r>
          </w:p>
        </w:tc>
        <w:tc>
          <w:tcPr>
            <w:tcW w:w="2269" w:type="dxa"/>
            <w:hideMark/>
          </w:tcPr>
          <w:p w14:paraId="7EFC4B7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Declaration of the emergency - Managing radioactive waste safely and effectively in a nuclear or radiological emergency – to be removed</w:t>
            </w:r>
          </w:p>
        </w:tc>
        <w:tc>
          <w:tcPr>
            <w:tcW w:w="2406" w:type="dxa"/>
          </w:tcPr>
          <w:p w14:paraId="2FE8E243"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probably isn’t an issue during the declaration</w:t>
            </w:r>
          </w:p>
        </w:tc>
        <w:tc>
          <w:tcPr>
            <w:tcW w:w="1836" w:type="dxa"/>
          </w:tcPr>
          <w:p w14:paraId="143CF4E4"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018B8C6C"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144E100C"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70E5495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22</w:t>
            </w:r>
          </w:p>
        </w:tc>
        <w:tc>
          <w:tcPr>
            <w:tcW w:w="1417" w:type="dxa"/>
            <w:hideMark/>
          </w:tcPr>
          <w:p w14:paraId="273C0DF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South Australian Metropolitan Fire Service</w:t>
            </w:r>
          </w:p>
        </w:tc>
        <w:tc>
          <w:tcPr>
            <w:tcW w:w="852" w:type="dxa"/>
            <w:hideMark/>
          </w:tcPr>
          <w:p w14:paraId="45F0716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43B70D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3.1.25</w:t>
            </w:r>
          </w:p>
        </w:tc>
        <w:tc>
          <w:tcPr>
            <w:tcW w:w="2269" w:type="dxa"/>
            <w:hideMark/>
          </w:tcPr>
          <w:p w14:paraId="676565B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No change to the text, comment only</w:t>
            </w:r>
          </w:p>
        </w:tc>
        <w:tc>
          <w:tcPr>
            <w:tcW w:w="2406" w:type="dxa"/>
          </w:tcPr>
          <w:p w14:paraId="37FCD7E1"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The review of the hazard assessment should be given to the emergency services, just like a dangerous goods </w:t>
            </w:r>
            <w:r w:rsidRPr="00687FBF">
              <w:rPr>
                <w:rFonts w:ascii="Calibri" w:eastAsia="Times New Roman" w:hAnsi="Calibri" w:cs="Calibri"/>
                <w:sz w:val="18"/>
                <w:lang w:eastAsia="en-AU"/>
              </w:rPr>
              <w:lastRenderedPageBreak/>
              <w:t>emergency plan is now under the WHS Act.</w:t>
            </w:r>
          </w:p>
        </w:tc>
        <w:tc>
          <w:tcPr>
            <w:tcW w:w="1836" w:type="dxa"/>
          </w:tcPr>
          <w:p w14:paraId="79F2B2DE"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lastRenderedPageBreak/>
              <w:t>Noted</w:t>
            </w:r>
          </w:p>
        </w:tc>
        <w:tc>
          <w:tcPr>
            <w:tcW w:w="4118" w:type="dxa"/>
          </w:tcPr>
          <w:p w14:paraId="6EC4F092" w14:textId="5C2FE063"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Comment only, for jurisdictions to consider during implementation of the guide once published</w:t>
            </w:r>
            <w:r w:rsidR="009B6E91" w:rsidRPr="00687FBF">
              <w:rPr>
                <w:rFonts w:ascii="Calibri" w:hAnsi="Calibri" w:cs="Calibri"/>
                <w:sz w:val="18"/>
              </w:rPr>
              <w:t>.</w:t>
            </w:r>
          </w:p>
        </w:tc>
      </w:tr>
      <w:tr w:rsidR="000369FE" w:rsidRPr="00E64147" w14:paraId="23D08213" w14:textId="77777777" w:rsidTr="002C6E3A">
        <w:tblPrEx>
          <w:tblLook w:val="04A0" w:firstRow="1" w:lastRow="0" w:firstColumn="1" w:lastColumn="0" w:noHBand="0" w:noVBand="1"/>
        </w:tblPrEx>
        <w:trPr>
          <w:trHeight w:val="3300"/>
        </w:trPr>
        <w:tc>
          <w:tcPr>
            <w:tcW w:w="561" w:type="dxa"/>
            <w:hideMark/>
          </w:tcPr>
          <w:p w14:paraId="11CA4B5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23</w:t>
            </w:r>
          </w:p>
        </w:tc>
        <w:tc>
          <w:tcPr>
            <w:tcW w:w="1417" w:type="dxa"/>
            <w:hideMark/>
          </w:tcPr>
          <w:p w14:paraId="18B91E2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South Australian Metropolitan Fire Service</w:t>
            </w:r>
          </w:p>
        </w:tc>
        <w:tc>
          <w:tcPr>
            <w:tcW w:w="852" w:type="dxa"/>
            <w:hideMark/>
          </w:tcPr>
          <w:p w14:paraId="10C7687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4CFF2E9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2013</w:t>
            </w:r>
          </w:p>
        </w:tc>
        <w:tc>
          <w:tcPr>
            <w:tcW w:w="2269" w:type="dxa"/>
            <w:hideMark/>
          </w:tcPr>
          <w:p w14:paraId="74AC1C44" w14:textId="11F1F126"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b/>
                <w:bCs/>
                <w:sz w:val="18"/>
                <w:lang w:eastAsia="en-AU"/>
              </w:rPr>
              <w:t>Control definition</w:t>
            </w:r>
            <w:r w:rsidRPr="00687FBF">
              <w:rPr>
                <w:rFonts w:ascii="Calibri" w:eastAsia="Times New Roman" w:hAnsi="Calibri" w:cs="Calibri"/>
                <w:sz w:val="18"/>
                <w:lang w:eastAsia="en-AU"/>
              </w:rPr>
              <w:br/>
              <w:t>The overall direction of emergency management activities in an emergency situation. Authority for control is established in legislation or in an emergency plan and carries with it the responsibility for tasking other organisations in accordance with the needs of the situation. Control relates to situations and operates horizontally across organisations.</w:t>
            </w:r>
          </w:p>
        </w:tc>
        <w:tc>
          <w:tcPr>
            <w:tcW w:w="2406" w:type="dxa"/>
          </w:tcPr>
          <w:p w14:paraId="09C557BD"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 control definition given in the SA State Emergency Management Plan is specified in the previous column. Keep the definition you have for control and regulatory control and add this definition in for Emergency Management Control.</w:t>
            </w:r>
          </w:p>
        </w:tc>
        <w:tc>
          <w:tcPr>
            <w:tcW w:w="1836" w:type="dxa"/>
          </w:tcPr>
          <w:p w14:paraId="72C3AB06" w14:textId="2F17DF0A"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5784FC51" w14:textId="2D64E35E"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Review consistent accepted definition across Aus</w:t>
            </w:r>
            <w:r w:rsidR="009B6E91" w:rsidRPr="00687FBF">
              <w:rPr>
                <w:rFonts w:ascii="Calibri" w:hAnsi="Calibri" w:cs="Calibri"/>
                <w:sz w:val="18"/>
              </w:rPr>
              <w:t xml:space="preserve">tralia (AFAC or ICCS+ or AIIMS).                                  </w:t>
            </w:r>
            <w:r w:rsidRPr="00687FBF">
              <w:rPr>
                <w:rFonts w:ascii="Calibri" w:hAnsi="Calibri" w:cs="Calibri"/>
                <w:sz w:val="18"/>
              </w:rPr>
              <w:t>The following definition has been included in the glossary</w:t>
            </w:r>
            <w:r w:rsidR="009B6E91" w:rsidRPr="00687FBF">
              <w:rPr>
                <w:rFonts w:ascii="Calibri" w:hAnsi="Calibri" w:cs="Calibri"/>
                <w:sz w:val="18"/>
              </w:rPr>
              <w:t xml:space="preserve"> as a sub set of the definition of ‘Control’</w:t>
            </w:r>
            <w:proofErr w:type="gramStart"/>
            <w:r w:rsidRPr="00687FBF">
              <w:rPr>
                <w:rFonts w:ascii="Calibri" w:hAnsi="Calibri" w:cs="Calibri"/>
                <w:sz w:val="18"/>
              </w:rPr>
              <w:t>:</w:t>
            </w:r>
            <w:proofErr w:type="gramEnd"/>
            <w:r w:rsidRPr="00687FBF">
              <w:rPr>
                <w:rFonts w:ascii="Calibri" w:hAnsi="Calibri" w:cs="Calibri"/>
                <w:sz w:val="18"/>
              </w:rPr>
              <w:br/>
              <w:t>Emergency Management Control: The overall direction of response activities in an emergency, operating horizontally across agencies. Authority for control is established in legislation or in an emergency response plan, and carries with it the responsibility for tasking other agencies in accordance with the needs of the situation.</w:t>
            </w:r>
          </w:p>
        </w:tc>
      </w:tr>
      <w:tr w:rsidR="000369FE" w:rsidRPr="00E64147" w14:paraId="0D8F6D64"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800"/>
        </w:trPr>
        <w:tc>
          <w:tcPr>
            <w:tcW w:w="561" w:type="dxa"/>
            <w:hideMark/>
          </w:tcPr>
          <w:p w14:paraId="111AD3C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24</w:t>
            </w:r>
          </w:p>
        </w:tc>
        <w:tc>
          <w:tcPr>
            <w:tcW w:w="1417" w:type="dxa"/>
            <w:hideMark/>
          </w:tcPr>
          <w:p w14:paraId="4D3BD1C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South Australian Metropolitan Fire Service</w:t>
            </w:r>
          </w:p>
        </w:tc>
        <w:tc>
          <w:tcPr>
            <w:tcW w:w="852" w:type="dxa"/>
            <w:hideMark/>
          </w:tcPr>
          <w:p w14:paraId="0AEAF67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72FDF7C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2063, 2067, 2084 and 2237</w:t>
            </w:r>
          </w:p>
        </w:tc>
        <w:tc>
          <w:tcPr>
            <w:tcW w:w="2269" w:type="dxa"/>
            <w:hideMark/>
          </w:tcPr>
          <w:p w14:paraId="1417E1F1"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No change to the text, comment only</w:t>
            </w:r>
          </w:p>
        </w:tc>
        <w:tc>
          <w:tcPr>
            <w:tcW w:w="2406" w:type="dxa"/>
          </w:tcPr>
          <w:p w14:paraId="7343A135"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These three definitions could be further defined. Emergency Services and Response Organisation seem to cross over in their definition. It may be useful to give an example of a response organisation that is different from an emergency service.</w:t>
            </w:r>
            <w:r w:rsidRPr="00687FBF">
              <w:rPr>
                <w:rFonts w:ascii="Calibri" w:eastAsia="Times New Roman" w:hAnsi="Calibri" w:cs="Calibri"/>
                <w:sz w:val="18"/>
                <w:lang w:eastAsia="en-AU"/>
              </w:rPr>
              <w:br/>
              <w:t>Does emergency worker and first responders include emergency service workers? Or just the trained radiation workers on site?</w:t>
            </w:r>
          </w:p>
        </w:tc>
        <w:tc>
          <w:tcPr>
            <w:tcW w:w="1836" w:type="dxa"/>
          </w:tcPr>
          <w:p w14:paraId="048C531D" w14:textId="071DEB79"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165D1F88" w14:textId="53D51483"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This text has been adapted from GSR Part 7 an</w:t>
            </w:r>
            <w:r w:rsidR="009B6E91" w:rsidRPr="00687FBF">
              <w:rPr>
                <w:rFonts w:ascii="Calibri" w:hAnsi="Calibri" w:cs="Calibri"/>
                <w:sz w:val="18"/>
              </w:rPr>
              <w:t>d was approved</w:t>
            </w:r>
            <w:r w:rsidRPr="00687FBF">
              <w:rPr>
                <w:rFonts w:ascii="Calibri" w:hAnsi="Calibri" w:cs="Calibri"/>
                <w:sz w:val="18"/>
              </w:rPr>
              <w:t xml:space="preserve"> by </w:t>
            </w:r>
            <w:r w:rsidR="009B6E91" w:rsidRPr="00687FBF">
              <w:rPr>
                <w:rFonts w:ascii="Calibri" w:hAnsi="Calibri" w:cs="Calibri"/>
                <w:sz w:val="18"/>
              </w:rPr>
              <w:t xml:space="preserve">the </w:t>
            </w:r>
            <w:r w:rsidRPr="00687FBF">
              <w:rPr>
                <w:rFonts w:ascii="Calibri" w:hAnsi="Calibri" w:cs="Calibri"/>
                <w:sz w:val="18"/>
              </w:rPr>
              <w:t>R</w:t>
            </w:r>
            <w:r w:rsidR="009B6E91" w:rsidRPr="00687FBF">
              <w:rPr>
                <w:rFonts w:ascii="Calibri" w:hAnsi="Calibri" w:cs="Calibri"/>
                <w:sz w:val="18"/>
              </w:rPr>
              <w:t xml:space="preserve">adiation </w:t>
            </w:r>
            <w:r w:rsidRPr="00687FBF">
              <w:rPr>
                <w:rFonts w:ascii="Calibri" w:hAnsi="Calibri" w:cs="Calibri"/>
                <w:sz w:val="18"/>
              </w:rPr>
              <w:t>H</w:t>
            </w:r>
            <w:r w:rsidR="009B6E91" w:rsidRPr="00687FBF">
              <w:rPr>
                <w:rFonts w:ascii="Calibri" w:hAnsi="Calibri" w:cs="Calibri"/>
                <w:sz w:val="18"/>
              </w:rPr>
              <w:t xml:space="preserve">ealth </w:t>
            </w:r>
            <w:r w:rsidRPr="00687FBF">
              <w:rPr>
                <w:rFonts w:ascii="Calibri" w:hAnsi="Calibri" w:cs="Calibri"/>
                <w:sz w:val="18"/>
              </w:rPr>
              <w:t>C</w:t>
            </w:r>
            <w:r w:rsidR="009B6E91" w:rsidRPr="00687FBF">
              <w:rPr>
                <w:rFonts w:ascii="Calibri" w:hAnsi="Calibri" w:cs="Calibri"/>
                <w:sz w:val="18"/>
              </w:rPr>
              <w:t>ommittee</w:t>
            </w:r>
            <w:r w:rsidRPr="00687FBF">
              <w:rPr>
                <w:rFonts w:ascii="Calibri" w:hAnsi="Calibri" w:cs="Calibri"/>
                <w:sz w:val="18"/>
              </w:rPr>
              <w:t>. See comment resolution 65 for clarification of definitions</w:t>
            </w:r>
            <w:r w:rsidR="009B6E91" w:rsidRPr="00687FBF">
              <w:rPr>
                <w:rFonts w:ascii="Calibri" w:hAnsi="Calibri" w:cs="Calibri"/>
                <w:sz w:val="18"/>
              </w:rPr>
              <w:t>.</w:t>
            </w:r>
          </w:p>
        </w:tc>
      </w:tr>
      <w:tr w:rsidR="000369FE" w:rsidRPr="00E64147" w14:paraId="55975744" w14:textId="77777777" w:rsidTr="002C6E3A">
        <w:tblPrEx>
          <w:tblLook w:val="04A0" w:firstRow="1" w:lastRow="0" w:firstColumn="1" w:lastColumn="0" w:noHBand="0" w:noVBand="1"/>
        </w:tblPrEx>
        <w:trPr>
          <w:trHeight w:val="1361"/>
        </w:trPr>
        <w:tc>
          <w:tcPr>
            <w:tcW w:w="561" w:type="dxa"/>
            <w:hideMark/>
          </w:tcPr>
          <w:p w14:paraId="526445A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25</w:t>
            </w:r>
          </w:p>
        </w:tc>
        <w:tc>
          <w:tcPr>
            <w:tcW w:w="1417" w:type="dxa"/>
            <w:hideMark/>
          </w:tcPr>
          <w:p w14:paraId="6BD11DF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South Australian Metropolitan Fire Service</w:t>
            </w:r>
          </w:p>
        </w:tc>
        <w:tc>
          <w:tcPr>
            <w:tcW w:w="852" w:type="dxa"/>
            <w:hideMark/>
          </w:tcPr>
          <w:p w14:paraId="50766D3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6A486F2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421, 425, 442 and 595</w:t>
            </w:r>
          </w:p>
        </w:tc>
        <w:tc>
          <w:tcPr>
            <w:tcW w:w="2269" w:type="dxa"/>
            <w:hideMark/>
          </w:tcPr>
          <w:p w14:paraId="77DE2B3F"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No change to the text, comment only</w:t>
            </w:r>
          </w:p>
        </w:tc>
        <w:tc>
          <w:tcPr>
            <w:tcW w:w="2406" w:type="dxa"/>
          </w:tcPr>
          <w:p w14:paraId="212E138A"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These three definitions could be further defined. Emergency Services and Response Organisation seem to cross over in their definition. It may be useful to give an example of a response organisation that is different from an emergency service.</w:t>
            </w:r>
            <w:r w:rsidRPr="00687FBF">
              <w:rPr>
                <w:rFonts w:ascii="Calibri" w:eastAsia="Times New Roman" w:hAnsi="Calibri" w:cs="Calibri"/>
                <w:sz w:val="18"/>
                <w:lang w:eastAsia="en-AU"/>
              </w:rPr>
              <w:br/>
              <w:t>Does emergency worker and first responders include emergency service workers? Or just the trained radiation workers on site?</w:t>
            </w:r>
          </w:p>
        </w:tc>
        <w:tc>
          <w:tcPr>
            <w:tcW w:w="1836" w:type="dxa"/>
          </w:tcPr>
          <w:p w14:paraId="7FB04E26" w14:textId="0D3E5D3B"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29B310C6"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Resolution 65</w:t>
            </w:r>
          </w:p>
        </w:tc>
      </w:tr>
      <w:tr w:rsidR="000369FE" w:rsidRPr="00E64147" w14:paraId="0B404EF3"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800"/>
        </w:trPr>
        <w:tc>
          <w:tcPr>
            <w:tcW w:w="561" w:type="dxa"/>
            <w:hideMark/>
          </w:tcPr>
          <w:p w14:paraId="29FBB5A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26</w:t>
            </w:r>
          </w:p>
        </w:tc>
        <w:tc>
          <w:tcPr>
            <w:tcW w:w="1417" w:type="dxa"/>
            <w:hideMark/>
          </w:tcPr>
          <w:p w14:paraId="38749B5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South Australian Metropolitan Fire Service</w:t>
            </w:r>
          </w:p>
        </w:tc>
        <w:tc>
          <w:tcPr>
            <w:tcW w:w="852" w:type="dxa"/>
            <w:hideMark/>
          </w:tcPr>
          <w:p w14:paraId="6C79148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7C146AE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942, 946, 963 and 1119</w:t>
            </w:r>
          </w:p>
        </w:tc>
        <w:tc>
          <w:tcPr>
            <w:tcW w:w="2269" w:type="dxa"/>
            <w:hideMark/>
          </w:tcPr>
          <w:p w14:paraId="36564297"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No change to the text, comment only</w:t>
            </w:r>
          </w:p>
        </w:tc>
        <w:tc>
          <w:tcPr>
            <w:tcW w:w="2406" w:type="dxa"/>
          </w:tcPr>
          <w:p w14:paraId="26455B85"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These three definitions could be further defined. Emergency Services and Response Organisation seem to cross over in their definition. It may be useful to give an example of a response organisation that is different from an emergency service.</w:t>
            </w:r>
            <w:r w:rsidRPr="00687FBF">
              <w:rPr>
                <w:rFonts w:ascii="Calibri" w:eastAsia="Times New Roman" w:hAnsi="Calibri" w:cs="Calibri"/>
                <w:sz w:val="18"/>
                <w:lang w:eastAsia="en-AU"/>
              </w:rPr>
              <w:br/>
              <w:t>Does emergency worker and first responders include emergency service workers? Or just the trained radiation workers on site?</w:t>
            </w:r>
          </w:p>
        </w:tc>
        <w:tc>
          <w:tcPr>
            <w:tcW w:w="1836" w:type="dxa"/>
          </w:tcPr>
          <w:p w14:paraId="4DD4CDCA" w14:textId="76B1D3BD"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77E79B5E"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Resolution 65</w:t>
            </w:r>
          </w:p>
        </w:tc>
      </w:tr>
      <w:tr w:rsidR="000369FE" w:rsidRPr="00E64147" w14:paraId="6F636F79" w14:textId="77777777" w:rsidTr="002C6E3A">
        <w:tblPrEx>
          <w:tblLook w:val="04A0" w:firstRow="1" w:lastRow="0" w:firstColumn="1" w:lastColumn="0" w:noHBand="0" w:noVBand="1"/>
        </w:tblPrEx>
        <w:trPr>
          <w:trHeight w:val="1219"/>
        </w:trPr>
        <w:tc>
          <w:tcPr>
            <w:tcW w:w="561" w:type="dxa"/>
            <w:hideMark/>
          </w:tcPr>
          <w:p w14:paraId="3D21860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27</w:t>
            </w:r>
          </w:p>
        </w:tc>
        <w:tc>
          <w:tcPr>
            <w:tcW w:w="1417" w:type="dxa"/>
            <w:hideMark/>
          </w:tcPr>
          <w:p w14:paraId="4A1FE53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Western Australia Police Force</w:t>
            </w:r>
          </w:p>
        </w:tc>
        <w:tc>
          <w:tcPr>
            <w:tcW w:w="852" w:type="dxa"/>
            <w:hideMark/>
          </w:tcPr>
          <w:p w14:paraId="44A9D9B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All</w:t>
            </w:r>
          </w:p>
        </w:tc>
        <w:tc>
          <w:tcPr>
            <w:tcW w:w="1137" w:type="dxa"/>
            <w:hideMark/>
          </w:tcPr>
          <w:p w14:paraId="4312B7D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Various</w:t>
            </w:r>
          </w:p>
        </w:tc>
        <w:tc>
          <w:tcPr>
            <w:tcW w:w="2269" w:type="dxa"/>
            <w:hideMark/>
          </w:tcPr>
          <w:p w14:paraId="4023BC4D"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Change references to ‘nuclear or radiological’ to ‘radiological’</w:t>
            </w:r>
          </w:p>
        </w:tc>
        <w:tc>
          <w:tcPr>
            <w:tcW w:w="2406" w:type="dxa"/>
          </w:tcPr>
          <w:p w14:paraId="35FB9FDA" w14:textId="09BD0C6F"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The hazard is radiation release or escape, whether associated with a nuclear facility, nuclear powered vessel, satellite or other </w:t>
            </w:r>
            <w:r w:rsidRPr="00687FBF">
              <w:rPr>
                <w:rFonts w:ascii="Calibri" w:eastAsia="Times New Roman" w:hAnsi="Calibri" w:cs="Calibri"/>
                <w:sz w:val="18"/>
                <w:lang w:eastAsia="en-AU"/>
              </w:rPr>
              <w:lastRenderedPageBreak/>
              <w:t xml:space="preserve">means and regardless of intent (accidental, security incident, </w:t>
            </w:r>
            <w:proofErr w:type="spellStart"/>
            <w:r w:rsidRPr="00687FBF">
              <w:rPr>
                <w:rFonts w:ascii="Calibri" w:eastAsia="Times New Roman" w:hAnsi="Calibri" w:cs="Calibri"/>
                <w:sz w:val="18"/>
                <w:lang w:eastAsia="en-AU"/>
              </w:rPr>
              <w:t>etc</w:t>
            </w:r>
            <w:proofErr w:type="spellEnd"/>
            <w:r w:rsidRPr="00687FBF">
              <w:rPr>
                <w:rFonts w:ascii="Calibri" w:eastAsia="Times New Roman" w:hAnsi="Calibri" w:cs="Calibri"/>
                <w:sz w:val="18"/>
                <w:lang w:eastAsia="en-AU"/>
              </w:rPr>
              <w:t>).  E.g. for our hazard for NPW, the hazard is the radiation escape from the NPW and not the NPW itself.</w:t>
            </w:r>
            <w:r w:rsidRPr="00687FBF">
              <w:rPr>
                <w:rFonts w:ascii="Calibri" w:eastAsia="Times New Roman" w:hAnsi="Calibri" w:cs="Calibri"/>
                <w:sz w:val="18"/>
                <w:lang w:eastAsia="en-AU"/>
              </w:rPr>
              <w:br/>
              <w:t xml:space="preserve">The documents also specifically exclude any other type of nuclear security incident from the scope.  The documents would therefore be better to refer only to ‘radiological’ and not ‘nuclear or radiological’.  </w:t>
            </w:r>
            <w:r w:rsidRPr="00687FBF">
              <w:rPr>
                <w:rFonts w:ascii="Calibri" w:eastAsia="Times New Roman" w:hAnsi="Calibri" w:cs="Calibri"/>
                <w:sz w:val="18"/>
                <w:lang w:eastAsia="en-AU"/>
              </w:rPr>
              <w:br/>
              <w:t>Nuclear attack is an act of war, a Defence responsibility and out of scope of State arrangements.</w:t>
            </w:r>
          </w:p>
        </w:tc>
        <w:tc>
          <w:tcPr>
            <w:tcW w:w="1836" w:type="dxa"/>
          </w:tcPr>
          <w:p w14:paraId="11304BC9" w14:textId="48AA4412"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lastRenderedPageBreak/>
              <w:t>Not accepted</w:t>
            </w:r>
          </w:p>
        </w:tc>
        <w:tc>
          <w:tcPr>
            <w:tcW w:w="4118" w:type="dxa"/>
          </w:tcPr>
          <w:p w14:paraId="04D80C7B" w14:textId="2E03F035"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Point is valid when viewing </w:t>
            </w:r>
            <w:r w:rsidR="009B6E91" w:rsidRPr="00687FBF">
              <w:rPr>
                <w:rFonts w:ascii="Calibri" w:hAnsi="Calibri" w:cs="Calibri"/>
                <w:sz w:val="18"/>
              </w:rPr>
              <w:t>from Western Australian</w:t>
            </w:r>
            <w:r w:rsidRPr="00687FBF">
              <w:rPr>
                <w:rFonts w:ascii="Calibri" w:hAnsi="Calibri" w:cs="Calibri"/>
                <w:sz w:val="18"/>
              </w:rPr>
              <w:t xml:space="preserve"> specific hazards, however this guidance applies across all jurisdictions in Australia, where the national hazard assessment (Section 2</w:t>
            </w:r>
            <w:r w:rsidR="009B6E91" w:rsidRPr="00687FBF">
              <w:rPr>
                <w:rFonts w:ascii="Calibri" w:hAnsi="Calibri" w:cs="Calibri"/>
                <w:sz w:val="18"/>
              </w:rPr>
              <w:t xml:space="preserve"> of Part 1</w:t>
            </w:r>
            <w:r w:rsidRPr="00687FBF">
              <w:rPr>
                <w:rFonts w:ascii="Calibri" w:hAnsi="Calibri" w:cs="Calibri"/>
                <w:sz w:val="18"/>
              </w:rPr>
              <w:t>) has identified relevant nuclear emergencies.</w:t>
            </w:r>
            <w:r w:rsidRPr="00687FBF">
              <w:rPr>
                <w:rFonts w:ascii="Calibri" w:hAnsi="Calibri" w:cs="Calibri"/>
                <w:sz w:val="18"/>
              </w:rPr>
              <w:br/>
            </w:r>
            <w:r w:rsidRPr="00687FBF">
              <w:rPr>
                <w:rFonts w:ascii="Calibri" w:hAnsi="Calibri" w:cs="Calibri"/>
                <w:sz w:val="18"/>
              </w:rPr>
              <w:lastRenderedPageBreak/>
              <w:t>See Comment Resolution 116 where a glossary term has been added for Nuclear Material</w:t>
            </w:r>
            <w:r w:rsidR="009B6E91" w:rsidRPr="00687FBF">
              <w:rPr>
                <w:rFonts w:ascii="Calibri" w:hAnsi="Calibri" w:cs="Calibri"/>
                <w:sz w:val="18"/>
              </w:rPr>
              <w:t>.</w:t>
            </w:r>
          </w:p>
        </w:tc>
      </w:tr>
      <w:tr w:rsidR="000369FE" w:rsidRPr="00E64147" w14:paraId="71FAD32D"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928"/>
        </w:trPr>
        <w:tc>
          <w:tcPr>
            <w:tcW w:w="561" w:type="dxa"/>
            <w:hideMark/>
          </w:tcPr>
          <w:p w14:paraId="54B855E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28</w:t>
            </w:r>
          </w:p>
        </w:tc>
        <w:tc>
          <w:tcPr>
            <w:tcW w:w="1417" w:type="dxa"/>
            <w:hideMark/>
          </w:tcPr>
          <w:p w14:paraId="3EC4CDA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Western Australia Police Force</w:t>
            </w:r>
          </w:p>
        </w:tc>
        <w:tc>
          <w:tcPr>
            <w:tcW w:w="852" w:type="dxa"/>
            <w:hideMark/>
          </w:tcPr>
          <w:p w14:paraId="1F12126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All</w:t>
            </w:r>
          </w:p>
        </w:tc>
        <w:tc>
          <w:tcPr>
            <w:tcW w:w="1137" w:type="dxa"/>
            <w:hideMark/>
          </w:tcPr>
          <w:p w14:paraId="1358BCA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Various</w:t>
            </w:r>
          </w:p>
        </w:tc>
        <w:tc>
          <w:tcPr>
            <w:tcW w:w="2269" w:type="dxa"/>
            <w:hideMark/>
          </w:tcPr>
          <w:p w14:paraId="4E4943B4"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Use of the term ‘police and emergency services’ where emergency services is used in content (instead of ‘emergency services’, and removal of ‘police’ from definition for emergency service.</w:t>
            </w:r>
          </w:p>
        </w:tc>
        <w:tc>
          <w:tcPr>
            <w:tcW w:w="2406" w:type="dxa"/>
          </w:tcPr>
          <w:p w14:paraId="6BB73AB6" w14:textId="3492B8B2"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Police are specifically referred to in the documents within the definition of emergency services: “The local off-site response organisations that are generally available and that perform emergency response functions. These may include police, firefighters and rescue brigades, ambulance services and control teams for hazardous materials”.  </w:t>
            </w:r>
            <w:r w:rsidRPr="00687FBF">
              <w:rPr>
                <w:rFonts w:ascii="Calibri" w:eastAsia="Times New Roman" w:hAnsi="Calibri" w:cs="Calibri"/>
                <w:sz w:val="18"/>
                <w:lang w:eastAsia="en-AU"/>
              </w:rPr>
              <w:br/>
              <w:t xml:space="preserve">Police are not normally defined as an emergency service due to the independence of the office of constable and the definition of the agency as a force; </w:t>
            </w:r>
            <w:r w:rsidRPr="00687FBF">
              <w:rPr>
                <w:rFonts w:ascii="Calibri" w:eastAsia="Times New Roman" w:hAnsi="Calibri" w:cs="Calibri"/>
                <w:sz w:val="18"/>
                <w:lang w:eastAsia="en-AU"/>
              </w:rPr>
              <w:lastRenderedPageBreak/>
              <w:t>responding to emergencies is only part of our legislated function (primary roles relating to criminality and public order).</w:t>
            </w:r>
          </w:p>
        </w:tc>
        <w:tc>
          <w:tcPr>
            <w:tcW w:w="1836" w:type="dxa"/>
          </w:tcPr>
          <w:p w14:paraId="6F544EA7" w14:textId="00A31D8E"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lastRenderedPageBreak/>
              <w:t>Accepted with modifications</w:t>
            </w:r>
          </w:p>
        </w:tc>
        <w:tc>
          <w:tcPr>
            <w:tcW w:w="4118" w:type="dxa"/>
          </w:tcPr>
          <w:p w14:paraId="105A444C"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Resolution 65</w:t>
            </w:r>
          </w:p>
        </w:tc>
      </w:tr>
      <w:tr w:rsidR="000369FE" w:rsidRPr="00E64147" w14:paraId="7640B17E" w14:textId="77777777" w:rsidTr="002C6E3A">
        <w:tblPrEx>
          <w:tblLook w:val="04A0" w:firstRow="1" w:lastRow="0" w:firstColumn="1" w:lastColumn="0" w:noHBand="0" w:noVBand="1"/>
        </w:tblPrEx>
        <w:trPr>
          <w:trHeight w:val="900"/>
        </w:trPr>
        <w:tc>
          <w:tcPr>
            <w:tcW w:w="561" w:type="dxa"/>
            <w:hideMark/>
          </w:tcPr>
          <w:p w14:paraId="3E844EB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29</w:t>
            </w:r>
          </w:p>
        </w:tc>
        <w:tc>
          <w:tcPr>
            <w:tcW w:w="1417" w:type="dxa"/>
            <w:hideMark/>
          </w:tcPr>
          <w:p w14:paraId="74CBEB7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Western Australia Police Force</w:t>
            </w:r>
          </w:p>
        </w:tc>
        <w:tc>
          <w:tcPr>
            <w:tcW w:w="852" w:type="dxa"/>
            <w:hideMark/>
          </w:tcPr>
          <w:p w14:paraId="4E15F8A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BF1A57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595-596</w:t>
            </w:r>
          </w:p>
        </w:tc>
        <w:tc>
          <w:tcPr>
            <w:tcW w:w="2269" w:type="dxa"/>
            <w:hideMark/>
          </w:tcPr>
          <w:p w14:paraId="4064BA6A"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Delete this sentence</w:t>
            </w:r>
          </w:p>
        </w:tc>
        <w:tc>
          <w:tcPr>
            <w:tcW w:w="2406" w:type="dxa"/>
          </w:tcPr>
          <w:p w14:paraId="73505098"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sentence makes commitments regarding compensation which are believed to be out of scope for this document and are unlikely to be achievable in WA for all hazards (e.g. WANDRRA is for natural hazards and terrorist act only).</w:t>
            </w:r>
          </w:p>
        </w:tc>
        <w:tc>
          <w:tcPr>
            <w:tcW w:w="1836" w:type="dxa"/>
          </w:tcPr>
          <w:p w14:paraId="6B30BA1F" w14:textId="3AD74D25"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47612E79" w14:textId="5C1B2832"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This text has been adapted </w:t>
            </w:r>
            <w:r w:rsidR="009B6E91" w:rsidRPr="00687FBF">
              <w:rPr>
                <w:rFonts w:ascii="Calibri" w:hAnsi="Calibri" w:cs="Calibri"/>
                <w:sz w:val="18"/>
              </w:rPr>
              <w:t>from GSR Part 7 and was approved</w:t>
            </w:r>
            <w:r w:rsidRPr="00687FBF">
              <w:rPr>
                <w:rFonts w:ascii="Calibri" w:hAnsi="Calibri" w:cs="Calibri"/>
                <w:sz w:val="18"/>
              </w:rPr>
              <w:t xml:space="preserve"> by </w:t>
            </w:r>
            <w:r w:rsidR="009B6E91" w:rsidRPr="00687FBF">
              <w:rPr>
                <w:rFonts w:ascii="Calibri" w:hAnsi="Calibri" w:cs="Calibri"/>
                <w:sz w:val="18"/>
              </w:rPr>
              <w:t xml:space="preserve">the </w:t>
            </w:r>
            <w:r w:rsidRPr="00687FBF">
              <w:rPr>
                <w:rFonts w:ascii="Calibri" w:hAnsi="Calibri" w:cs="Calibri"/>
                <w:sz w:val="18"/>
              </w:rPr>
              <w:t>R</w:t>
            </w:r>
            <w:r w:rsidR="009B6E91" w:rsidRPr="00687FBF">
              <w:rPr>
                <w:rFonts w:ascii="Calibri" w:hAnsi="Calibri" w:cs="Calibri"/>
                <w:sz w:val="18"/>
              </w:rPr>
              <w:t xml:space="preserve">adiation </w:t>
            </w:r>
            <w:r w:rsidRPr="00687FBF">
              <w:rPr>
                <w:rFonts w:ascii="Calibri" w:hAnsi="Calibri" w:cs="Calibri"/>
                <w:sz w:val="18"/>
              </w:rPr>
              <w:t>H</w:t>
            </w:r>
            <w:r w:rsidR="009B6E91" w:rsidRPr="00687FBF">
              <w:rPr>
                <w:rFonts w:ascii="Calibri" w:hAnsi="Calibri" w:cs="Calibri"/>
                <w:sz w:val="18"/>
              </w:rPr>
              <w:t xml:space="preserve">ealth </w:t>
            </w:r>
            <w:r w:rsidRPr="00687FBF">
              <w:rPr>
                <w:rFonts w:ascii="Calibri" w:hAnsi="Calibri" w:cs="Calibri"/>
                <w:sz w:val="18"/>
              </w:rPr>
              <w:t>C</w:t>
            </w:r>
            <w:r w:rsidR="009B6E91" w:rsidRPr="00687FBF">
              <w:rPr>
                <w:rFonts w:ascii="Calibri" w:hAnsi="Calibri" w:cs="Calibri"/>
                <w:sz w:val="18"/>
              </w:rPr>
              <w:t>ommittee</w:t>
            </w:r>
            <w:r w:rsidRPr="00687FBF">
              <w:rPr>
                <w:rFonts w:ascii="Calibri" w:hAnsi="Calibri" w:cs="Calibri"/>
                <w:sz w:val="18"/>
              </w:rPr>
              <w:t>.</w:t>
            </w:r>
          </w:p>
        </w:tc>
      </w:tr>
      <w:tr w:rsidR="000369FE" w:rsidRPr="00E64147" w14:paraId="44BA6D4E"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100"/>
        </w:trPr>
        <w:tc>
          <w:tcPr>
            <w:tcW w:w="561" w:type="dxa"/>
            <w:hideMark/>
          </w:tcPr>
          <w:p w14:paraId="2AE6314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30</w:t>
            </w:r>
          </w:p>
        </w:tc>
        <w:tc>
          <w:tcPr>
            <w:tcW w:w="1417" w:type="dxa"/>
            <w:hideMark/>
          </w:tcPr>
          <w:p w14:paraId="5BFE1AA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Western Australia Police Force</w:t>
            </w:r>
          </w:p>
        </w:tc>
        <w:tc>
          <w:tcPr>
            <w:tcW w:w="852" w:type="dxa"/>
            <w:hideMark/>
          </w:tcPr>
          <w:p w14:paraId="3E50938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438008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1136-1145</w:t>
            </w:r>
          </w:p>
        </w:tc>
        <w:tc>
          <w:tcPr>
            <w:tcW w:w="2269" w:type="dxa"/>
            <w:hideMark/>
          </w:tcPr>
          <w:p w14:paraId="6379F3A4"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Change ‘should’ to ‘may’ or clarify that this refers to fixed facilities.</w:t>
            </w:r>
          </w:p>
        </w:tc>
        <w:tc>
          <w:tcPr>
            <w:tcW w:w="2406" w:type="dxa"/>
          </w:tcPr>
          <w:p w14:paraId="5884D349" w14:textId="7BC44B3E"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This section refers to public information being provided to permanent population and transient and special groups and special facilities in the emergency planning zones/distances of any ‘category </w:t>
            </w:r>
            <w:proofErr w:type="spellStart"/>
            <w:r w:rsidRPr="00687FBF">
              <w:rPr>
                <w:rFonts w:ascii="Calibri" w:eastAsia="Times New Roman" w:hAnsi="Calibri" w:cs="Calibri"/>
                <w:sz w:val="18"/>
                <w:lang w:eastAsia="en-AU"/>
              </w:rPr>
              <w:t>i</w:t>
            </w:r>
            <w:proofErr w:type="spellEnd"/>
            <w:r w:rsidRPr="00687FBF">
              <w:rPr>
                <w:rFonts w:ascii="Calibri" w:eastAsia="Times New Roman" w:hAnsi="Calibri" w:cs="Calibri"/>
                <w:sz w:val="18"/>
                <w:lang w:eastAsia="en-AU"/>
              </w:rPr>
              <w:t xml:space="preserve"> or ii facilities’ to be informed about the potential for a radiological emergency prior to any emergency occurring. </w:t>
            </w:r>
            <w:r w:rsidRPr="00687FBF">
              <w:rPr>
                <w:rFonts w:ascii="Calibri" w:eastAsia="Times New Roman" w:hAnsi="Calibri" w:cs="Calibri"/>
                <w:sz w:val="18"/>
                <w:lang w:eastAsia="en-AU"/>
              </w:rPr>
              <w:br/>
              <w:t xml:space="preserve">It is believed that the locations for NPW visits would be included in category ii but public </w:t>
            </w:r>
            <w:r w:rsidRPr="00687FBF">
              <w:rPr>
                <w:rFonts w:ascii="Calibri" w:eastAsia="Times New Roman" w:hAnsi="Calibri" w:cs="Calibri"/>
                <w:sz w:val="18"/>
                <w:lang w:eastAsia="en-AU"/>
              </w:rPr>
              <w:lastRenderedPageBreak/>
              <w:t>notification is risk based and situation specific.</w:t>
            </w:r>
          </w:p>
        </w:tc>
        <w:tc>
          <w:tcPr>
            <w:tcW w:w="1836" w:type="dxa"/>
          </w:tcPr>
          <w:p w14:paraId="7AAA8942" w14:textId="466F18E8"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lastRenderedPageBreak/>
              <w:t>Not accepted</w:t>
            </w:r>
          </w:p>
        </w:tc>
        <w:tc>
          <w:tcPr>
            <w:tcW w:w="4118" w:type="dxa"/>
          </w:tcPr>
          <w:p w14:paraId="7B609ED6" w14:textId="0D67ABC2"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This text has been adapted from GSR Part</w:t>
            </w:r>
            <w:r w:rsidR="009B6E91" w:rsidRPr="00687FBF">
              <w:rPr>
                <w:rFonts w:ascii="Calibri" w:hAnsi="Calibri" w:cs="Calibri"/>
                <w:sz w:val="18"/>
              </w:rPr>
              <w:t xml:space="preserve"> 7 and was approved</w:t>
            </w:r>
            <w:r w:rsidRPr="00687FBF">
              <w:rPr>
                <w:rFonts w:ascii="Calibri" w:hAnsi="Calibri" w:cs="Calibri"/>
                <w:sz w:val="18"/>
              </w:rPr>
              <w:t xml:space="preserve"> by </w:t>
            </w:r>
            <w:r w:rsidR="009B6E91" w:rsidRPr="00687FBF">
              <w:rPr>
                <w:rFonts w:ascii="Calibri" w:hAnsi="Calibri" w:cs="Calibri"/>
                <w:sz w:val="18"/>
              </w:rPr>
              <w:t xml:space="preserve">the </w:t>
            </w:r>
            <w:r w:rsidRPr="00687FBF">
              <w:rPr>
                <w:rFonts w:ascii="Calibri" w:hAnsi="Calibri" w:cs="Calibri"/>
                <w:sz w:val="18"/>
              </w:rPr>
              <w:t>R</w:t>
            </w:r>
            <w:r w:rsidR="009B6E91" w:rsidRPr="00687FBF">
              <w:rPr>
                <w:rFonts w:ascii="Calibri" w:hAnsi="Calibri" w:cs="Calibri"/>
                <w:sz w:val="18"/>
              </w:rPr>
              <w:t xml:space="preserve">adiation </w:t>
            </w:r>
            <w:r w:rsidRPr="00687FBF">
              <w:rPr>
                <w:rFonts w:ascii="Calibri" w:hAnsi="Calibri" w:cs="Calibri"/>
                <w:sz w:val="18"/>
              </w:rPr>
              <w:t>H</w:t>
            </w:r>
            <w:r w:rsidR="009B6E91" w:rsidRPr="00687FBF">
              <w:rPr>
                <w:rFonts w:ascii="Calibri" w:hAnsi="Calibri" w:cs="Calibri"/>
                <w:sz w:val="18"/>
              </w:rPr>
              <w:t xml:space="preserve">ealth </w:t>
            </w:r>
            <w:r w:rsidRPr="00687FBF">
              <w:rPr>
                <w:rFonts w:ascii="Calibri" w:hAnsi="Calibri" w:cs="Calibri"/>
                <w:sz w:val="18"/>
              </w:rPr>
              <w:t>C</w:t>
            </w:r>
            <w:r w:rsidR="009B6E91" w:rsidRPr="00687FBF">
              <w:rPr>
                <w:rFonts w:ascii="Calibri" w:hAnsi="Calibri" w:cs="Calibri"/>
                <w:sz w:val="18"/>
              </w:rPr>
              <w:t>ommittee</w:t>
            </w:r>
            <w:r w:rsidRPr="00687FBF">
              <w:rPr>
                <w:rFonts w:ascii="Calibri" w:hAnsi="Calibri" w:cs="Calibri"/>
                <w:sz w:val="18"/>
              </w:rPr>
              <w:t>. The term 'should' is a word that implies 'may'.</w:t>
            </w:r>
          </w:p>
        </w:tc>
      </w:tr>
      <w:tr w:rsidR="000369FE" w:rsidRPr="00E64147" w14:paraId="1A9C566A" w14:textId="77777777" w:rsidTr="002C6E3A">
        <w:tblPrEx>
          <w:tblLook w:val="04A0" w:firstRow="1" w:lastRow="0" w:firstColumn="1" w:lastColumn="0" w:noHBand="0" w:noVBand="1"/>
        </w:tblPrEx>
        <w:trPr>
          <w:trHeight w:val="2100"/>
        </w:trPr>
        <w:tc>
          <w:tcPr>
            <w:tcW w:w="561" w:type="dxa"/>
            <w:hideMark/>
          </w:tcPr>
          <w:p w14:paraId="3F00230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31</w:t>
            </w:r>
          </w:p>
        </w:tc>
        <w:tc>
          <w:tcPr>
            <w:tcW w:w="1417" w:type="dxa"/>
            <w:hideMark/>
          </w:tcPr>
          <w:p w14:paraId="034C874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Western Australia Police Force</w:t>
            </w:r>
          </w:p>
        </w:tc>
        <w:tc>
          <w:tcPr>
            <w:tcW w:w="852" w:type="dxa"/>
            <w:hideMark/>
          </w:tcPr>
          <w:p w14:paraId="29EE906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4027731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1549-1567</w:t>
            </w:r>
          </w:p>
        </w:tc>
        <w:tc>
          <w:tcPr>
            <w:tcW w:w="2269" w:type="dxa"/>
            <w:hideMark/>
          </w:tcPr>
          <w:p w14:paraId="447689B3"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Addition of ‘as far as is practicable’ and change ‘qualified’ to ‘trained’.</w:t>
            </w:r>
          </w:p>
        </w:tc>
        <w:tc>
          <w:tcPr>
            <w:tcW w:w="2406" w:type="dxa"/>
          </w:tcPr>
          <w:p w14:paraId="128D8427" w14:textId="34878DC6"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References to training here and elsewhere in the documents refer to ‘qualified’ personnel, ‘appropriate or sufficient’ numbers and requiring assessments for fitness (initial and continuing). </w:t>
            </w:r>
            <w:r w:rsidRPr="00687FBF">
              <w:rPr>
                <w:rFonts w:ascii="Calibri" w:eastAsia="Times New Roman" w:hAnsi="Calibri" w:cs="Calibri"/>
                <w:sz w:val="18"/>
                <w:lang w:eastAsia="en-AU"/>
              </w:rPr>
              <w:br/>
              <w:t xml:space="preserve">The extent to which this applies to Police (and others, e.g. Radiation Health), in terms of requiring a formal qualification and assessment rather than in house training or deployment experience (and also for specialist skills/wearing radiation suits with breathing apparatus, </w:t>
            </w:r>
            <w:proofErr w:type="spellStart"/>
            <w:r w:rsidRPr="00687FBF">
              <w:rPr>
                <w:rFonts w:ascii="Calibri" w:eastAsia="Times New Roman" w:hAnsi="Calibri" w:cs="Calibri"/>
                <w:sz w:val="18"/>
                <w:lang w:eastAsia="en-AU"/>
              </w:rPr>
              <w:t>etc</w:t>
            </w:r>
            <w:proofErr w:type="spellEnd"/>
            <w:r w:rsidRPr="00687FBF">
              <w:rPr>
                <w:rFonts w:ascii="Calibri" w:eastAsia="Times New Roman" w:hAnsi="Calibri" w:cs="Calibri"/>
                <w:sz w:val="18"/>
                <w:lang w:eastAsia="en-AU"/>
              </w:rPr>
              <w:t>) is unclear and could be of concern.</w:t>
            </w:r>
          </w:p>
        </w:tc>
        <w:tc>
          <w:tcPr>
            <w:tcW w:w="1836" w:type="dxa"/>
          </w:tcPr>
          <w:p w14:paraId="5A1383C3" w14:textId="4456D0DE"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39B2C780" w14:textId="7AE07388"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This text has been adapted from GSR Part 7 a</w:t>
            </w:r>
            <w:r w:rsidR="009B6E91" w:rsidRPr="00687FBF">
              <w:rPr>
                <w:rFonts w:ascii="Calibri" w:hAnsi="Calibri" w:cs="Calibri"/>
                <w:sz w:val="18"/>
              </w:rPr>
              <w:t>nd was approved</w:t>
            </w:r>
            <w:r w:rsidRPr="00687FBF">
              <w:rPr>
                <w:rFonts w:ascii="Calibri" w:hAnsi="Calibri" w:cs="Calibri"/>
                <w:sz w:val="18"/>
              </w:rPr>
              <w:t xml:space="preserve"> by </w:t>
            </w:r>
            <w:r w:rsidR="009B6E91" w:rsidRPr="00687FBF">
              <w:rPr>
                <w:rFonts w:ascii="Calibri" w:hAnsi="Calibri" w:cs="Calibri"/>
                <w:sz w:val="18"/>
              </w:rPr>
              <w:t xml:space="preserve">the </w:t>
            </w:r>
            <w:r w:rsidRPr="00687FBF">
              <w:rPr>
                <w:rFonts w:ascii="Calibri" w:hAnsi="Calibri" w:cs="Calibri"/>
                <w:sz w:val="18"/>
              </w:rPr>
              <w:t>R</w:t>
            </w:r>
            <w:r w:rsidR="009B6E91" w:rsidRPr="00687FBF">
              <w:rPr>
                <w:rFonts w:ascii="Calibri" w:hAnsi="Calibri" w:cs="Calibri"/>
                <w:sz w:val="18"/>
              </w:rPr>
              <w:t xml:space="preserve">adiation </w:t>
            </w:r>
            <w:r w:rsidRPr="00687FBF">
              <w:rPr>
                <w:rFonts w:ascii="Calibri" w:hAnsi="Calibri" w:cs="Calibri"/>
                <w:sz w:val="18"/>
              </w:rPr>
              <w:t>H</w:t>
            </w:r>
            <w:r w:rsidR="009B6E91" w:rsidRPr="00687FBF">
              <w:rPr>
                <w:rFonts w:ascii="Calibri" w:hAnsi="Calibri" w:cs="Calibri"/>
                <w:sz w:val="18"/>
              </w:rPr>
              <w:t xml:space="preserve">ealth </w:t>
            </w:r>
            <w:r w:rsidRPr="00687FBF">
              <w:rPr>
                <w:rFonts w:ascii="Calibri" w:hAnsi="Calibri" w:cs="Calibri"/>
                <w:sz w:val="18"/>
              </w:rPr>
              <w:t>C</w:t>
            </w:r>
            <w:r w:rsidR="009B6E91" w:rsidRPr="00687FBF">
              <w:rPr>
                <w:rFonts w:ascii="Calibri" w:hAnsi="Calibri" w:cs="Calibri"/>
                <w:sz w:val="18"/>
              </w:rPr>
              <w:t>ommittee</w:t>
            </w:r>
            <w:r w:rsidRPr="00687FBF">
              <w:rPr>
                <w:rFonts w:ascii="Calibri" w:hAnsi="Calibri" w:cs="Calibri"/>
                <w:sz w:val="18"/>
              </w:rPr>
              <w:t>.</w:t>
            </w:r>
            <w:r w:rsidR="00A63727" w:rsidRPr="00687FBF">
              <w:rPr>
                <w:rFonts w:ascii="Calibri" w:hAnsi="Calibri" w:cs="Calibri"/>
                <w:sz w:val="18"/>
              </w:rPr>
              <w:t xml:space="preserve"> It should be noted that guidance on training, drills and exercise has been strengthened throughout Part 2.</w:t>
            </w:r>
          </w:p>
        </w:tc>
      </w:tr>
      <w:tr w:rsidR="000369FE" w:rsidRPr="00E64147" w14:paraId="2748EE1C"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400"/>
        </w:trPr>
        <w:tc>
          <w:tcPr>
            <w:tcW w:w="561" w:type="dxa"/>
            <w:hideMark/>
          </w:tcPr>
          <w:p w14:paraId="7AABDCF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32</w:t>
            </w:r>
          </w:p>
        </w:tc>
        <w:tc>
          <w:tcPr>
            <w:tcW w:w="1417" w:type="dxa"/>
            <w:hideMark/>
          </w:tcPr>
          <w:p w14:paraId="2E492CB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Western Australia Police Force</w:t>
            </w:r>
          </w:p>
        </w:tc>
        <w:tc>
          <w:tcPr>
            <w:tcW w:w="852" w:type="dxa"/>
            <w:hideMark/>
          </w:tcPr>
          <w:p w14:paraId="4844ACC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0DA4979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Various (81 and other locations)</w:t>
            </w:r>
          </w:p>
        </w:tc>
        <w:tc>
          <w:tcPr>
            <w:tcW w:w="2269" w:type="dxa"/>
            <w:hideMark/>
          </w:tcPr>
          <w:p w14:paraId="7E588B7D"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Recommend that references to ‘declaration of emergency’ are changed to ‘determined to be an emergency’ or other more neutral phrase.</w:t>
            </w:r>
          </w:p>
        </w:tc>
        <w:tc>
          <w:tcPr>
            <w:tcW w:w="2406" w:type="dxa"/>
          </w:tcPr>
          <w:p w14:paraId="25EC427B" w14:textId="4F56AF55"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line (and a number of figures in the documents) refer to ‘the declaration of an emergency’ as occurring at any activation of response arrangements for a radiation escape; however, the legislated framework in WA requires the use of Part 6 powers of the EM Act to be needed before any declaration of an emergency situation or state of emergency.  At policy level, there is now an agreement in WA that a determination of a level 2 incident may be taken as meaning an incident is an emergency (i.e. EM framework arrangements are applicable).</w:t>
            </w:r>
          </w:p>
        </w:tc>
        <w:tc>
          <w:tcPr>
            <w:tcW w:w="1836" w:type="dxa"/>
          </w:tcPr>
          <w:p w14:paraId="73BF3D20" w14:textId="44277668"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0A98E9AB" w14:textId="7F88F172"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This text has been adapted from GSR Part 7 and was </w:t>
            </w:r>
            <w:r w:rsidR="009B6E91" w:rsidRPr="00687FBF">
              <w:rPr>
                <w:rFonts w:ascii="Calibri" w:hAnsi="Calibri" w:cs="Calibri"/>
                <w:sz w:val="18"/>
              </w:rPr>
              <w:t>approved by the Radiation Health Committee</w:t>
            </w:r>
            <w:r w:rsidRPr="00687FBF">
              <w:rPr>
                <w:rFonts w:ascii="Calibri" w:hAnsi="Calibri" w:cs="Calibri"/>
                <w:sz w:val="18"/>
              </w:rPr>
              <w:t>.</w:t>
            </w:r>
            <w:r w:rsidRPr="00687FBF">
              <w:rPr>
                <w:rFonts w:ascii="Calibri" w:hAnsi="Calibri" w:cs="Calibri"/>
                <w:sz w:val="18"/>
              </w:rPr>
              <w:br/>
              <w:t xml:space="preserve">This guidance applies across </w:t>
            </w:r>
            <w:r w:rsidR="00A63727" w:rsidRPr="00687FBF">
              <w:rPr>
                <w:rFonts w:ascii="Calibri" w:hAnsi="Calibri" w:cs="Calibri"/>
                <w:sz w:val="18"/>
              </w:rPr>
              <w:t xml:space="preserve">all </w:t>
            </w:r>
            <w:r w:rsidRPr="00687FBF">
              <w:rPr>
                <w:rFonts w:ascii="Calibri" w:hAnsi="Calibri" w:cs="Calibri"/>
                <w:sz w:val="18"/>
              </w:rPr>
              <w:t>jurisdictions in Australia</w:t>
            </w:r>
            <w:r w:rsidR="00A63727" w:rsidRPr="00687FBF">
              <w:rPr>
                <w:rFonts w:ascii="Calibri" w:hAnsi="Calibri" w:cs="Calibri"/>
                <w:sz w:val="18"/>
              </w:rPr>
              <w:t xml:space="preserve"> and should be adjusted as required</w:t>
            </w:r>
            <w:r w:rsidR="00886397" w:rsidRPr="00687FBF">
              <w:rPr>
                <w:rFonts w:ascii="Calibri" w:hAnsi="Calibri" w:cs="Calibri"/>
                <w:sz w:val="18"/>
              </w:rPr>
              <w:t xml:space="preserve"> when defining an emergency</w:t>
            </w:r>
            <w:r w:rsidR="00A63727" w:rsidRPr="00687FBF">
              <w:rPr>
                <w:rFonts w:ascii="Calibri" w:hAnsi="Calibri" w:cs="Calibri"/>
                <w:sz w:val="18"/>
              </w:rPr>
              <w:t>.</w:t>
            </w:r>
          </w:p>
        </w:tc>
      </w:tr>
      <w:tr w:rsidR="000369FE" w:rsidRPr="00E64147" w14:paraId="4679BCD3" w14:textId="77777777" w:rsidTr="002C6E3A">
        <w:tblPrEx>
          <w:tblLook w:val="04A0" w:firstRow="1" w:lastRow="0" w:firstColumn="1" w:lastColumn="0" w:noHBand="0" w:noVBand="1"/>
        </w:tblPrEx>
        <w:trPr>
          <w:trHeight w:val="652"/>
        </w:trPr>
        <w:tc>
          <w:tcPr>
            <w:tcW w:w="561" w:type="dxa"/>
            <w:hideMark/>
          </w:tcPr>
          <w:p w14:paraId="33E3695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33</w:t>
            </w:r>
          </w:p>
        </w:tc>
        <w:tc>
          <w:tcPr>
            <w:tcW w:w="1417" w:type="dxa"/>
            <w:hideMark/>
          </w:tcPr>
          <w:p w14:paraId="364DC95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Western Australia Police Force</w:t>
            </w:r>
          </w:p>
        </w:tc>
        <w:tc>
          <w:tcPr>
            <w:tcW w:w="852" w:type="dxa"/>
            <w:hideMark/>
          </w:tcPr>
          <w:p w14:paraId="6130C23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26970AF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179 &amp; figure 3.1</w:t>
            </w:r>
          </w:p>
        </w:tc>
        <w:tc>
          <w:tcPr>
            <w:tcW w:w="2269" w:type="dxa"/>
            <w:hideMark/>
          </w:tcPr>
          <w:p w14:paraId="0B8BDFC0"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Recommend that references to ‘declaration of emergency’ are changed to ‘determined to be an emergency’ or other more neutral phrase.</w:t>
            </w:r>
          </w:p>
        </w:tc>
        <w:tc>
          <w:tcPr>
            <w:tcW w:w="2406" w:type="dxa"/>
          </w:tcPr>
          <w:p w14:paraId="10138991" w14:textId="4B9137E1"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This line (and a number of figures in the documents) refer to ‘the declaration of an emergency’ as occurring at any activation of response arrangements for a radiation escape; however, the legislated framework in WA requires the use of Part 6 powers of the EM Act to be needed before any declaration of an emergency situation or state of emergency.  At policy level, there is now an agreement in </w:t>
            </w:r>
            <w:r w:rsidRPr="00687FBF">
              <w:rPr>
                <w:rFonts w:ascii="Calibri" w:eastAsia="Times New Roman" w:hAnsi="Calibri" w:cs="Calibri"/>
                <w:sz w:val="18"/>
                <w:lang w:eastAsia="en-AU"/>
              </w:rPr>
              <w:lastRenderedPageBreak/>
              <w:t>WA that a determination of a level 2 incident may be taken as meaning an incident is an emergency (i.e. EM framework arrangements are applicable).</w:t>
            </w:r>
          </w:p>
        </w:tc>
        <w:tc>
          <w:tcPr>
            <w:tcW w:w="1836" w:type="dxa"/>
          </w:tcPr>
          <w:p w14:paraId="589137B9" w14:textId="5EB2FFE9"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lastRenderedPageBreak/>
              <w:t>Not accepted</w:t>
            </w:r>
          </w:p>
        </w:tc>
        <w:tc>
          <w:tcPr>
            <w:tcW w:w="4118" w:type="dxa"/>
          </w:tcPr>
          <w:p w14:paraId="561388F3" w14:textId="5FCB7324"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Resolution 32</w:t>
            </w:r>
            <w:r w:rsidR="009B6E91" w:rsidRPr="00687FBF">
              <w:rPr>
                <w:rFonts w:ascii="Calibri" w:hAnsi="Calibri" w:cs="Calibri"/>
                <w:sz w:val="18"/>
              </w:rPr>
              <w:t>.</w:t>
            </w:r>
          </w:p>
        </w:tc>
      </w:tr>
      <w:tr w:rsidR="000369FE" w:rsidRPr="00E64147" w14:paraId="3BFD2D49"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100"/>
        </w:trPr>
        <w:tc>
          <w:tcPr>
            <w:tcW w:w="561" w:type="dxa"/>
            <w:hideMark/>
          </w:tcPr>
          <w:p w14:paraId="474DCFB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34</w:t>
            </w:r>
          </w:p>
        </w:tc>
        <w:tc>
          <w:tcPr>
            <w:tcW w:w="1417" w:type="dxa"/>
            <w:hideMark/>
          </w:tcPr>
          <w:p w14:paraId="0F27140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Western Australia Police Force</w:t>
            </w:r>
          </w:p>
        </w:tc>
        <w:tc>
          <w:tcPr>
            <w:tcW w:w="852" w:type="dxa"/>
            <w:hideMark/>
          </w:tcPr>
          <w:p w14:paraId="6938E56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46C5807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814-820 &amp; table A5</w:t>
            </w:r>
          </w:p>
        </w:tc>
        <w:tc>
          <w:tcPr>
            <w:tcW w:w="2269" w:type="dxa"/>
            <w:hideMark/>
          </w:tcPr>
          <w:p w14:paraId="21DE9CEB" w14:textId="1D199113"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 table needs to be revisited to reflect what is feasible for Australia, particularly in consideration of more regional areas of WA.</w:t>
            </w:r>
          </w:p>
        </w:tc>
        <w:tc>
          <w:tcPr>
            <w:tcW w:w="2406" w:type="dxa"/>
          </w:tcPr>
          <w:p w14:paraId="7436999E"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This appendix and table are based on USA capabilities (with this reference repeated in 2 places in the section).  </w:t>
            </w:r>
            <w:r w:rsidRPr="00687FBF">
              <w:rPr>
                <w:rFonts w:ascii="Calibri" w:eastAsia="Times New Roman" w:hAnsi="Calibri" w:cs="Calibri"/>
                <w:sz w:val="18"/>
                <w:lang w:eastAsia="en-AU"/>
              </w:rPr>
              <w:br/>
              <w:t>Whilst these timeframes might be feasible in the context of established facilities or locations of planned NPW visits, in the context of a SPRED emergency or air/traffic crash leading to radiation escape in a remote area this is less likely (e.g. establishing an incident command post and establishing environmental monitoring on scene in less than an hour).</w:t>
            </w:r>
          </w:p>
        </w:tc>
        <w:tc>
          <w:tcPr>
            <w:tcW w:w="1836" w:type="dxa"/>
          </w:tcPr>
          <w:p w14:paraId="6DB02FB7" w14:textId="0F276261"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1B238049" w14:textId="1F1B5F13"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SPRED is an EPC IV and </w:t>
            </w:r>
            <w:r w:rsidR="00A63727" w:rsidRPr="00687FBF">
              <w:rPr>
                <w:rFonts w:ascii="Calibri" w:hAnsi="Calibri" w:cs="Calibri"/>
                <w:sz w:val="18"/>
              </w:rPr>
              <w:t xml:space="preserve">is </w:t>
            </w:r>
            <w:r w:rsidRPr="00687FBF">
              <w:rPr>
                <w:rFonts w:ascii="Calibri" w:hAnsi="Calibri" w:cs="Calibri"/>
                <w:sz w:val="18"/>
              </w:rPr>
              <w:t>therefore not expected to be covered under the same R</w:t>
            </w:r>
            <w:r w:rsidR="001D18DC" w:rsidRPr="00687FBF">
              <w:rPr>
                <w:rFonts w:ascii="Calibri" w:hAnsi="Calibri" w:cs="Calibri"/>
                <w:sz w:val="18"/>
              </w:rPr>
              <w:t xml:space="preserve">esponse </w:t>
            </w:r>
            <w:r w:rsidRPr="00687FBF">
              <w:rPr>
                <w:rFonts w:ascii="Calibri" w:hAnsi="Calibri" w:cs="Calibri"/>
                <w:sz w:val="18"/>
              </w:rPr>
              <w:t>T</w:t>
            </w:r>
            <w:r w:rsidR="001D18DC" w:rsidRPr="00687FBF">
              <w:rPr>
                <w:rFonts w:ascii="Calibri" w:hAnsi="Calibri" w:cs="Calibri"/>
                <w:sz w:val="18"/>
              </w:rPr>
              <w:t xml:space="preserve">ime </w:t>
            </w:r>
            <w:r w:rsidRPr="00687FBF">
              <w:rPr>
                <w:rFonts w:ascii="Calibri" w:hAnsi="Calibri" w:cs="Calibri"/>
                <w:sz w:val="18"/>
              </w:rPr>
              <w:t>O</w:t>
            </w:r>
            <w:r w:rsidR="001D18DC" w:rsidRPr="00687FBF">
              <w:rPr>
                <w:rFonts w:ascii="Calibri" w:hAnsi="Calibri" w:cs="Calibri"/>
                <w:sz w:val="18"/>
              </w:rPr>
              <w:t>bjective</w:t>
            </w:r>
            <w:r w:rsidR="00886397" w:rsidRPr="00687FBF">
              <w:rPr>
                <w:rFonts w:ascii="Calibri" w:hAnsi="Calibri" w:cs="Calibri"/>
                <w:sz w:val="18"/>
              </w:rPr>
              <w:t>. This has been clarified in the text.</w:t>
            </w:r>
          </w:p>
        </w:tc>
      </w:tr>
      <w:tr w:rsidR="000369FE" w:rsidRPr="00E64147" w14:paraId="754B9396" w14:textId="77777777" w:rsidTr="002C6E3A">
        <w:tblPrEx>
          <w:tblLook w:val="04A0" w:firstRow="1" w:lastRow="0" w:firstColumn="1" w:lastColumn="0" w:noHBand="0" w:noVBand="1"/>
        </w:tblPrEx>
        <w:trPr>
          <w:trHeight w:val="900"/>
        </w:trPr>
        <w:tc>
          <w:tcPr>
            <w:tcW w:w="561" w:type="dxa"/>
            <w:hideMark/>
          </w:tcPr>
          <w:p w14:paraId="7ABF2F4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35</w:t>
            </w:r>
          </w:p>
        </w:tc>
        <w:tc>
          <w:tcPr>
            <w:tcW w:w="1417" w:type="dxa"/>
            <w:hideMark/>
          </w:tcPr>
          <w:p w14:paraId="13855D8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Western Australia Police Force</w:t>
            </w:r>
          </w:p>
        </w:tc>
        <w:tc>
          <w:tcPr>
            <w:tcW w:w="852" w:type="dxa"/>
            <w:hideMark/>
          </w:tcPr>
          <w:p w14:paraId="7E6200C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10C57C8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Appendices</w:t>
            </w:r>
          </w:p>
        </w:tc>
        <w:tc>
          <w:tcPr>
            <w:tcW w:w="2269" w:type="dxa"/>
            <w:hideMark/>
          </w:tcPr>
          <w:p w14:paraId="03465E5F"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Change ‘incident’ and ‘accident’ to ‘emergency’ for consistency or define the other terms to clarify difference intended.</w:t>
            </w:r>
          </w:p>
        </w:tc>
        <w:tc>
          <w:tcPr>
            <w:tcW w:w="2406" w:type="dxa"/>
          </w:tcPr>
          <w:p w14:paraId="3D9F1F81"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Use of ‘incident’ and ‘accident’ in labels for figures, whereas the rest of the documents refer to ‘emergencies.</w:t>
            </w:r>
          </w:p>
        </w:tc>
        <w:tc>
          <w:tcPr>
            <w:tcW w:w="1836" w:type="dxa"/>
          </w:tcPr>
          <w:p w14:paraId="1C886C2A" w14:textId="17F7182D"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38AA38A3" w14:textId="26E8855F" w:rsidR="000369FE" w:rsidRPr="00687FBF" w:rsidRDefault="001D18DC" w:rsidP="002C6E3A">
            <w:pPr>
              <w:spacing w:beforeLines="60" w:before="144" w:afterLines="60" w:after="144"/>
              <w:rPr>
                <w:rFonts w:ascii="Calibri" w:hAnsi="Calibri" w:cs="Calibri"/>
                <w:sz w:val="18"/>
              </w:rPr>
            </w:pPr>
            <w:r w:rsidRPr="00687FBF">
              <w:rPr>
                <w:rFonts w:ascii="Calibri" w:hAnsi="Calibri" w:cs="Calibri"/>
                <w:sz w:val="18"/>
              </w:rPr>
              <w:t>Terminology has</w:t>
            </w:r>
            <w:r w:rsidR="000369FE" w:rsidRPr="00687FBF">
              <w:rPr>
                <w:rFonts w:ascii="Calibri" w:hAnsi="Calibri" w:cs="Calibri"/>
                <w:sz w:val="18"/>
              </w:rPr>
              <w:t xml:space="preserve"> be</w:t>
            </w:r>
            <w:r w:rsidRPr="00687FBF">
              <w:rPr>
                <w:rFonts w:ascii="Calibri" w:hAnsi="Calibri" w:cs="Calibri"/>
                <w:sz w:val="18"/>
              </w:rPr>
              <w:t>en</w:t>
            </w:r>
            <w:r w:rsidR="000369FE" w:rsidRPr="00687FBF">
              <w:rPr>
                <w:rFonts w:ascii="Calibri" w:hAnsi="Calibri" w:cs="Calibri"/>
                <w:sz w:val="18"/>
              </w:rPr>
              <w:t xml:space="preserve"> harmonised</w:t>
            </w:r>
            <w:r w:rsidRPr="00687FBF">
              <w:rPr>
                <w:rFonts w:ascii="Calibri" w:hAnsi="Calibri" w:cs="Calibri"/>
                <w:sz w:val="18"/>
              </w:rPr>
              <w:t>.</w:t>
            </w:r>
          </w:p>
        </w:tc>
      </w:tr>
      <w:tr w:rsidR="000369FE" w:rsidRPr="00E64147" w14:paraId="5871D01F"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6F69E18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36</w:t>
            </w:r>
          </w:p>
        </w:tc>
        <w:tc>
          <w:tcPr>
            <w:tcW w:w="1417" w:type="dxa"/>
            <w:hideMark/>
          </w:tcPr>
          <w:p w14:paraId="4BFE7BA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 xml:space="preserve">Dr George </w:t>
            </w:r>
            <w:proofErr w:type="spellStart"/>
            <w:r w:rsidRPr="00687FBF">
              <w:rPr>
                <w:rFonts w:ascii="Calibri" w:eastAsia="Times New Roman" w:hAnsi="Calibri" w:cs="Calibri"/>
                <w:sz w:val="18"/>
                <w:szCs w:val="18"/>
                <w:lang w:eastAsia="en-AU"/>
              </w:rPr>
              <w:t>Koperski</w:t>
            </w:r>
            <w:proofErr w:type="spellEnd"/>
            <w:r w:rsidRPr="00687FBF">
              <w:rPr>
                <w:rFonts w:ascii="Calibri" w:eastAsia="Times New Roman" w:hAnsi="Calibri" w:cs="Calibri"/>
                <w:sz w:val="18"/>
                <w:szCs w:val="18"/>
                <w:lang w:eastAsia="en-AU"/>
              </w:rPr>
              <w:t>, Canberra</w:t>
            </w:r>
          </w:p>
        </w:tc>
        <w:tc>
          <w:tcPr>
            <w:tcW w:w="852" w:type="dxa"/>
            <w:hideMark/>
          </w:tcPr>
          <w:p w14:paraId="7CDB37C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 2 &amp; 3</w:t>
            </w:r>
          </w:p>
        </w:tc>
        <w:tc>
          <w:tcPr>
            <w:tcW w:w="1137" w:type="dxa"/>
            <w:hideMark/>
          </w:tcPr>
          <w:p w14:paraId="00F85D7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Title</w:t>
            </w:r>
          </w:p>
        </w:tc>
        <w:tc>
          <w:tcPr>
            <w:tcW w:w="2269" w:type="dxa"/>
            <w:hideMark/>
          </w:tcPr>
          <w:p w14:paraId="53253A5F"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Guide for Radiation Protection from Ionising Radiation in Emergency Exposure Situations</w:t>
            </w:r>
          </w:p>
        </w:tc>
        <w:tc>
          <w:tcPr>
            <w:tcW w:w="2406" w:type="dxa"/>
          </w:tcPr>
          <w:p w14:paraId="563D408D"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To make the title explicit., differentiating it from a guide that would relate to exposures to non-ionising radiation</w:t>
            </w:r>
          </w:p>
        </w:tc>
        <w:tc>
          <w:tcPr>
            <w:tcW w:w="1836" w:type="dxa"/>
          </w:tcPr>
          <w:p w14:paraId="06E25810" w14:textId="5807E78F"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34591470" w14:textId="3EC8E2FB" w:rsidR="000369FE" w:rsidRPr="00687FBF" w:rsidRDefault="001D18DC" w:rsidP="002C6E3A">
            <w:pPr>
              <w:spacing w:beforeLines="60" w:before="144" w:afterLines="60" w:after="144"/>
              <w:rPr>
                <w:rFonts w:ascii="Calibri" w:hAnsi="Calibri" w:cs="Calibri"/>
                <w:sz w:val="18"/>
              </w:rPr>
            </w:pPr>
            <w:r w:rsidRPr="00687FBF">
              <w:rPr>
                <w:rFonts w:ascii="Calibri" w:hAnsi="Calibri" w:cs="Calibri"/>
                <w:sz w:val="18"/>
              </w:rPr>
              <w:t>This title was approved by the Radiation Health Committee.</w:t>
            </w:r>
          </w:p>
        </w:tc>
      </w:tr>
      <w:tr w:rsidR="000369FE" w:rsidRPr="00E64147" w14:paraId="78F41A63" w14:textId="77777777" w:rsidTr="002C6E3A">
        <w:tblPrEx>
          <w:tblLook w:val="04A0" w:firstRow="1" w:lastRow="0" w:firstColumn="1" w:lastColumn="0" w:noHBand="0" w:noVBand="1"/>
        </w:tblPrEx>
        <w:trPr>
          <w:trHeight w:val="2100"/>
        </w:trPr>
        <w:tc>
          <w:tcPr>
            <w:tcW w:w="561" w:type="dxa"/>
            <w:hideMark/>
          </w:tcPr>
          <w:p w14:paraId="214A216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37</w:t>
            </w:r>
          </w:p>
        </w:tc>
        <w:tc>
          <w:tcPr>
            <w:tcW w:w="1417" w:type="dxa"/>
            <w:hideMark/>
          </w:tcPr>
          <w:p w14:paraId="33EF8A9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 xml:space="preserve">Dr George </w:t>
            </w:r>
            <w:proofErr w:type="spellStart"/>
            <w:r w:rsidRPr="00687FBF">
              <w:rPr>
                <w:rFonts w:ascii="Calibri" w:eastAsia="Times New Roman" w:hAnsi="Calibri" w:cs="Calibri"/>
                <w:sz w:val="18"/>
                <w:szCs w:val="18"/>
                <w:lang w:eastAsia="en-AU"/>
              </w:rPr>
              <w:t>Koperski</w:t>
            </w:r>
            <w:proofErr w:type="spellEnd"/>
            <w:r w:rsidRPr="00687FBF">
              <w:rPr>
                <w:rFonts w:ascii="Calibri" w:eastAsia="Times New Roman" w:hAnsi="Calibri" w:cs="Calibri"/>
                <w:sz w:val="18"/>
                <w:szCs w:val="18"/>
                <w:lang w:eastAsia="en-AU"/>
              </w:rPr>
              <w:t>, Canberra</w:t>
            </w:r>
          </w:p>
        </w:tc>
        <w:tc>
          <w:tcPr>
            <w:tcW w:w="852" w:type="dxa"/>
            <w:hideMark/>
          </w:tcPr>
          <w:p w14:paraId="07A3879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2796489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13</w:t>
            </w:r>
          </w:p>
        </w:tc>
        <w:tc>
          <w:tcPr>
            <w:tcW w:w="2269" w:type="dxa"/>
            <w:hideMark/>
          </w:tcPr>
          <w:p w14:paraId="4B6B5EF5"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Guide for Radiation Protection in Emergency Exposure Situations – Part 2 – Planning and Preparedness (201Y) sets out the framework and guidance in Australia for the protection of occupationally exposed persons, the public and the environment in emergency exposure situations.</w:t>
            </w:r>
          </w:p>
        </w:tc>
        <w:tc>
          <w:tcPr>
            <w:tcW w:w="2406" w:type="dxa"/>
          </w:tcPr>
          <w:p w14:paraId="7126CD3E"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To correct erroneous wording, and</w:t>
            </w:r>
            <w:r w:rsidRPr="00687FBF">
              <w:rPr>
                <w:rFonts w:ascii="Calibri" w:eastAsia="Times New Roman" w:hAnsi="Calibri" w:cs="Calibri"/>
                <w:sz w:val="18"/>
                <w:lang w:eastAsia="en-AU"/>
              </w:rPr>
              <w:br/>
              <w:t>- To make this paragraph consistent with the corresponding paragraph in the Foreword to Part 1</w:t>
            </w:r>
          </w:p>
        </w:tc>
        <w:tc>
          <w:tcPr>
            <w:tcW w:w="1836" w:type="dxa"/>
          </w:tcPr>
          <w:p w14:paraId="789CC778"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319D41DA"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This forward is written by the CEO as an introduction to the guide, we will pass on for consideration.</w:t>
            </w:r>
          </w:p>
        </w:tc>
      </w:tr>
      <w:tr w:rsidR="000369FE" w:rsidRPr="00E64147" w14:paraId="6617D294"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100"/>
        </w:trPr>
        <w:tc>
          <w:tcPr>
            <w:tcW w:w="561" w:type="dxa"/>
            <w:hideMark/>
          </w:tcPr>
          <w:p w14:paraId="47A5522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38</w:t>
            </w:r>
          </w:p>
        </w:tc>
        <w:tc>
          <w:tcPr>
            <w:tcW w:w="1417" w:type="dxa"/>
            <w:hideMark/>
          </w:tcPr>
          <w:p w14:paraId="2C4CBA1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 xml:space="preserve">Dr George </w:t>
            </w:r>
            <w:proofErr w:type="spellStart"/>
            <w:r w:rsidRPr="00687FBF">
              <w:rPr>
                <w:rFonts w:ascii="Calibri" w:eastAsia="Times New Roman" w:hAnsi="Calibri" w:cs="Calibri"/>
                <w:sz w:val="18"/>
                <w:szCs w:val="18"/>
                <w:lang w:eastAsia="en-AU"/>
              </w:rPr>
              <w:t>Koperski</w:t>
            </w:r>
            <w:proofErr w:type="spellEnd"/>
            <w:r w:rsidRPr="00687FBF">
              <w:rPr>
                <w:rFonts w:ascii="Calibri" w:eastAsia="Times New Roman" w:hAnsi="Calibri" w:cs="Calibri"/>
                <w:sz w:val="18"/>
                <w:szCs w:val="18"/>
                <w:lang w:eastAsia="en-AU"/>
              </w:rPr>
              <w:t>, Canberra</w:t>
            </w:r>
          </w:p>
        </w:tc>
        <w:tc>
          <w:tcPr>
            <w:tcW w:w="852" w:type="dxa"/>
            <w:hideMark/>
          </w:tcPr>
          <w:p w14:paraId="168BF91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12DFE76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13</w:t>
            </w:r>
          </w:p>
        </w:tc>
        <w:tc>
          <w:tcPr>
            <w:tcW w:w="2269" w:type="dxa"/>
            <w:hideMark/>
          </w:tcPr>
          <w:p w14:paraId="32BD6AE1"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Guide for Radiation Protection in Emergency Exposure Situations – Part 3 – Response and Transition (201Y) sets out the framework and guidance in Australia for the protection of occupationally exposed persons, the public and the environment in emergency exposure situations.</w:t>
            </w:r>
          </w:p>
        </w:tc>
        <w:tc>
          <w:tcPr>
            <w:tcW w:w="2406" w:type="dxa"/>
          </w:tcPr>
          <w:p w14:paraId="27BA1B5F"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To correct erroneous wording, and</w:t>
            </w:r>
            <w:r w:rsidRPr="00687FBF">
              <w:rPr>
                <w:rFonts w:ascii="Calibri" w:eastAsia="Times New Roman" w:hAnsi="Calibri" w:cs="Calibri"/>
                <w:sz w:val="18"/>
                <w:lang w:eastAsia="en-AU"/>
              </w:rPr>
              <w:br/>
              <w:t>- To make this paragraph consistent with the corresponding paragraph in the Forewords to Part 1 and Part 2</w:t>
            </w:r>
          </w:p>
        </w:tc>
        <w:tc>
          <w:tcPr>
            <w:tcW w:w="1836" w:type="dxa"/>
          </w:tcPr>
          <w:p w14:paraId="29B8D8FD"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336934B5"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This forward is written by the CEO as an introduction to the guide, we will pass on for consideration.</w:t>
            </w:r>
          </w:p>
        </w:tc>
      </w:tr>
      <w:tr w:rsidR="000369FE" w:rsidRPr="00E64147" w14:paraId="2BA95E03" w14:textId="77777777" w:rsidTr="002C6E3A">
        <w:tblPrEx>
          <w:tblLook w:val="04A0" w:firstRow="1" w:lastRow="0" w:firstColumn="1" w:lastColumn="0" w:noHBand="0" w:noVBand="1"/>
        </w:tblPrEx>
        <w:trPr>
          <w:trHeight w:val="600"/>
        </w:trPr>
        <w:tc>
          <w:tcPr>
            <w:tcW w:w="561" w:type="dxa"/>
            <w:hideMark/>
          </w:tcPr>
          <w:p w14:paraId="3AF654E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39</w:t>
            </w:r>
          </w:p>
        </w:tc>
        <w:tc>
          <w:tcPr>
            <w:tcW w:w="1417" w:type="dxa"/>
            <w:hideMark/>
          </w:tcPr>
          <w:p w14:paraId="1723F34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 xml:space="preserve">Dr George </w:t>
            </w:r>
            <w:proofErr w:type="spellStart"/>
            <w:r w:rsidRPr="00687FBF">
              <w:rPr>
                <w:rFonts w:ascii="Calibri" w:eastAsia="Times New Roman" w:hAnsi="Calibri" w:cs="Calibri"/>
                <w:sz w:val="18"/>
                <w:szCs w:val="18"/>
                <w:lang w:eastAsia="en-AU"/>
              </w:rPr>
              <w:t>Koperski</w:t>
            </w:r>
            <w:proofErr w:type="spellEnd"/>
            <w:r w:rsidRPr="00687FBF">
              <w:rPr>
                <w:rFonts w:ascii="Calibri" w:eastAsia="Times New Roman" w:hAnsi="Calibri" w:cs="Calibri"/>
                <w:sz w:val="18"/>
                <w:szCs w:val="18"/>
                <w:lang w:eastAsia="en-AU"/>
              </w:rPr>
              <w:t>, Canberra</w:t>
            </w:r>
          </w:p>
        </w:tc>
        <w:tc>
          <w:tcPr>
            <w:tcW w:w="852" w:type="dxa"/>
            <w:hideMark/>
          </w:tcPr>
          <w:p w14:paraId="593941C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049CB48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100</w:t>
            </w:r>
          </w:p>
        </w:tc>
        <w:tc>
          <w:tcPr>
            <w:tcW w:w="2269" w:type="dxa"/>
            <w:hideMark/>
          </w:tcPr>
          <w:p w14:paraId="0AC74F7B"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Replace the word ‘who’ by ‘which’</w:t>
            </w:r>
          </w:p>
        </w:tc>
        <w:tc>
          <w:tcPr>
            <w:tcW w:w="2406" w:type="dxa"/>
          </w:tcPr>
          <w:p w14:paraId="1B40D563"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Grammar</w:t>
            </w:r>
          </w:p>
        </w:tc>
        <w:tc>
          <w:tcPr>
            <w:tcW w:w="1836" w:type="dxa"/>
          </w:tcPr>
          <w:p w14:paraId="2146F72E"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3A856CBD"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572E889E"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1B885A4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40</w:t>
            </w:r>
          </w:p>
        </w:tc>
        <w:tc>
          <w:tcPr>
            <w:tcW w:w="1417" w:type="dxa"/>
            <w:hideMark/>
          </w:tcPr>
          <w:p w14:paraId="58FC30A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 xml:space="preserve">Dr George </w:t>
            </w:r>
            <w:proofErr w:type="spellStart"/>
            <w:r w:rsidRPr="00687FBF">
              <w:rPr>
                <w:rFonts w:ascii="Calibri" w:eastAsia="Times New Roman" w:hAnsi="Calibri" w:cs="Calibri"/>
                <w:sz w:val="18"/>
                <w:szCs w:val="18"/>
                <w:lang w:eastAsia="en-AU"/>
              </w:rPr>
              <w:t>Koperski</w:t>
            </w:r>
            <w:proofErr w:type="spellEnd"/>
            <w:r w:rsidRPr="00687FBF">
              <w:rPr>
                <w:rFonts w:ascii="Calibri" w:eastAsia="Times New Roman" w:hAnsi="Calibri" w:cs="Calibri"/>
                <w:sz w:val="18"/>
                <w:szCs w:val="18"/>
                <w:lang w:eastAsia="en-AU"/>
              </w:rPr>
              <w:t>, Canberra</w:t>
            </w:r>
          </w:p>
        </w:tc>
        <w:tc>
          <w:tcPr>
            <w:tcW w:w="852" w:type="dxa"/>
            <w:hideMark/>
          </w:tcPr>
          <w:p w14:paraId="5DE469B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1EB8578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483</w:t>
            </w:r>
          </w:p>
        </w:tc>
        <w:tc>
          <w:tcPr>
            <w:tcW w:w="2269" w:type="dxa"/>
            <w:hideMark/>
          </w:tcPr>
          <w:p w14:paraId="21031C9B"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Replace the word ‘have’ by ‘has’</w:t>
            </w:r>
          </w:p>
        </w:tc>
        <w:tc>
          <w:tcPr>
            <w:tcW w:w="2406" w:type="dxa"/>
          </w:tcPr>
          <w:p w14:paraId="0F6D2720"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Grammar</w:t>
            </w:r>
          </w:p>
        </w:tc>
        <w:tc>
          <w:tcPr>
            <w:tcW w:w="1836" w:type="dxa"/>
          </w:tcPr>
          <w:p w14:paraId="6982AEAB"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5573D13A" w14:textId="77777777" w:rsidR="000369FE" w:rsidRPr="00687FBF" w:rsidRDefault="000369FE" w:rsidP="002C6E3A">
            <w:pPr>
              <w:spacing w:beforeLines="60" w:before="144" w:afterLines="60" w:after="144"/>
              <w:rPr>
                <w:sz w:val="18"/>
                <w:szCs w:val="20"/>
              </w:rPr>
            </w:pPr>
          </w:p>
        </w:tc>
      </w:tr>
      <w:tr w:rsidR="000369FE" w:rsidRPr="00E64147" w14:paraId="7409D9FA" w14:textId="77777777" w:rsidTr="002C6E3A">
        <w:tblPrEx>
          <w:tblLook w:val="04A0" w:firstRow="1" w:lastRow="0" w:firstColumn="1" w:lastColumn="0" w:noHBand="0" w:noVBand="1"/>
        </w:tblPrEx>
        <w:trPr>
          <w:trHeight w:val="600"/>
        </w:trPr>
        <w:tc>
          <w:tcPr>
            <w:tcW w:w="561" w:type="dxa"/>
            <w:hideMark/>
          </w:tcPr>
          <w:p w14:paraId="2F3BFA7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41</w:t>
            </w:r>
          </w:p>
        </w:tc>
        <w:tc>
          <w:tcPr>
            <w:tcW w:w="1417" w:type="dxa"/>
            <w:hideMark/>
          </w:tcPr>
          <w:p w14:paraId="2B04F56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 xml:space="preserve">Dr George </w:t>
            </w:r>
            <w:proofErr w:type="spellStart"/>
            <w:r w:rsidRPr="00687FBF">
              <w:rPr>
                <w:rFonts w:ascii="Calibri" w:eastAsia="Times New Roman" w:hAnsi="Calibri" w:cs="Calibri"/>
                <w:sz w:val="18"/>
                <w:szCs w:val="18"/>
                <w:lang w:eastAsia="en-AU"/>
              </w:rPr>
              <w:t>Koperski</w:t>
            </w:r>
            <w:proofErr w:type="spellEnd"/>
            <w:r w:rsidRPr="00687FBF">
              <w:rPr>
                <w:rFonts w:ascii="Calibri" w:eastAsia="Times New Roman" w:hAnsi="Calibri" w:cs="Calibri"/>
                <w:sz w:val="18"/>
                <w:szCs w:val="18"/>
                <w:lang w:eastAsia="en-AU"/>
              </w:rPr>
              <w:t>, Canberra</w:t>
            </w:r>
          </w:p>
        </w:tc>
        <w:tc>
          <w:tcPr>
            <w:tcW w:w="852" w:type="dxa"/>
            <w:hideMark/>
          </w:tcPr>
          <w:p w14:paraId="7848785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0F3E8E3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494</w:t>
            </w:r>
          </w:p>
        </w:tc>
        <w:tc>
          <w:tcPr>
            <w:tcW w:w="2269" w:type="dxa"/>
            <w:hideMark/>
          </w:tcPr>
          <w:p w14:paraId="6DE25BFF"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Replace ‘Table 2.1’ by ‘Table 2.2’</w:t>
            </w:r>
          </w:p>
        </w:tc>
        <w:tc>
          <w:tcPr>
            <w:tcW w:w="2406" w:type="dxa"/>
          </w:tcPr>
          <w:p w14:paraId="1FF03030"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Typographical error</w:t>
            </w:r>
          </w:p>
        </w:tc>
        <w:tc>
          <w:tcPr>
            <w:tcW w:w="1836" w:type="dxa"/>
          </w:tcPr>
          <w:p w14:paraId="5C75604D"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1DFC5306" w14:textId="3A6F0478"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Numberi</w:t>
            </w:r>
            <w:r w:rsidR="003B3532" w:rsidRPr="00687FBF">
              <w:rPr>
                <w:rFonts w:ascii="Calibri" w:hAnsi="Calibri" w:cs="Calibri"/>
                <w:sz w:val="18"/>
              </w:rPr>
              <w:t>ng will be updated in final editorial</w:t>
            </w:r>
          </w:p>
        </w:tc>
      </w:tr>
      <w:tr w:rsidR="000369FE" w:rsidRPr="00E64147" w14:paraId="26B11F66"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800"/>
        </w:trPr>
        <w:tc>
          <w:tcPr>
            <w:tcW w:w="561" w:type="dxa"/>
            <w:hideMark/>
          </w:tcPr>
          <w:p w14:paraId="38FC52F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42</w:t>
            </w:r>
          </w:p>
        </w:tc>
        <w:tc>
          <w:tcPr>
            <w:tcW w:w="1417" w:type="dxa"/>
            <w:hideMark/>
          </w:tcPr>
          <w:p w14:paraId="4308A7D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 xml:space="preserve">Dr George </w:t>
            </w:r>
            <w:proofErr w:type="spellStart"/>
            <w:r w:rsidRPr="00687FBF">
              <w:rPr>
                <w:rFonts w:ascii="Calibri" w:eastAsia="Times New Roman" w:hAnsi="Calibri" w:cs="Calibri"/>
                <w:sz w:val="18"/>
                <w:szCs w:val="18"/>
                <w:lang w:eastAsia="en-AU"/>
              </w:rPr>
              <w:t>Koperski</w:t>
            </w:r>
            <w:proofErr w:type="spellEnd"/>
            <w:r w:rsidRPr="00687FBF">
              <w:rPr>
                <w:rFonts w:ascii="Calibri" w:eastAsia="Times New Roman" w:hAnsi="Calibri" w:cs="Calibri"/>
                <w:sz w:val="18"/>
                <w:szCs w:val="18"/>
                <w:lang w:eastAsia="en-AU"/>
              </w:rPr>
              <w:t>, Canberra</w:t>
            </w:r>
          </w:p>
        </w:tc>
        <w:tc>
          <w:tcPr>
            <w:tcW w:w="852" w:type="dxa"/>
            <w:hideMark/>
          </w:tcPr>
          <w:p w14:paraId="3E1B236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22A8A9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494</w:t>
            </w:r>
          </w:p>
        </w:tc>
        <w:tc>
          <w:tcPr>
            <w:tcW w:w="2269" w:type="dxa"/>
            <w:hideMark/>
          </w:tcPr>
          <w:p w14:paraId="251306EA"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In column 7 ‘conventional trauma’ and column 10 ‘combined trauma’ replace all three ‘No’ by ‘Possible’</w:t>
            </w:r>
          </w:p>
        </w:tc>
        <w:tc>
          <w:tcPr>
            <w:tcW w:w="2406" w:type="dxa"/>
          </w:tcPr>
          <w:p w14:paraId="65FD0CDB"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From the fact that for these three types of radiation emergencies the classification in columns 2,3,6,9 and 12 is ‘Possible’ it logically transpires that the three current terns ‘No’ (column 7) should be replaced by the term ‘Possible’</w:t>
            </w:r>
          </w:p>
        </w:tc>
        <w:tc>
          <w:tcPr>
            <w:tcW w:w="1836" w:type="dxa"/>
          </w:tcPr>
          <w:p w14:paraId="37E32332" w14:textId="79211C4E"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1FCA15C0" w14:textId="78DF53AD"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Table style has been modified for clarity.</w:t>
            </w:r>
          </w:p>
        </w:tc>
      </w:tr>
      <w:tr w:rsidR="000369FE" w:rsidRPr="00E64147" w14:paraId="1090301D" w14:textId="77777777" w:rsidTr="002C6E3A">
        <w:tblPrEx>
          <w:tblLook w:val="04A0" w:firstRow="1" w:lastRow="0" w:firstColumn="1" w:lastColumn="0" w:noHBand="0" w:noVBand="1"/>
        </w:tblPrEx>
        <w:trPr>
          <w:trHeight w:val="1800"/>
        </w:trPr>
        <w:tc>
          <w:tcPr>
            <w:tcW w:w="561" w:type="dxa"/>
            <w:hideMark/>
          </w:tcPr>
          <w:p w14:paraId="740E4BD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43</w:t>
            </w:r>
          </w:p>
        </w:tc>
        <w:tc>
          <w:tcPr>
            <w:tcW w:w="1417" w:type="dxa"/>
            <w:hideMark/>
          </w:tcPr>
          <w:p w14:paraId="637F80D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2D7FACE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1617DA4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63</w:t>
            </w:r>
          </w:p>
        </w:tc>
        <w:tc>
          <w:tcPr>
            <w:tcW w:w="2269" w:type="dxa"/>
            <w:hideMark/>
          </w:tcPr>
          <w:p w14:paraId="2C1CB107" w14:textId="25E1BC08"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Comment: The beginning of this document is a lot harder to read than the rest. Sentences are quite long and choice is made for more complex language, e.g. is of importance vs is important. Rest of doc and other parts are quite easy to follow.</w:t>
            </w:r>
          </w:p>
        </w:tc>
        <w:tc>
          <w:tcPr>
            <w:tcW w:w="2406" w:type="dxa"/>
          </w:tcPr>
          <w:p w14:paraId="63C022F9"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5D0A8498" w14:textId="0CADF9DA"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778DA8C3" w14:textId="317E5021"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Final editorial review will make the document easier to read and understand</w:t>
            </w:r>
            <w:r w:rsidR="008F1BAD" w:rsidRPr="00687FBF">
              <w:rPr>
                <w:rFonts w:ascii="Calibri" w:hAnsi="Calibri" w:cs="Calibri"/>
                <w:sz w:val="18"/>
              </w:rPr>
              <w:t>.</w:t>
            </w:r>
          </w:p>
        </w:tc>
      </w:tr>
      <w:tr w:rsidR="000369FE" w:rsidRPr="00E64147" w14:paraId="6556E394"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500"/>
        </w:trPr>
        <w:tc>
          <w:tcPr>
            <w:tcW w:w="561" w:type="dxa"/>
            <w:hideMark/>
          </w:tcPr>
          <w:p w14:paraId="069271F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44</w:t>
            </w:r>
          </w:p>
        </w:tc>
        <w:tc>
          <w:tcPr>
            <w:tcW w:w="1417" w:type="dxa"/>
            <w:hideMark/>
          </w:tcPr>
          <w:p w14:paraId="3B2B221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00C7B4E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0873047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261</w:t>
            </w:r>
          </w:p>
        </w:tc>
        <w:tc>
          <w:tcPr>
            <w:tcW w:w="2269" w:type="dxa"/>
            <w:hideMark/>
          </w:tcPr>
          <w:p w14:paraId="3F8006B4"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Comment: Annex c of Part 3 provides the easy interpretation of deterministic as early affects and stochastic as late.  This is an easy to understand definition and could be added here.</w:t>
            </w:r>
          </w:p>
        </w:tc>
        <w:tc>
          <w:tcPr>
            <w:tcW w:w="2406" w:type="dxa"/>
          </w:tcPr>
          <w:p w14:paraId="2D8DFDD2"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3B4F3BF4" w14:textId="61B2EE49"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69BBD13C" w14:textId="2A9A0285" w:rsidR="000369FE" w:rsidRPr="00687FBF" w:rsidRDefault="00E15FFF" w:rsidP="002C6E3A">
            <w:pPr>
              <w:spacing w:beforeLines="60" w:before="144" w:afterLines="60" w:after="144"/>
              <w:rPr>
                <w:rFonts w:ascii="Calibri" w:hAnsi="Calibri" w:cs="Calibri"/>
                <w:sz w:val="18"/>
              </w:rPr>
            </w:pPr>
            <w:r w:rsidRPr="00687FBF">
              <w:rPr>
                <w:rFonts w:ascii="Calibri" w:hAnsi="Calibri" w:cs="Calibri"/>
                <w:sz w:val="18"/>
              </w:rPr>
              <w:t>The addition to refer to Annex C in Table 2.1 has been included.</w:t>
            </w:r>
          </w:p>
        </w:tc>
      </w:tr>
      <w:tr w:rsidR="000369FE" w:rsidRPr="00E64147" w14:paraId="4017009C" w14:textId="77777777" w:rsidTr="002C6E3A">
        <w:tblPrEx>
          <w:tblLook w:val="04A0" w:firstRow="1" w:lastRow="0" w:firstColumn="1" w:lastColumn="0" w:noHBand="0" w:noVBand="1"/>
        </w:tblPrEx>
        <w:trPr>
          <w:trHeight w:val="1200"/>
        </w:trPr>
        <w:tc>
          <w:tcPr>
            <w:tcW w:w="561" w:type="dxa"/>
            <w:hideMark/>
          </w:tcPr>
          <w:p w14:paraId="51659D7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45</w:t>
            </w:r>
          </w:p>
        </w:tc>
        <w:tc>
          <w:tcPr>
            <w:tcW w:w="1417" w:type="dxa"/>
            <w:hideMark/>
          </w:tcPr>
          <w:p w14:paraId="42571CB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22F4CE8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24A3E02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322</w:t>
            </w:r>
          </w:p>
        </w:tc>
        <w:tc>
          <w:tcPr>
            <w:tcW w:w="2269" w:type="dxa"/>
            <w:hideMark/>
          </w:tcPr>
          <w:p w14:paraId="3DDBA444" w14:textId="77777777" w:rsidR="000369FE" w:rsidRPr="00687FBF" w:rsidRDefault="000369FE" w:rsidP="00587F79">
            <w:pPr>
              <w:rPr>
                <w:rFonts w:ascii="Calibri" w:eastAsia="Times New Roman" w:hAnsi="Calibri" w:cs="Calibri"/>
                <w:sz w:val="18"/>
                <w:lang w:eastAsia="en-AU"/>
              </w:rPr>
            </w:pPr>
            <w:r w:rsidRPr="00687FBF">
              <w:rPr>
                <w:rFonts w:ascii="Calibri" w:eastAsia="Times New Roman" w:hAnsi="Calibri" w:cs="Calibri"/>
                <w:sz w:val="18"/>
                <w:lang w:eastAsia="en-AU"/>
              </w:rPr>
              <w:t>Comment: I really like this breakdown into different types of emergencies. It is practical and explains the differences well. Entries in this area are easy to follow.</w:t>
            </w:r>
          </w:p>
        </w:tc>
        <w:tc>
          <w:tcPr>
            <w:tcW w:w="2406" w:type="dxa"/>
          </w:tcPr>
          <w:p w14:paraId="2E39ABF5"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75869504"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470FB170" w14:textId="74D32C96"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Comment only</w:t>
            </w:r>
            <w:r w:rsidR="00E15FFF" w:rsidRPr="00687FBF">
              <w:rPr>
                <w:rFonts w:ascii="Calibri" w:hAnsi="Calibri" w:cs="Calibri"/>
                <w:sz w:val="18"/>
              </w:rPr>
              <w:t>.</w:t>
            </w:r>
          </w:p>
        </w:tc>
      </w:tr>
      <w:tr w:rsidR="000369FE" w:rsidRPr="00E64147" w14:paraId="0CF12E79"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500"/>
        </w:trPr>
        <w:tc>
          <w:tcPr>
            <w:tcW w:w="561" w:type="dxa"/>
            <w:hideMark/>
          </w:tcPr>
          <w:p w14:paraId="4D7F423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46</w:t>
            </w:r>
          </w:p>
        </w:tc>
        <w:tc>
          <w:tcPr>
            <w:tcW w:w="1417" w:type="dxa"/>
            <w:hideMark/>
          </w:tcPr>
          <w:p w14:paraId="261C97F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31FDCF7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710CFD0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365</w:t>
            </w:r>
          </w:p>
        </w:tc>
        <w:tc>
          <w:tcPr>
            <w:tcW w:w="2269" w:type="dxa"/>
            <w:hideMark/>
          </w:tcPr>
          <w:p w14:paraId="1A546FA8"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Do we only receive Allied warships?</w:t>
            </w:r>
            <w:bookmarkStart w:id="3" w:name="_GoBack"/>
            <w:bookmarkEnd w:id="3"/>
          </w:p>
        </w:tc>
        <w:tc>
          <w:tcPr>
            <w:tcW w:w="2406" w:type="dxa"/>
          </w:tcPr>
          <w:p w14:paraId="344C3FCC"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6C383EB0" w14:textId="5F21163C"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44C9CE03"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The term allied will be removed.</w:t>
            </w:r>
            <w:r w:rsidRPr="00687FBF">
              <w:rPr>
                <w:rFonts w:ascii="Calibri" w:hAnsi="Calibri" w:cs="Calibri"/>
                <w:sz w:val="18"/>
              </w:rPr>
              <w:br/>
              <w:t>Sentence now read: "Australia receives visits by nuclear powered warships to a number of approved ports around the country, these include submarines and aircraft carriers."</w:t>
            </w:r>
          </w:p>
        </w:tc>
      </w:tr>
      <w:tr w:rsidR="000369FE" w:rsidRPr="00E64147" w14:paraId="6F8CB419" w14:textId="77777777" w:rsidTr="002C6E3A">
        <w:tblPrEx>
          <w:tblLook w:val="04A0" w:firstRow="1" w:lastRow="0" w:firstColumn="1" w:lastColumn="0" w:noHBand="0" w:noVBand="1"/>
        </w:tblPrEx>
        <w:trPr>
          <w:trHeight w:val="900"/>
        </w:trPr>
        <w:tc>
          <w:tcPr>
            <w:tcW w:w="561" w:type="dxa"/>
            <w:hideMark/>
          </w:tcPr>
          <w:p w14:paraId="1B90823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47</w:t>
            </w:r>
          </w:p>
        </w:tc>
        <w:tc>
          <w:tcPr>
            <w:tcW w:w="1417" w:type="dxa"/>
            <w:hideMark/>
          </w:tcPr>
          <w:p w14:paraId="11E062E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683F197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57C123D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365</w:t>
            </w:r>
          </w:p>
        </w:tc>
        <w:tc>
          <w:tcPr>
            <w:tcW w:w="2269" w:type="dxa"/>
            <w:hideMark/>
          </w:tcPr>
          <w:p w14:paraId="278852EF"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Comment: Good information</w:t>
            </w:r>
          </w:p>
        </w:tc>
        <w:tc>
          <w:tcPr>
            <w:tcW w:w="2406" w:type="dxa"/>
          </w:tcPr>
          <w:p w14:paraId="33E26946"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0FED8317"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25CAC8F9" w14:textId="76C76523"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Comment only</w:t>
            </w:r>
            <w:r w:rsidR="00E15FFF" w:rsidRPr="00687FBF">
              <w:rPr>
                <w:rFonts w:ascii="Calibri" w:hAnsi="Calibri" w:cs="Calibri"/>
                <w:sz w:val="18"/>
              </w:rPr>
              <w:t>.</w:t>
            </w:r>
          </w:p>
        </w:tc>
      </w:tr>
      <w:tr w:rsidR="000369FE" w:rsidRPr="00E64147" w14:paraId="490EED1E"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400"/>
        </w:trPr>
        <w:tc>
          <w:tcPr>
            <w:tcW w:w="561" w:type="dxa"/>
            <w:hideMark/>
          </w:tcPr>
          <w:p w14:paraId="03E6136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48</w:t>
            </w:r>
          </w:p>
        </w:tc>
        <w:tc>
          <w:tcPr>
            <w:tcW w:w="1417" w:type="dxa"/>
            <w:hideMark/>
          </w:tcPr>
          <w:p w14:paraId="2C8314A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3BBD553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97BF2E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375</w:t>
            </w:r>
          </w:p>
        </w:tc>
        <w:tc>
          <w:tcPr>
            <w:tcW w:w="2269" w:type="dxa"/>
            <w:hideMark/>
          </w:tcPr>
          <w:p w14:paraId="53237245"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So when would a criticality emergency occur?</w:t>
            </w:r>
          </w:p>
        </w:tc>
        <w:tc>
          <w:tcPr>
            <w:tcW w:w="2406" w:type="dxa"/>
          </w:tcPr>
          <w:p w14:paraId="11E3AACB"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661BEC89" w14:textId="3A5BA730"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584E25D9" w14:textId="715F66BB"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Paragraph reworded</w:t>
            </w:r>
            <w:r w:rsidR="006E424B" w:rsidRPr="00687FBF">
              <w:rPr>
                <w:rFonts w:ascii="Calibri" w:hAnsi="Calibri" w:cs="Calibri"/>
                <w:sz w:val="18"/>
              </w:rPr>
              <w:t xml:space="preserve"> and a new section has been included in Part 2 in section 3.4.</w:t>
            </w:r>
          </w:p>
        </w:tc>
      </w:tr>
      <w:tr w:rsidR="000369FE" w:rsidRPr="00E64147" w14:paraId="2B78C280" w14:textId="77777777" w:rsidTr="002C6E3A">
        <w:tblPrEx>
          <w:tblLook w:val="04A0" w:firstRow="1" w:lastRow="0" w:firstColumn="1" w:lastColumn="0" w:noHBand="0" w:noVBand="1"/>
        </w:tblPrEx>
        <w:trPr>
          <w:trHeight w:val="900"/>
        </w:trPr>
        <w:tc>
          <w:tcPr>
            <w:tcW w:w="561" w:type="dxa"/>
            <w:hideMark/>
          </w:tcPr>
          <w:p w14:paraId="5CAB785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49</w:t>
            </w:r>
          </w:p>
        </w:tc>
        <w:tc>
          <w:tcPr>
            <w:tcW w:w="1417" w:type="dxa"/>
            <w:hideMark/>
          </w:tcPr>
          <w:p w14:paraId="393425F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20A0C9A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5364AE2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381</w:t>
            </w:r>
          </w:p>
        </w:tc>
        <w:tc>
          <w:tcPr>
            <w:tcW w:w="2269" w:type="dxa"/>
            <w:hideMark/>
          </w:tcPr>
          <w:p w14:paraId="58793D78"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So is it possible this will ever happen in Australia?</w:t>
            </w:r>
          </w:p>
        </w:tc>
        <w:tc>
          <w:tcPr>
            <w:tcW w:w="2406" w:type="dxa"/>
          </w:tcPr>
          <w:p w14:paraId="3E380CBF"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074DC14C" w14:textId="7D379682"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4CFD4624" w14:textId="22B73599" w:rsidR="000369FE" w:rsidRPr="00687FBF" w:rsidRDefault="006F6560" w:rsidP="002C6E3A">
            <w:pPr>
              <w:spacing w:beforeLines="60" w:before="144" w:afterLines="60" w:after="144"/>
              <w:rPr>
                <w:rFonts w:ascii="Calibri" w:hAnsi="Calibri" w:cs="Calibri"/>
                <w:sz w:val="18"/>
              </w:rPr>
            </w:pPr>
            <w:r w:rsidRPr="00687FBF">
              <w:rPr>
                <w:rFonts w:ascii="Calibri" w:hAnsi="Calibri" w:cs="Calibri"/>
                <w:sz w:val="18"/>
              </w:rPr>
              <w:t>Yes it can. S</w:t>
            </w:r>
            <w:r w:rsidR="000369FE" w:rsidRPr="00687FBF">
              <w:rPr>
                <w:rFonts w:ascii="Calibri" w:hAnsi="Calibri" w:cs="Calibri"/>
                <w:sz w:val="18"/>
              </w:rPr>
              <w:t>ee comment 48</w:t>
            </w:r>
            <w:r w:rsidRPr="00687FBF">
              <w:rPr>
                <w:rFonts w:ascii="Calibri" w:hAnsi="Calibri" w:cs="Calibri"/>
                <w:sz w:val="18"/>
              </w:rPr>
              <w:t>.</w:t>
            </w:r>
          </w:p>
        </w:tc>
      </w:tr>
      <w:tr w:rsidR="000369FE" w:rsidRPr="00E64147" w14:paraId="57555457"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52CA5FC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50</w:t>
            </w:r>
          </w:p>
        </w:tc>
        <w:tc>
          <w:tcPr>
            <w:tcW w:w="1417" w:type="dxa"/>
            <w:hideMark/>
          </w:tcPr>
          <w:p w14:paraId="38C9F0E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362B6E9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B3E51D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494</w:t>
            </w:r>
          </w:p>
        </w:tc>
        <w:tc>
          <w:tcPr>
            <w:tcW w:w="2269" w:type="dxa"/>
            <w:hideMark/>
          </w:tcPr>
          <w:p w14:paraId="60D5E39E"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Comment: useful table</w:t>
            </w:r>
          </w:p>
        </w:tc>
        <w:tc>
          <w:tcPr>
            <w:tcW w:w="2406" w:type="dxa"/>
          </w:tcPr>
          <w:p w14:paraId="088A07AF"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32556B8A"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120B51FF" w14:textId="0226669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Comment only</w:t>
            </w:r>
            <w:r w:rsidR="006F6560" w:rsidRPr="00687FBF">
              <w:rPr>
                <w:rFonts w:ascii="Calibri" w:hAnsi="Calibri" w:cs="Calibri"/>
                <w:sz w:val="18"/>
              </w:rPr>
              <w:t>.</w:t>
            </w:r>
          </w:p>
        </w:tc>
      </w:tr>
      <w:tr w:rsidR="000369FE" w:rsidRPr="00E64147" w14:paraId="4A504257" w14:textId="77777777" w:rsidTr="002C6E3A">
        <w:tblPrEx>
          <w:tblLook w:val="04A0" w:firstRow="1" w:lastRow="0" w:firstColumn="1" w:lastColumn="0" w:noHBand="0" w:noVBand="1"/>
        </w:tblPrEx>
        <w:trPr>
          <w:trHeight w:val="900"/>
        </w:trPr>
        <w:tc>
          <w:tcPr>
            <w:tcW w:w="561" w:type="dxa"/>
            <w:hideMark/>
          </w:tcPr>
          <w:p w14:paraId="7F9169F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51</w:t>
            </w:r>
          </w:p>
        </w:tc>
        <w:tc>
          <w:tcPr>
            <w:tcW w:w="1417" w:type="dxa"/>
            <w:hideMark/>
          </w:tcPr>
          <w:p w14:paraId="089C0DB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 xml:space="preserve">Australian Government </w:t>
            </w:r>
            <w:r w:rsidRPr="00687FBF">
              <w:rPr>
                <w:rFonts w:ascii="Calibri" w:eastAsia="Times New Roman" w:hAnsi="Calibri" w:cs="Calibri"/>
                <w:sz w:val="18"/>
                <w:szCs w:val="18"/>
                <w:lang w:eastAsia="en-AU"/>
              </w:rPr>
              <w:lastRenderedPageBreak/>
              <w:t>Department of Health</w:t>
            </w:r>
          </w:p>
        </w:tc>
        <w:tc>
          <w:tcPr>
            <w:tcW w:w="852" w:type="dxa"/>
            <w:hideMark/>
          </w:tcPr>
          <w:p w14:paraId="65C5FFA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w:t>
            </w:r>
          </w:p>
        </w:tc>
        <w:tc>
          <w:tcPr>
            <w:tcW w:w="1137" w:type="dxa"/>
            <w:hideMark/>
          </w:tcPr>
          <w:p w14:paraId="77EDF7B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496</w:t>
            </w:r>
          </w:p>
        </w:tc>
        <w:tc>
          <w:tcPr>
            <w:tcW w:w="2269" w:type="dxa"/>
            <w:hideMark/>
          </w:tcPr>
          <w:p w14:paraId="7F453B4F"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It’s not really clear here what the national protection strategy is. </w:t>
            </w:r>
            <w:proofErr w:type="gramStart"/>
            <w:r w:rsidRPr="00687FBF">
              <w:rPr>
                <w:rFonts w:ascii="Calibri" w:eastAsia="Times New Roman" w:hAnsi="Calibri" w:cs="Calibri"/>
                <w:sz w:val="18"/>
                <w:lang w:eastAsia="en-AU"/>
              </w:rPr>
              <w:t xml:space="preserve">Is  </w:t>
            </w:r>
            <w:r w:rsidRPr="00687FBF">
              <w:rPr>
                <w:rFonts w:ascii="Calibri" w:eastAsia="Times New Roman" w:hAnsi="Calibri" w:cs="Calibri"/>
                <w:sz w:val="18"/>
                <w:lang w:eastAsia="en-AU"/>
              </w:rPr>
              <w:lastRenderedPageBreak/>
              <w:t>that</w:t>
            </w:r>
            <w:proofErr w:type="gramEnd"/>
            <w:r w:rsidRPr="00687FBF">
              <w:rPr>
                <w:rFonts w:ascii="Calibri" w:eastAsia="Times New Roman" w:hAnsi="Calibri" w:cs="Calibri"/>
                <w:sz w:val="18"/>
                <w:lang w:eastAsia="en-AU"/>
              </w:rPr>
              <w:t xml:space="preserve"> this document? If not this, where is it found?</w:t>
            </w:r>
          </w:p>
        </w:tc>
        <w:tc>
          <w:tcPr>
            <w:tcW w:w="2406" w:type="dxa"/>
          </w:tcPr>
          <w:p w14:paraId="1E015471"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34112794" w14:textId="0D215C31"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112818E8" w14:textId="73F4F989" w:rsidR="000369FE" w:rsidRPr="00687FBF" w:rsidRDefault="00AE6A3B" w:rsidP="002C6E3A">
            <w:pPr>
              <w:spacing w:beforeLines="60" w:before="144" w:afterLines="60" w:after="144"/>
              <w:rPr>
                <w:rFonts w:ascii="Calibri" w:hAnsi="Calibri" w:cs="Calibri"/>
                <w:sz w:val="18"/>
              </w:rPr>
            </w:pPr>
            <w:r w:rsidRPr="00687FBF">
              <w:rPr>
                <w:rFonts w:ascii="Calibri" w:hAnsi="Calibri" w:cs="Calibri"/>
                <w:sz w:val="18"/>
              </w:rPr>
              <w:t>This section has been re-worded for clarity.</w:t>
            </w:r>
          </w:p>
        </w:tc>
      </w:tr>
      <w:tr w:rsidR="000369FE" w:rsidRPr="00E64147" w14:paraId="6164EC4D"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400"/>
        </w:trPr>
        <w:tc>
          <w:tcPr>
            <w:tcW w:w="561" w:type="dxa"/>
            <w:hideMark/>
          </w:tcPr>
          <w:p w14:paraId="040DD71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52</w:t>
            </w:r>
          </w:p>
        </w:tc>
        <w:tc>
          <w:tcPr>
            <w:tcW w:w="1417" w:type="dxa"/>
            <w:hideMark/>
          </w:tcPr>
          <w:p w14:paraId="2200DB1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15E16CA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0412FD9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529</w:t>
            </w:r>
          </w:p>
        </w:tc>
        <w:tc>
          <w:tcPr>
            <w:tcW w:w="2269" w:type="dxa"/>
            <w:hideMark/>
          </w:tcPr>
          <w:p w14:paraId="67977467"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This diagram is visually very pleasing.  Set out well and helpful overview. Just a couple of points: 2 point 1 seems more like 3. 3.1 seems more like 2. 3.3 seems the same as 3.8. Is there any way we can link this to the stages used in the Health and EMA plans? </w:t>
            </w:r>
            <w:proofErr w:type="spellStart"/>
            <w:proofErr w:type="gramStart"/>
            <w:r w:rsidRPr="00687FBF">
              <w:rPr>
                <w:rFonts w:ascii="Calibri" w:eastAsia="Times New Roman" w:hAnsi="Calibri" w:cs="Calibri"/>
                <w:sz w:val="18"/>
                <w:lang w:eastAsia="en-AU"/>
              </w:rPr>
              <w:t>ie</w:t>
            </w:r>
            <w:proofErr w:type="spellEnd"/>
            <w:proofErr w:type="gramEnd"/>
            <w:r w:rsidRPr="00687FBF">
              <w:rPr>
                <w:rFonts w:ascii="Calibri" w:eastAsia="Times New Roman" w:hAnsi="Calibri" w:cs="Calibri"/>
                <w:sz w:val="18"/>
                <w:lang w:eastAsia="en-AU"/>
              </w:rPr>
              <w:t xml:space="preserve">. Preparedness, Standby, Response or Action, and </w:t>
            </w:r>
            <w:proofErr w:type="spellStart"/>
            <w:r w:rsidRPr="00687FBF">
              <w:rPr>
                <w:rFonts w:ascii="Calibri" w:eastAsia="Times New Roman" w:hAnsi="Calibri" w:cs="Calibri"/>
                <w:sz w:val="18"/>
                <w:lang w:eastAsia="en-AU"/>
              </w:rPr>
              <w:t>Standdown</w:t>
            </w:r>
            <w:proofErr w:type="spellEnd"/>
            <w:r w:rsidRPr="00687FBF">
              <w:rPr>
                <w:rFonts w:ascii="Calibri" w:eastAsia="Times New Roman" w:hAnsi="Calibri" w:cs="Calibri"/>
                <w:sz w:val="18"/>
                <w:lang w:eastAsia="en-AU"/>
              </w:rPr>
              <w:t>?</w:t>
            </w:r>
          </w:p>
        </w:tc>
        <w:tc>
          <w:tcPr>
            <w:tcW w:w="2406" w:type="dxa"/>
          </w:tcPr>
          <w:p w14:paraId="3859787F"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5B707B40" w14:textId="7E63D8DE"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05351B4C" w14:textId="2BE6FB79"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Text associated with each phase </w:t>
            </w:r>
            <w:r w:rsidR="00886397" w:rsidRPr="00687FBF">
              <w:rPr>
                <w:rFonts w:ascii="Calibri" w:hAnsi="Calibri" w:cs="Calibri"/>
                <w:sz w:val="18"/>
              </w:rPr>
              <w:t>has been strengthened</w:t>
            </w:r>
            <w:r w:rsidRPr="00687FBF">
              <w:rPr>
                <w:rFonts w:ascii="Calibri" w:hAnsi="Calibri" w:cs="Calibri"/>
                <w:sz w:val="18"/>
              </w:rPr>
              <w:t>.</w:t>
            </w:r>
            <w:r w:rsidR="00886397" w:rsidRPr="00687FBF">
              <w:rPr>
                <w:rFonts w:ascii="Calibri" w:hAnsi="Calibri" w:cs="Calibri"/>
                <w:sz w:val="18"/>
              </w:rPr>
              <w:t xml:space="preserve"> </w:t>
            </w:r>
            <w:r w:rsidRPr="00687FBF">
              <w:rPr>
                <w:rFonts w:ascii="Calibri" w:hAnsi="Calibri" w:cs="Calibri"/>
                <w:sz w:val="18"/>
              </w:rPr>
              <w:t>Phases are now ali</w:t>
            </w:r>
            <w:r w:rsidR="00AE6A3B" w:rsidRPr="00687FBF">
              <w:rPr>
                <w:rFonts w:ascii="Calibri" w:hAnsi="Calibri" w:cs="Calibri"/>
                <w:sz w:val="18"/>
              </w:rPr>
              <w:t>gned to other national plans which have</w:t>
            </w:r>
            <w:r w:rsidRPr="00687FBF">
              <w:rPr>
                <w:rFonts w:ascii="Calibri" w:hAnsi="Calibri" w:cs="Calibri"/>
                <w:sz w:val="18"/>
              </w:rPr>
              <w:t xml:space="preserve"> been included in the diagram.</w:t>
            </w:r>
          </w:p>
        </w:tc>
      </w:tr>
      <w:tr w:rsidR="000369FE" w:rsidRPr="00E64147" w14:paraId="1EB508E1" w14:textId="77777777" w:rsidTr="002C6E3A">
        <w:tblPrEx>
          <w:tblLook w:val="04A0" w:firstRow="1" w:lastRow="0" w:firstColumn="1" w:lastColumn="0" w:noHBand="0" w:noVBand="1"/>
        </w:tblPrEx>
        <w:trPr>
          <w:trHeight w:val="1200"/>
        </w:trPr>
        <w:tc>
          <w:tcPr>
            <w:tcW w:w="561" w:type="dxa"/>
            <w:hideMark/>
          </w:tcPr>
          <w:p w14:paraId="77CA40E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53</w:t>
            </w:r>
          </w:p>
        </w:tc>
        <w:tc>
          <w:tcPr>
            <w:tcW w:w="1417" w:type="dxa"/>
            <w:hideMark/>
          </w:tcPr>
          <w:p w14:paraId="2529C71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4EC6EAD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402CD44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570</w:t>
            </w:r>
          </w:p>
        </w:tc>
        <w:tc>
          <w:tcPr>
            <w:tcW w:w="2269" w:type="dxa"/>
            <w:hideMark/>
          </w:tcPr>
          <w:p w14:paraId="12D8D09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Who is the intended user of this framework? Is the following information the framework itself, or is the following from the GSR? In which case, what is the framework exactly?</w:t>
            </w:r>
          </w:p>
        </w:tc>
        <w:tc>
          <w:tcPr>
            <w:tcW w:w="2406" w:type="dxa"/>
          </w:tcPr>
          <w:p w14:paraId="22C7AD37"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614CE7D4" w14:textId="73C5AACE"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5E66897A" w14:textId="08182235"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Additional text to address these questions will be added to Section 3 preamble</w:t>
            </w:r>
            <w:r w:rsidR="00AE6A3B" w:rsidRPr="00687FBF">
              <w:rPr>
                <w:rFonts w:ascii="Calibri" w:hAnsi="Calibri" w:cs="Calibri"/>
                <w:sz w:val="18"/>
              </w:rPr>
              <w:t>.</w:t>
            </w:r>
          </w:p>
        </w:tc>
      </w:tr>
      <w:tr w:rsidR="000369FE" w:rsidRPr="00E64147" w14:paraId="72AAE1F8"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2222675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54</w:t>
            </w:r>
          </w:p>
        </w:tc>
        <w:tc>
          <w:tcPr>
            <w:tcW w:w="1417" w:type="dxa"/>
            <w:hideMark/>
          </w:tcPr>
          <w:p w14:paraId="1CE473D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033DC2A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73611A3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36</w:t>
            </w:r>
          </w:p>
        </w:tc>
        <w:tc>
          <w:tcPr>
            <w:tcW w:w="2269" w:type="dxa"/>
            <w:hideMark/>
          </w:tcPr>
          <w:p w14:paraId="6F37ADD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Not sure what off-site jurisdictions means.</w:t>
            </w:r>
          </w:p>
        </w:tc>
        <w:tc>
          <w:tcPr>
            <w:tcW w:w="2406" w:type="dxa"/>
          </w:tcPr>
          <w:p w14:paraId="4615C7D5"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4CA01A68" w14:textId="257F88F8"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3521F46E" w14:textId="4FF3A74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This term has been added to the glossary</w:t>
            </w:r>
            <w:r w:rsidR="00AE6A3B" w:rsidRPr="00687FBF">
              <w:rPr>
                <w:rFonts w:ascii="Calibri" w:hAnsi="Calibri" w:cs="Calibri"/>
                <w:sz w:val="18"/>
              </w:rPr>
              <w:t xml:space="preserve"> under the term ‘site area’.</w:t>
            </w:r>
          </w:p>
        </w:tc>
      </w:tr>
      <w:tr w:rsidR="000369FE" w:rsidRPr="00E64147" w14:paraId="5E85F64C" w14:textId="77777777" w:rsidTr="002C6E3A">
        <w:tblPrEx>
          <w:tblLook w:val="04A0" w:firstRow="1" w:lastRow="0" w:firstColumn="1" w:lastColumn="0" w:noHBand="0" w:noVBand="1"/>
        </w:tblPrEx>
        <w:trPr>
          <w:trHeight w:val="900"/>
        </w:trPr>
        <w:tc>
          <w:tcPr>
            <w:tcW w:w="561" w:type="dxa"/>
            <w:hideMark/>
          </w:tcPr>
          <w:p w14:paraId="20ABE84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55</w:t>
            </w:r>
          </w:p>
        </w:tc>
        <w:tc>
          <w:tcPr>
            <w:tcW w:w="1417" w:type="dxa"/>
            <w:hideMark/>
          </w:tcPr>
          <w:p w14:paraId="7DFA7E9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0DD7A42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24C032D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2269" w:type="dxa"/>
            <w:hideMark/>
          </w:tcPr>
          <w:p w14:paraId="7C6C6748"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 think this is exactly the same as the Part 2 intro</w:t>
            </w:r>
          </w:p>
        </w:tc>
        <w:tc>
          <w:tcPr>
            <w:tcW w:w="2406" w:type="dxa"/>
          </w:tcPr>
          <w:p w14:paraId="65C31FED"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09ACC129"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437AF140"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Comment Only</w:t>
            </w:r>
            <w:r w:rsidRPr="00687FBF">
              <w:rPr>
                <w:rFonts w:ascii="Calibri" w:hAnsi="Calibri" w:cs="Calibri"/>
                <w:sz w:val="18"/>
              </w:rPr>
              <w:br/>
              <w:t>See Comment resolution 118</w:t>
            </w:r>
          </w:p>
        </w:tc>
      </w:tr>
      <w:tr w:rsidR="000369FE" w:rsidRPr="00E64147" w14:paraId="74F39CDE"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5446977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56</w:t>
            </w:r>
          </w:p>
        </w:tc>
        <w:tc>
          <w:tcPr>
            <w:tcW w:w="1417" w:type="dxa"/>
            <w:hideMark/>
          </w:tcPr>
          <w:p w14:paraId="332E034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074194F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79FC821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184</w:t>
            </w:r>
          </w:p>
        </w:tc>
        <w:tc>
          <w:tcPr>
            <w:tcW w:w="2269" w:type="dxa"/>
            <w:hideMark/>
          </w:tcPr>
          <w:p w14:paraId="6717E607"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is very hard to read</w:t>
            </w:r>
          </w:p>
        </w:tc>
        <w:tc>
          <w:tcPr>
            <w:tcW w:w="2406" w:type="dxa"/>
          </w:tcPr>
          <w:p w14:paraId="1AE07895"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307E9E08" w14:textId="75BCD682"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048171B3" w14:textId="73F96EE6"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Graphic has been edited for clarity</w:t>
            </w:r>
            <w:r w:rsidR="00AE6A3B" w:rsidRPr="00687FBF">
              <w:rPr>
                <w:rFonts w:ascii="Calibri" w:hAnsi="Calibri" w:cs="Calibri"/>
                <w:sz w:val="18"/>
              </w:rPr>
              <w:t>.</w:t>
            </w:r>
          </w:p>
        </w:tc>
      </w:tr>
      <w:tr w:rsidR="000369FE" w:rsidRPr="00E64147" w14:paraId="664F7716" w14:textId="77777777" w:rsidTr="002C6E3A">
        <w:tblPrEx>
          <w:tblLook w:val="04A0" w:firstRow="1" w:lastRow="0" w:firstColumn="1" w:lastColumn="0" w:noHBand="0" w:noVBand="1"/>
        </w:tblPrEx>
        <w:trPr>
          <w:trHeight w:val="900"/>
        </w:trPr>
        <w:tc>
          <w:tcPr>
            <w:tcW w:w="561" w:type="dxa"/>
            <w:hideMark/>
          </w:tcPr>
          <w:p w14:paraId="40D5DD5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57</w:t>
            </w:r>
          </w:p>
        </w:tc>
        <w:tc>
          <w:tcPr>
            <w:tcW w:w="1417" w:type="dxa"/>
            <w:hideMark/>
          </w:tcPr>
          <w:p w14:paraId="679A4E9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25C4EE5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0EF8350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444</w:t>
            </w:r>
          </w:p>
        </w:tc>
        <w:tc>
          <w:tcPr>
            <w:tcW w:w="2269" w:type="dxa"/>
            <w:hideMark/>
          </w:tcPr>
          <w:p w14:paraId="63173AF0"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Second dot point seems unfinished. Box 3 seems to have some repetition</w:t>
            </w:r>
          </w:p>
        </w:tc>
        <w:tc>
          <w:tcPr>
            <w:tcW w:w="2406" w:type="dxa"/>
          </w:tcPr>
          <w:p w14:paraId="0D3CEA86"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74FDC848" w14:textId="4C94FC6F"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46F95570" w14:textId="6E09B882"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Box 1 bullet 2 amended to include 'occurred?'</w:t>
            </w:r>
            <w:r w:rsidRPr="00687FBF">
              <w:rPr>
                <w:rFonts w:ascii="Calibri" w:hAnsi="Calibri" w:cs="Calibri"/>
                <w:sz w:val="18"/>
              </w:rPr>
              <w:br/>
              <w:t>Repetition has been removed from box 3</w:t>
            </w:r>
            <w:r w:rsidR="00AE6A3B" w:rsidRPr="00687FBF">
              <w:rPr>
                <w:rFonts w:ascii="Calibri" w:hAnsi="Calibri" w:cs="Calibri"/>
                <w:sz w:val="18"/>
              </w:rPr>
              <w:t>.</w:t>
            </w:r>
          </w:p>
        </w:tc>
      </w:tr>
      <w:tr w:rsidR="000369FE" w:rsidRPr="00E64147" w14:paraId="73901EBF"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500"/>
        </w:trPr>
        <w:tc>
          <w:tcPr>
            <w:tcW w:w="561" w:type="dxa"/>
            <w:hideMark/>
          </w:tcPr>
          <w:p w14:paraId="1198793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58</w:t>
            </w:r>
          </w:p>
        </w:tc>
        <w:tc>
          <w:tcPr>
            <w:tcW w:w="1417" w:type="dxa"/>
            <w:hideMark/>
          </w:tcPr>
          <w:p w14:paraId="216DD30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0D45439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353E59A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658</w:t>
            </w:r>
          </w:p>
        </w:tc>
        <w:tc>
          <w:tcPr>
            <w:tcW w:w="2269" w:type="dxa"/>
            <w:hideMark/>
          </w:tcPr>
          <w:p w14:paraId="34027A84"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Would you like to add the address for the plan:  http://www.health.gov.au/internet/publications/publishing.nsf/Content/ohp-radiological-toc</w:t>
            </w:r>
          </w:p>
        </w:tc>
        <w:tc>
          <w:tcPr>
            <w:tcW w:w="2406" w:type="dxa"/>
          </w:tcPr>
          <w:p w14:paraId="5E22F6CA"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7E627F3E"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23B861E4" w14:textId="282BBF9F"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Reference list has been amended to include this reference and </w:t>
            </w:r>
            <w:proofErr w:type="spellStart"/>
            <w:r w:rsidRPr="00687FBF">
              <w:rPr>
                <w:rFonts w:ascii="Calibri" w:hAnsi="Calibri" w:cs="Calibri"/>
                <w:sz w:val="18"/>
              </w:rPr>
              <w:t>Url</w:t>
            </w:r>
            <w:proofErr w:type="spellEnd"/>
            <w:r w:rsidR="00AE6A3B" w:rsidRPr="00687FBF">
              <w:rPr>
                <w:rFonts w:ascii="Calibri" w:hAnsi="Calibri" w:cs="Calibri"/>
                <w:sz w:val="18"/>
              </w:rPr>
              <w:t>.</w:t>
            </w:r>
          </w:p>
        </w:tc>
      </w:tr>
      <w:tr w:rsidR="000369FE" w:rsidRPr="00E64147" w14:paraId="06EDFA4F" w14:textId="77777777" w:rsidTr="002C6E3A">
        <w:tblPrEx>
          <w:tblLook w:val="04A0" w:firstRow="1" w:lastRow="0" w:firstColumn="1" w:lastColumn="0" w:noHBand="0" w:noVBand="1"/>
        </w:tblPrEx>
        <w:trPr>
          <w:trHeight w:val="3563"/>
        </w:trPr>
        <w:tc>
          <w:tcPr>
            <w:tcW w:w="561" w:type="dxa"/>
            <w:hideMark/>
          </w:tcPr>
          <w:p w14:paraId="7AF88B0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59</w:t>
            </w:r>
          </w:p>
        </w:tc>
        <w:tc>
          <w:tcPr>
            <w:tcW w:w="1417" w:type="dxa"/>
            <w:hideMark/>
          </w:tcPr>
          <w:p w14:paraId="2BFB9A1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Australian Government Department of Health</w:t>
            </w:r>
          </w:p>
        </w:tc>
        <w:tc>
          <w:tcPr>
            <w:tcW w:w="852" w:type="dxa"/>
            <w:hideMark/>
          </w:tcPr>
          <w:p w14:paraId="6E531D8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05A08E3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770</w:t>
            </w:r>
          </w:p>
        </w:tc>
        <w:tc>
          <w:tcPr>
            <w:tcW w:w="2269" w:type="dxa"/>
            <w:hideMark/>
          </w:tcPr>
          <w:p w14:paraId="7B7CF3F3"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Which programmes are we talking about?</w:t>
            </w:r>
          </w:p>
        </w:tc>
        <w:tc>
          <w:tcPr>
            <w:tcW w:w="2406" w:type="dxa"/>
          </w:tcPr>
          <w:p w14:paraId="03A7A9EA"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522E3A91" w14:textId="794DD862"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5289AE3B" w14:textId="22309E21"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has been reworded to remove repetition and improve clarity</w:t>
            </w:r>
            <w:r w:rsidR="00AE6A3B" w:rsidRPr="00687FBF">
              <w:rPr>
                <w:rFonts w:ascii="Calibri" w:hAnsi="Calibri" w:cs="Calibri"/>
                <w:sz w:val="18"/>
              </w:rPr>
              <w:t>.</w:t>
            </w:r>
          </w:p>
        </w:tc>
      </w:tr>
      <w:tr w:rsidR="000369FE" w:rsidRPr="00E64147" w14:paraId="4FC9A103"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200"/>
        </w:trPr>
        <w:tc>
          <w:tcPr>
            <w:tcW w:w="561" w:type="dxa"/>
            <w:hideMark/>
          </w:tcPr>
          <w:p w14:paraId="72A8594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60</w:t>
            </w:r>
          </w:p>
        </w:tc>
        <w:tc>
          <w:tcPr>
            <w:tcW w:w="1417" w:type="dxa"/>
            <w:hideMark/>
          </w:tcPr>
          <w:p w14:paraId="3F74E11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Department of Fire and Emergency Services (DFES), Western Australia</w:t>
            </w:r>
          </w:p>
        </w:tc>
        <w:tc>
          <w:tcPr>
            <w:tcW w:w="852" w:type="dxa"/>
            <w:hideMark/>
          </w:tcPr>
          <w:p w14:paraId="01EB038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2FF3D87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407</w:t>
            </w:r>
          </w:p>
        </w:tc>
        <w:tc>
          <w:tcPr>
            <w:tcW w:w="2269" w:type="dxa"/>
            <w:hideMark/>
          </w:tcPr>
          <w:p w14:paraId="38C344F0"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In Australia there have been serious injuries reported from industrial accidents, for example the 2014 borehole logging operation incident in Queensland</w:t>
            </w:r>
          </w:p>
        </w:tc>
        <w:tc>
          <w:tcPr>
            <w:tcW w:w="2406" w:type="dxa"/>
          </w:tcPr>
          <w:p w14:paraId="36388C85"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Industrial radiography is different to borehole logging.</w:t>
            </w:r>
          </w:p>
        </w:tc>
        <w:tc>
          <w:tcPr>
            <w:tcW w:w="1836" w:type="dxa"/>
          </w:tcPr>
          <w:p w14:paraId="3273A249" w14:textId="6C4F983C"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19258770" w14:textId="7EC60E45"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New line, to emphasise the example from explanatory text</w:t>
            </w:r>
            <w:r w:rsidR="00AE6A3B" w:rsidRPr="00687FBF">
              <w:rPr>
                <w:rFonts w:ascii="Calibri" w:hAnsi="Calibri" w:cs="Calibri"/>
                <w:sz w:val="18"/>
              </w:rPr>
              <w:t>.</w:t>
            </w:r>
          </w:p>
        </w:tc>
      </w:tr>
      <w:tr w:rsidR="000369FE" w:rsidRPr="00E64147" w14:paraId="274AD434" w14:textId="77777777" w:rsidTr="002C6E3A">
        <w:tblPrEx>
          <w:tblLook w:val="04A0" w:firstRow="1" w:lastRow="0" w:firstColumn="1" w:lastColumn="0" w:noHBand="0" w:noVBand="1"/>
        </w:tblPrEx>
        <w:trPr>
          <w:trHeight w:val="1361"/>
        </w:trPr>
        <w:tc>
          <w:tcPr>
            <w:tcW w:w="561" w:type="dxa"/>
            <w:hideMark/>
          </w:tcPr>
          <w:p w14:paraId="0532DB5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61</w:t>
            </w:r>
          </w:p>
        </w:tc>
        <w:tc>
          <w:tcPr>
            <w:tcW w:w="1417" w:type="dxa"/>
            <w:hideMark/>
          </w:tcPr>
          <w:p w14:paraId="0B14632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Department of Fire and Emergency Services (DFES), Western Australia</w:t>
            </w:r>
          </w:p>
        </w:tc>
        <w:tc>
          <w:tcPr>
            <w:tcW w:w="852" w:type="dxa"/>
            <w:hideMark/>
          </w:tcPr>
          <w:p w14:paraId="282BC56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23FCC4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1794</w:t>
            </w:r>
          </w:p>
        </w:tc>
        <w:tc>
          <w:tcPr>
            <w:tcW w:w="2269" w:type="dxa"/>
            <w:hideMark/>
          </w:tcPr>
          <w:p w14:paraId="548D199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QUERY: </w:t>
            </w:r>
            <w:r w:rsidRPr="00687FBF">
              <w:rPr>
                <w:rFonts w:ascii="Calibri" w:eastAsia="Times New Roman" w:hAnsi="Calibri" w:cs="Calibri"/>
                <w:sz w:val="18"/>
                <w:lang w:eastAsia="en-AU"/>
              </w:rPr>
              <w:br/>
              <w:t>“severe deterministic effects”</w:t>
            </w:r>
          </w:p>
        </w:tc>
        <w:tc>
          <w:tcPr>
            <w:tcW w:w="2406" w:type="dxa"/>
          </w:tcPr>
          <w:p w14:paraId="441C50A3"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What is a “severe deterministic effect”?</w:t>
            </w:r>
            <w:r w:rsidRPr="00687FBF">
              <w:rPr>
                <w:rFonts w:ascii="Calibri" w:eastAsia="Times New Roman" w:hAnsi="Calibri" w:cs="Calibri"/>
                <w:sz w:val="18"/>
                <w:lang w:eastAsia="en-AU"/>
              </w:rPr>
              <w:br/>
              <w:t>As per latest ICRP recommendations, should this be referred to as “tissue reaction”?</w:t>
            </w:r>
            <w:r w:rsidRPr="00687FBF">
              <w:rPr>
                <w:rFonts w:ascii="Calibri" w:eastAsia="Times New Roman" w:hAnsi="Calibri" w:cs="Calibri"/>
                <w:sz w:val="18"/>
                <w:lang w:eastAsia="en-AU"/>
              </w:rPr>
              <w:br/>
              <w:t xml:space="preserve">Are all deterministic effects severe, or are some deterministic effects </w:t>
            </w:r>
            <w:proofErr w:type="gramStart"/>
            <w:r w:rsidRPr="00687FBF">
              <w:rPr>
                <w:rFonts w:ascii="Calibri" w:eastAsia="Times New Roman" w:hAnsi="Calibri" w:cs="Calibri"/>
                <w:sz w:val="18"/>
                <w:lang w:eastAsia="en-AU"/>
              </w:rPr>
              <w:t xml:space="preserve">( </w:t>
            </w:r>
            <w:proofErr w:type="spellStart"/>
            <w:r w:rsidRPr="00687FBF">
              <w:rPr>
                <w:rFonts w:ascii="Calibri" w:eastAsia="Times New Roman" w:hAnsi="Calibri" w:cs="Calibri"/>
                <w:sz w:val="18"/>
                <w:lang w:eastAsia="en-AU"/>
              </w:rPr>
              <w:t>eg</w:t>
            </w:r>
            <w:proofErr w:type="spellEnd"/>
            <w:proofErr w:type="gramEnd"/>
            <w:r w:rsidRPr="00687FBF">
              <w:rPr>
                <w:rFonts w:ascii="Calibri" w:eastAsia="Times New Roman" w:hAnsi="Calibri" w:cs="Calibri"/>
                <w:sz w:val="18"/>
                <w:lang w:eastAsia="en-AU"/>
              </w:rPr>
              <w:t xml:space="preserve"> temporary sterility, or depression of haematopoiesis) deemed non-severe – should there be examples of severe and non-severe effects?</w:t>
            </w:r>
          </w:p>
        </w:tc>
        <w:tc>
          <w:tcPr>
            <w:tcW w:w="1836" w:type="dxa"/>
          </w:tcPr>
          <w:p w14:paraId="0D4E4453" w14:textId="3A69A611" w:rsidR="000369FE" w:rsidRPr="00687FBF" w:rsidRDefault="00C0394A"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0E9FE618" w14:textId="1815E24D"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The definition of tissue reaction from the </w:t>
            </w:r>
            <w:r w:rsidR="00C0394A" w:rsidRPr="00687FBF">
              <w:rPr>
                <w:rFonts w:ascii="Calibri" w:hAnsi="Calibri" w:cs="Calibri"/>
                <w:sz w:val="18"/>
              </w:rPr>
              <w:t xml:space="preserve">ARPANSA </w:t>
            </w:r>
            <w:r w:rsidRPr="00687FBF">
              <w:rPr>
                <w:rFonts w:ascii="Calibri" w:hAnsi="Calibri" w:cs="Calibri"/>
                <w:sz w:val="18"/>
              </w:rPr>
              <w:t xml:space="preserve">Fundamentals </w:t>
            </w:r>
            <w:r w:rsidR="00C0394A" w:rsidRPr="00687FBF">
              <w:rPr>
                <w:rFonts w:ascii="Calibri" w:hAnsi="Calibri" w:cs="Calibri"/>
                <w:sz w:val="18"/>
              </w:rPr>
              <w:t xml:space="preserve">(RPS F-1) </w:t>
            </w:r>
            <w:r w:rsidRPr="00687FBF">
              <w:rPr>
                <w:rFonts w:ascii="Calibri" w:hAnsi="Calibri" w:cs="Calibri"/>
                <w:sz w:val="18"/>
              </w:rPr>
              <w:t xml:space="preserve">has been placed in the glossary. </w:t>
            </w:r>
            <w:r w:rsidR="00C0394A" w:rsidRPr="00687FBF">
              <w:rPr>
                <w:rFonts w:ascii="Calibri" w:hAnsi="Calibri" w:cs="Calibri"/>
                <w:sz w:val="18"/>
              </w:rPr>
              <w:t>All mention of severe deterministic effect has been replaced with severe tissue reactions.</w:t>
            </w:r>
          </w:p>
        </w:tc>
      </w:tr>
      <w:tr w:rsidR="000369FE" w:rsidRPr="00E64147" w14:paraId="3D436936"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88"/>
        </w:trPr>
        <w:tc>
          <w:tcPr>
            <w:tcW w:w="561" w:type="dxa"/>
            <w:hideMark/>
          </w:tcPr>
          <w:p w14:paraId="7CBB8C2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62</w:t>
            </w:r>
          </w:p>
        </w:tc>
        <w:tc>
          <w:tcPr>
            <w:tcW w:w="1417" w:type="dxa"/>
            <w:hideMark/>
          </w:tcPr>
          <w:p w14:paraId="41FDB0E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Department of Fire and Emergency Services (DFES), Western Australia</w:t>
            </w:r>
          </w:p>
        </w:tc>
        <w:tc>
          <w:tcPr>
            <w:tcW w:w="852" w:type="dxa"/>
            <w:hideMark/>
          </w:tcPr>
          <w:p w14:paraId="3C777E6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4F3A21D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1794</w:t>
            </w:r>
          </w:p>
        </w:tc>
        <w:tc>
          <w:tcPr>
            <w:tcW w:w="2269" w:type="dxa"/>
            <w:hideMark/>
          </w:tcPr>
          <w:p w14:paraId="04322EA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COMMENT:</w:t>
            </w:r>
            <w:r w:rsidRPr="00687FBF">
              <w:rPr>
                <w:rFonts w:ascii="Calibri" w:eastAsia="Times New Roman" w:hAnsi="Calibri" w:cs="Calibri"/>
                <w:sz w:val="18"/>
                <w:lang w:eastAsia="en-AU"/>
              </w:rPr>
              <w:br/>
              <w:t>“(a) For doses for which protective actions and other response actions are expected to be undertaken under any circumstances in a nuclear or radiological emergency to avoid or to minimise severe deterministic effects”</w:t>
            </w:r>
          </w:p>
        </w:tc>
        <w:tc>
          <w:tcPr>
            <w:tcW w:w="2406" w:type="dxa"/>
          </w:tcPr>
          <w:p w14:paraId="14353AFA"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Concern with wording of “under any circumstances”</w:t>
            </w:r>
          </w:p>
        </w:tc>
        <w:tc>
          <w:tcPr>
            <w:tcW w:w="1836" w:type="dxa"/>
          </w:tcPr>
          <w:p w14:paraId="59244F07"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60F8A0F3"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16D202CE" w14:textId="77777777" w:rsidTr="002C6E3A">
        <w:tblPrEx>
          <w:tblLook w:val="04A0" w:firstRow="1" w:lastRow="0" w:firstColumn="1" w:lastColumn="0" w:noHBand="0" w:noVBand="1"/>
        </w:tblPrEx>
        <w:trPr>
          <w:trHeight w:val="1200"/>
        </w:trPr>
        <w:tc>
          <w:tcPr>
            <w:tcW w:w="561" w:type="dxa"/>
            <w:hideMark/>
          </w:tcPr>
          <w:p w14:paraId="5E281BC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63</w:t>
            </w:r>
          </w:p>
        </w:tc>
        <w:tc>
          <w:tcPr>
            <w:tcW w:w="1417" w:type="dxa"/>
            <w:hideMark/>
          </w:tcPr>
          <w:p w14:paraId="43BE6EF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Department of Fire and Emergency Services (DFES), Western Australia</w:t>
            </w:r>
          </w:p>
        </w:tc>
        <w:tc>
          <w:tcPr>
            <w:tcW w:w="852" w:type="dxa"/>
            <w:hideMark/>
          </w:tcPr>
          <w:p w14:paraId="7BB4EDF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71A524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1819</w:t>
            </w:r>
          </w:p>
        </w:tc>
        <w:tc>
          <w:tcPr>
            <w:tcW w:w="2269" w:type="dxa"/>
            <w:hideMark/>
          </w:tcPr>
          <w:p w14:paraId="77D3727D"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COMMENT:</w:t>
            </w:r>
            <w:r w:rsidRPr="00687FBF">
              <w:rPr>
                <w:rFonts w:ascii="Calibri" w:eastAsia="Times New Roman" w:hAnsi="Calibri" w:cs="Calibri"/>
                <w:sz w:val="18"/>
                <w:lang w:eastAsia="en-AU"/>
              </w:rPr>
              <w:br/>
              <w:t>Table B1</w:t>
            </w:r>
          </w:p>
        </w:tc>
        <w:tc>
          <w:tcPr>
            <w:tcW w:w="2406" w:type="dxa"/>
          </w:tcPr>
          <w:p w14:paraId="05DC198E"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It seems logical that all the actions in column 3 should be taken if any of the column 1 &amp; 2 values are exceeded. </w:t>
            </w:r>
            <w:r w:rsidRPr="00687FBF">
              <w:rPr>
                <w:rFonts w:ascii="Calibri" w:eastAsia="Times New Roman" w:hAnsi="Calibri" w:cs="Calibri"/>
                <w:sz w:val="18"/>
                <w:lang w:eastAsia="en-AU"/>
              </w:rPr>
              <w:br/>
              <w:t>Should the table be formatted differently so that column 3 actions are grouped together?</w:t>
            </w:r>
          </w:p>
        </w:tc>
        <w:tc>
          <w:tcPr>
            <w:tcW w:w="1836" w:type="dxa"/>
          </w:tcPr>
          <w:p w14:paraId="67CCFEAD" w14:textId="6BFB89BE"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3E53257D" w14:textId="2F74F34C" w:rsidR="000369FE" w:rsidRPr="00687FBF" w:rsidRDefault="00C0394A" w:rsidP="002C6E3A">
            <w:pPr>
              <w:spacing w:beforeLines="60" w:before="144" w:afterLines="60" w:after="144"/>
              <w:rPr>
                <w:rFonts w:ascii="Calibri" w:hAnsi="Calibri" w:cs="Calibri"/>
                <w:sz w:val="18"/>
              </w:rPr>
            </w:pPr>
            <w:r w:rsidRPr="00687FBF">
              <w:rPr>
                <w:rFonts w:ascii="Calibri" w:hAnsi="Calibri" w:cs="Calibri"/>
                <w:sz w:val="18"/>
              </w:rPr>
              <w:t>Styling error. Table has been r</w:t>
            </w:r>
            <w:r w:rsidR="000369FE" w:rsidRPr="00687FBF">
              <w:rPr>
                <w:rFonts w:ascii="Calibri" w:hAnsi="Calibri" w:cs="Calibri"/>
                <w:sz w:val="18"/>
              </w:rPr>
              <w:t>eformatted to reflect GSR Part 7.</w:t>
            </w:r>
          </w:p>
        </w:tc>
      </w:tr>
      <w:tr w:rsidR="000369FE" w:rsidRPr="00E64147" w14:paraId="538FCBA1"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054"/>
        </w:trPr>
        <w:tc>
          <w:tcPr>
            <w:tcW w:w="561" w:type="dxa"/>
            <w:hideMark/>
          </w:tcPr>
          <w:p w14:paraId="11C25CE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64</w:t>
            </w:r>
          </w:p>
        </w:tc>
        <w:tc>
          <w:tcPr>
            <w:tcW w:w="1417" w:type="dxa"/>
            <w:hideMark/>
          </w:tcPr>
          <w:p w14:paraId="6871AE2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Department of Fire and Emergency Services (DFES), Western Australia</w:t>
            </w:r>
          </w:p>
        </w:tc>
        <w:tc>
          <w:tcPr>
            <w:tcW w:w="852" w:type="dxa"/>
            <w:hideMark/>
          </w:tcPr>
          <w:p w14:paraId="6C32F18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796875F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Various</w:t>
            </w:r>
          </w:p>
        </w:tc>
        <w:tc>
          <w:tcPr>
            <w:tcW w:w="2269" w:type="dxa"/>
            <w:hideMark/>
          </w:tcPr>
          <w:p w14:paraId="3782B8A2"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COMMENT:</w:t>
            </w:r>
            <w:r w:rsidRPr="00687FBF">
              <w:rPr>
                <w:rFonts w:ascii="Calibri" w:eastAsia="Times New Roman" w:hAnsi="Calibri" w:cs="Calibri"/>
                <w:sz w:val="18"/>
                <w:lang w:eastAsia="en-AU"/>
              </w:rPr>
              <w:br/>
              <w:t>Defined areas around an incident:</w:t>
            </w:r>
            <w:r w:rsidRPr="00687FBF">
              <w:rPr>
                <w:rFonts w:ascii="Calibri" w:eastAsia="Times New Roman" w:hAnsi="Calibri" w:cs="Calibri"/>
                <w:sz w:val="18"/>
                <w:lang w:eastAsia="en-AU"/>
              </w:rPr>
              <w:br/>
              <w:t>- Emergency planning distance (EPD and ICPD)</w:t>
            </w:r>
            <w:r w:rsidRPr="00687FBF">
              <w:rPr>
                <w:rFonts w:ascii="Calibri" w:eastAsia="Times New Roman" w:hAnsi="Calibri" w:cs="Calibri"/>
                <w:sz w:val="18"/>
                <w:lang w:eastAsia="en-AU"/>
              </w:rPr>
              <w:br/>
              <w:t>- Emergency planning zones (PAZ and UPZ)</w:t>
            </w:r>
            <w:r w:rsidRPr="00687FBF">
              <w:rPr>
                <w:rFonts w:ascii="Calibri" w:eastAsia="Times New Roman" w:hAnsi="Calibri" w:cs="Calibri"/>
                <w:sz w:val="18"/>
                <w:lang w:eastAsia="en-AU"/>
              </w:rPr>
              <w:br/>
              <w:t>- Extended planning distance (EPD)</w:t>
            </w:r>
            <w:r w:rsidRPr="00687FBF">
              <w:rPr>
                <w:rFonts w:ascii="Calibri" w:eastAsia="Times New Roman" w:hAnsi="Calibri" w:cs="Calibri"/>
                <w:sz w:val="18"/>
                <w:lang w:eastAsia="en-AU"/>
              </w:rPr>
              <w:br/>
              <w:t>- Ingestion and commodities planning distance (ICPD)</w:t>
            </w:r>
            <w:r w:rsidRPr="00687FBF">
              <w:rPr>
                <w:rFonts w:ascii="Calibri" w:eastAsia="Times New Roman" w:hAnsi="Calibri" w:cs="Calibri"/>
                <w:sz w:val="18"/>
                <w:lang w:eastAsia="en-AU"/>
              </w:rPr>
              <w:br/>
              <w:t>- Inner cordoned off area</w:t>
            </w:r>
            <w:r w:rsidRPr="00687FBF">
              <w:rPr>
                <w:rFonts w:ascii="Calibri" w:eastAsia="Times New Roman" w:hAnsi="Calibri" w:cs="Calibri"/>
                <w:sz w:val="18"/>
                <w:lang w:eastAsia="en-AU"/>
              </w:rPr>
              <w:br/>
              <w:t xml:space="preserve">- Precautionary action zone (PAZ) </w:t>
            </w:r>
            <w:r w:rsidRPr="00687FBF">
              <w:rPr>
                <w:rFonts w:ascii="Calibri" w:eastAsia="Times New Roman" w:hAnsi="Calibri" w:cs="Calibri"/>
                <w:sz w:val="18"/>
                <w:lang w:eastAsia="en-AU"/>
              </w:rPr>
              <w:br/>
              <w:t>- Urgent protective zone (UPZ)</w:t>
            </w:r>
            <w:r w:rsidRPr="00687FBF">
              <w:rPr>
                <w:rFonts w:ascii="Calibri" w:eastAsia="Times New Roman" w:hAnsi="Calibri" w:cs="Calibri"/>
                <w:sz w:val="18"/>
                <w:lang w:eastAsia="en-AU"/>
              </w:rPr>
              <w:br/>
              <w:t>- Site Area (On-site area / Off site area)</w:t>
            </w:r>
            <w:r w:rsidRPr="00687FBF">
              <w:rPr>
                <w:rFonts w:ascii="Calibri" w:eastAsia="Times New Roman" w:hAnsi="Calibri" w:cs="Calibri"/>
                <w:sz w:val="18"/>
                <w:lang w:eastAsia="en-AU"/>
              </w:rPr>
              <w:br/>
              <w:t>- Facility / Special facility</w:t>
            </w:r>
          </w:p>
        </w:tc>
        <w:tc>
          <w:tcPr>
            <w:tcW w:w="2406" w:type="dxa"/>
          </w:tcPr>
          <w:p w14:paraId="2CF1FD56"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These terms are used throughout the document –can there be any consolidation of these multiple terms to avoid potential confusion?</w:t>
            </w:r>
          </w:p>
        </w:tc>
        <w:tc>
          <w:tcPr>
            <w:tcW w:w="1836" w:type="dxa"/>
          </w:tcPr>
          <w:p w14:paraId="5A90A7F4" w14:textId="59BA431F"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7A882210" w14:textId="138849EB"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Part 1 introduces these terms, provides definitions in the glossary and consolidates their descriptions in Section 3.2.38</w:t>
            </w:r>
            <w:r w:rsidRPr="00687FBF">
              <w:rPr>
                <w:rFonts w:ascii="Calibri" w:hAnsi="Calibri" w:cs="Calibri"/>
                <w:sz w:val="18"/>
              </w:rPr>
              <w:br/>
              <w:t>Additionally, Part 2 Figure 3.3 provides a graphical representation of all these zones to aid in the understanding of their spatial relationship</w:t>
            </w:r>
            <w:r w:rsidR="00FB3CEB" w:rsidRPr="00687FBF">
              <w:rPr>
                <w:rFonts w:ascii="Calibri" w:hAnsi="Calibri" w:cs="Calibri"/>
                <w:sz w:val="18"/>
              </w:rPr>
              <w:t>.</w:t>
            </w:r>
          </w:p>
        </w:tc>
      </w:tr>
      <w:tr w:rsidR="000369FE" w:rsidRPr="00E64147" w14:paraId="634C0FE9" w14:textId="77777777" w:rsidTr="002C6E3A">
        <w:tblPrEx>
          <w:tblLook w:val="04A0" w:firstRow="1" w:lastRow="0" w:firstColumn="1" w:lastColumn="0" w:noHBand="0" w:noVBand="1"/>
        </w:tblPrEx>
        <w:trPr>
          <w:trHeight w:val="3000"/>
        </w:trPr>
        <w:tc>
          <w:tcPr>
            <w:tcW w:w="561" w:type="dxa"/>
            <w:hideMark/>
          </w:tcPr>
          <w:p w14:paraId="4E83B73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65</w:t>
            </w:r>
          </w:p>
        </w:tc>
        <w:tc>
          <w:tcPr>
            <w:tcW w:w="1417" w:type="dxa"/>
            <w:hideMark/>
          </w:tcPr>
          <w:p w14:paraId="2E1920C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Department of Fire and Emergency Services (DFES), Western Australia</w:t>
            </w:r>
          </w:p>
        </w:tc>
        <w:tc>
          <w:tcPr>
            <w:tcW w:w="852" w:type="dxa"/>
            <w:hideMark/>
          </w:tcPr>
          <w:p w14:paraId="150C7EE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1B6CB49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Various</w:t>
            </w:r>
          </w:p>
        </w:tc>
        <w:tc>
          <w:tcPr>
            <w:tcW w:w="2269" w:type="dxa"/>
            <w:hideMark/>
          </w:tcPr>
          <w:p w14:paraId="3457D9F2"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COMMENT: </w:t>
            </w:r>
            <w:r w:rsidRPr="00687FBF">
              <w:rPr>
                <w:rFonts w:ascii="Calibri" w:eastAsia="Times New Roman" w:hAnsi="Calibri" w:cs="Calibri"/>
                <w:sz w:val="18"/>
                <w:lang w:eastAsia="en-AU"/>
              </w:rPr>
              <w:br/>
              <w:t>Emergency responders:</w:t>
            </w:r>
            <w:r w:rsidRPr="00687FBF">
              <w:rPr>
                <w:rFonts w:ascii="Calibri" w:eastAsia="Times New Roman" w:hAnsi="Calibri" w:cs="Calibri"/>
                <w:sz w:val="18"/>
                <w:lang w:eastAsia="en-AU"/>
              </w:rPr>
              <w:br/>
              <w:t>- Emergency responder</w:t>
            </w:r>
            <w:r w:rsidRPr="00687FBF">
              <w:rPr>
                <w:rFonts w:ascii="Calibri" w:eastAsia="Times New Roman" w:hAnsi="Calibri" w:cs="Calibri"/>
                <w:sz w:val="18"/>
                <w:lang w:eastAsia="en-AU"/>
              </w:rPr>
              <w:br/>
              <w:t>- Emergency services (defined)</w:t>
            </w:r>
            <w:r w:rsidRPr="00687FBF">
              <w:rPr>
                <w:rFonts w:ascii="Calibri" w:eastAsia="Times New Roman" w:hAnsi="Calibri" w:cs="Calibri"/>
                <w:sz w:val="18"/>
                <w:lang w:eastAsia="en-AU"/>
              </w:rPr>
              <w:br/>
              <w:t>- Emergency worker (defined)</w:t>
            </w:r>
            <w:r w:rsidRPr="00687FBF">
              <w:rPr>
                <w:rFonts w:ascii="Calibri" w:eastAsia="Times New Roman" w:hAnsi="Calibri" w:cs="Calibri"/>
                <w:sz w:val="18"/>
                <w:lang w:eastAsia="en-AU"/>
              </w:rPr>
              <w:br/>
              <w:t>- First responder (defined)</w:t>
            </w:r>
            <w:r w:rsidRPr="00687FBF">
              <w:rPr>
                <w:rFonts w:ascii="Calibri" w:eastAsia="Times New Roman" w:hAnsi="Calibri" w:cs="Calibri"/>
                <w:sz w:val="18"/>
                <w:lang w:eastAsia="en-AU"/>
              </w:rPr>
              <w:br/>
              <w:t>- Helper</w:t>
            </w:r>
            <w:r w:rsidRPr="00687FBF">
              <w:rPr>
                <w:rFonts w:ascii="Calibri" w:eastAsia="Times New Roman" w:hAnsi="Calibri" w:cs="Calibri"/>
                <w:sz w:val="18"/>
                <w:lang w:eastAsia="en-AU"/>
              </w:rPr>
              <w:br/>
              <w:t>- Rescue services (appears to be just description rather than entity)</w:t>
            </w:r>
          </w:p>
        </w:tc>
        <w:tc>
          <w:tcPr>
            <w:tcW w:w="2406" w:type="dxa"/>
          </w:tcPr>
          <w:p w14:paraId="2950E664"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These terms are used throughout the document –can there be any consolidation of these multiple terms to avoid potential confusion?</w:t>
            </w:r>
          </w:p>
        </w:tc>
        <w:tc>
          <w:tcPr>
            <w:tcW w:w="1836" w:type="dxa"/>
          </w:tcPr>
          <w:p w14:paraId="1FA35D20" w14:textId="50BDD710"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59386373" w14:textId="2FBEE802"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Terminology has been harmonised, and glossary amended to minimise confusion.  Additional section added to Part 2 Section 4</w:t>
            </w:r>
            <w:r w:rsidR="00FB3CEB" w:rsidRPr="00687FBF">
              <w:rPr>
                <w:rFonts w:ascii="Calibri" w:hAnsi="Calibri" w:cs="Calibri"/>
                <w:sz w:val="18"/>
              </w:rPr>
              <w:t>.2</w:t>
            </w:r>
            <w:r w:rsidRPr="00687FBF">
              <w:rPr>
                <w:rFonts w:ascii="Calibri" w:hAnsi="Calibri" w:cs="Calibri"/>
                <w:sz w:val="18"/>
              </w:rPr>
              <w:t xml:space="preserve"> titled "Designation of organisations and personnel" which further clarifies these terms and their relationship.</w:t>
            </w:r>
          </w:p>
        </w:tc>
      </w:tr>
      <w:tr w:rsidR="000369FE" w:rsidRPr="00E64147" w14:paraId="25E432E6"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200"/>
        </w:trPr>
        <w:tc>
          <w:tcPr>
            <w:tcW w:w="561" w:type="dxa"/>
            <w:hideMark/>
          </w:tcPr>
          <w:p w14:paraId="780B556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66</w:t>
            </w:r>
          </w:p>
        </w:tc>
        <w:tc>
          <w:tcPr>
            <w:tcW w:w="1417" w:type="dxa"/>
            <w:hideMark/>
          </w:tcPr>
          <w:p w14:paraId="65D74E1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Department of Fire and Emergency Services (DFES), Western Australia</w:t>
            </w:r>
          </w:p>
        </w:tc>
        <w:tc>
          <w:tcPr>
            <w:tcW w:w="852" w:type="dxa"/>
            <w:hideMark/>
          </w:tcPr>
          <w:p w14:paraId="0FDCB3B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20E611C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296</w:t>
            </w:r>
          </w:p>
        </w:tc>
        <w:tc>
          <w:tcPr>
            <w:tcW w:w="2269" w:type="dxa"/>
            <w:hideMark/>
          </w:tcPr>
          <w:p w14:paraId="3545950E"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Should this read “RPS G-3 – Part 1, Table B.2 in Annex B”</w:t>
            </w:r>
          </w:p>
        </w:tc>
        <w:tc>
          <w:tcPr>
            <w:tcW w:w="2406" w:type="dxa"/>
          </w:tcPr>
          <w:p w14:paraId="4973FAAD"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Existing text implies that Table B.2 is in Part 3.</w:t>
            </w:r>
          </w:p>
        </w:tc>
        <w:tc>
          <w:tcPr>
            <w:tcW w:w="1836" w:type="dxa"/>
          </w:tcPr>
          <w:p w14:paraId="0164885B"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08CFC5CE"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76604567" w14:textId="77777777" w:rsidTr="002C6E3A">
        <w:tblPrEx>
          <w:tblLook w:val="04A0" w:firstRow="1" w:lastRow="0" w:firstColumn="1" w:lastColumn="0" w:noHBand="0" w:noVBand="1"/>
        </w:tblPrEx>
        <w:trPr>
          <w:trHeight w:val="1200"/>
        </w:trPr>
        <w:tc>
          <w:tcPr>
            <w:tcW w:w="561" w:type="dxa"/>
            <w:hideMark/>
          </w:tcPr>
          <w:p w14:paraId="3E81765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67</w:t>
            </w:r>
          </w:p>
        </w:tc>
        <w:tc>
          <w:tcPr>
            <w:tcW w:w="1417" w:type="dxa"/>
            <w:hideMark/>
          </w:tcPr>
          <w:p w14:paraId="07A59C1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Department of Fire and Emergency Services (DFES), Western Australia</w:t>
            </w:r>
          </w:p>
        </w:tc>
        <w:tc>
          <w:tcPr>
            <w:tcW w:w="852" w:type="dxa"/>
            <w:hideMark/>
          </w:tcPr>
          <w:p w14:paraId="7762149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08BCD6D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812</w:t>
            </w:r>
          </w:p>
        </w:tc>
        <w:tc>
          <w:tcPr>
            <w:tcW w:w="2269" w:type="dxa"/>
            <w:hideMark/>
          </w:tcPr>
          <w:p w14:paraId="4F8A1AC4"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Table A.4 last line “Package”</w:t>
            </w:r>
          </w:p>
        </w:tc>
        <w:tc>
          <w:tcPr>
            <w:tcW w:w="2406" w:type="dxa"/>
          </w:tcPr>
          <w:p w14:paraId="0031C14D"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 word/line “Package” doesn’t appear to have any associated advice.</w:t>
            </w:r>
          </w:p>
        </w:tc>
        <w:tc>
          <w:tcPr>
            <w:tcW w:w="1836" w:type="dxa"/>
          </w:tcPr>
          <w:p w14:paraId="0FD15043"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6C00D109" w14:textId="2EABA95C"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Publication error, table has </w:t>
            </w:r>
            <w:r w:rsidR="00FB3CEB" w:rsidRPr="00687FBF">
              <w:rPr>
                <w:rFonts w:ascii="Calibri" w:hAnsi="Calibri" w:cs="Calibri"/>
                <w:sz w:val="18"/>
              </w:rPr>
              <w:t>been modified.</w:t>
            </w:r>
          </w:p>
        </w:tc>
      </w:tr>
      <w:tr w:rsidR="000369FE" w:rsidRPr="00E64147" w14:paraId="30BA1199"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200"/>
        </w:trPr>
        <w:tc>
          <w:tcPr>
            <w:tcW w:w="561" w:type="dxa"/>
            <w:hideMark/>
          </w:tcPr>
          <w:p w14:paraId="66536B7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68</w:t>
            </w:r>
          </w:p>
        </w:tc>
        <w:tc>
          <w:tcPr>
            <w:tcW w:w="1417" w:type="dxa"/>
            <w:hideMark/>
          </w:tcPr>
          <w:p w14:paraId="294F89F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Department of Fire and Emergency Services (DFES), Western Australia</w:t>
            </w:r>
          </w:p>
        </w:tc>
        <w:tc>
          <w:tcPr>
            <w:tcW w:w="852" w:type="dxa"/>
            <w:hideMark/>
          </w:tcPr>
          <w:p w14:paraId="6B6D276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558E076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843</w:t>
            </w:r>
          </w:p>
        </w:tc>
        <w:tc>
          <w:tcPr>
            <w:tcW w:w="2269" w:type="dxa"/>
            <w:hideMark/>
          </w:tcPr>
          <w:p w14:paraId="44BF5BBA"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COMMENT: </w:t>
            </w:r>
            <w:r w:rsidRPr="00687FBF">
              <w:rPr>
                <w:rFonts w:ascii="Calibri" w:eastAsia="Times New Roman" w:hAnsi="Calibri" w:cs="Calibri"/>
                <w:sz w:val="18"/>
                <w:lang w:eastAsia="en-AU"/>
              </w:rPr>
              <w:br/>
              <w:t>“Doses off site approaching the urgent protective action intervention levels.”</w:t>
            </w:r>
          </w:p>
        </w:tc>
        <w:tc>
          <w:tcPr>
            <w:tcW w:w="2406" w:type="dxa"/>
          </w:tcPr>
          <w:p w14:paraId="7C2ECFD3"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To help the context of “urgent protective action intervention level”, should OILs (Operational Intervention Levels) be referenced here?</w:t>
            </w:r>
          </w:p>
        </w:tc>
        <w:tc>
          <w:tcPr>
            <w:tcW w:w="1836" w:type="dxa"/>
          </w:tcPr>
          <w:p w14:paraId="2AE7C904" w14:textId="271ABE21"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19175F92"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Reworded to "Doses off-site that may warrant implementing urgent protective actions"</w:t>
            </w:r>
          </w:p>
        </w:tc>
      </w:tr>
      <w:tr w:rsidR="000369FE" w:rsidRPr="00E64147" w14:paraId="65F396E1" w14:textId="77777777" w:rsidTr="002C6E3A">
        <w:tblPrEx>
          <w:tblLook w:val="04A0" w:firstRow="1" w:lastRow="0" w:firstColumn="1" w:lastColumn="0" w:noHBand="0" w:noVBand="1"/>
        </w:tblPrEx>
        <w:trPr>
          <w:trHeight w:val="1200"/>
        </w:trPr>
        <w:tc>
          <w:tcPr>
            <w:tcW w:w="561" w:type="dxa"/>
            <w:hideMark/>
          </w:tcPr>
          <w:p w14:paraId="6D41DED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69</w:t>
            </w:r>
          </w:p>
        </w:tc>
        <w:tc>
          <w:tcPr>
            <w:tcW w:w="1417" w:type="dxa"/>
            <w:hideMark/>
          </w:tcPr>
          <w:p w14:paraId="130ECA2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Department of Fire and Emergency Services (DFES), Western Australia</w:t>
            </w:r>
          </w:p>
        </w:tc>
        <w:tc>
          <w:tcPr>
            <w:tcW w:w="852" w:type="dxa"/>
            <w:hideMark/>
          </w:tcPr>
          <w:p w14:paraId="396E114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p>
        </w:tc>
        <w:tc>
          <w:tcPr>
            <w:tcW w:w="1137" w:type="dxa"/>
            <w:hideMark/>
          </w:tcPr>
          <w:p w14:paraId="4E9AE70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861</w:t>
            </w:r>
          </w:p>
        </w:tc>
        <w:tc>
          <w:tcPr>
            <w:tcW w:w="2269" w:type="dxa"/>
            <w:hideMark/>
          </w:tcPr>
          <w:p w14:paraId="279ED862"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COMMENT: </w:t>
            </w:r>
            <w:r w:rsidRPr="00687FBF">
              <w:rPr>
                <w:rFonts w:ascii="Calibri" w:eastAsia="Times New Roman" w:hAnsi="Calibri" w:cs="Calibri"/>
                <w:sz w:val="18"/>
                <w:lang w:eastAsia="en-AU"/>
              </w:rPr>
              <w:br/>
              <w:t>“high doses on site approaching the urgent protective action intervention levels”</w:t>
            </w:r>
          </w:p>
        </w:tc>
        <w:tc>
          <w:tcPr>
            <w:tcW w:w="2406" w:type="dxa"/>
          </w:tcPr>
          <w:p w14:paraId="13DFE858"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To help the context of “urgent protective action intervention level”, should OILs (Operational Intervention Levels) be referenced here?</w:t>
            </w:r>
          </w:p>
        </w:tc>
        <w:tc>
          <w:tcPr>
            <w:tcW w:w="1836" w:type="dxa"/>
          </w:tcPr>
          <w:p w14:paraId="0FE1290D" w14:textId="45BA89D7"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4BF08A39"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Reworded to "Doses on-site that may warrant implementing urgent protective actions"</w:t>
            </w:r>
          </w:p>
        </w:tc>
      </w:tr>
      <w:tr w:rsidR="000369FE" w:rsidRPr="00E64147" w14:paraId="741A46BF"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306"/>
        </w:trPr>
        <w:tc>
          <w:tcPr>
            <w:tcW w:w="561" w:type="dxa"/>
            <w:hideMark/>
          </w:tcPr>
          <w:p w14:paraId="4CF01E56" w14:textId="160A5F41" w:rsidR="000369FE" w:rsidRPr="00687FBF" w:rsidRDefault="00B25D21"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w:t>
            </w:r>
            <w:r w:rsidR="000369FE" w:rsidRPr="00687FBF">
              <w:rPr>
                <w:rFonts w:ascii="Calibri" w:eastAsia="Times New Roman" w:hAnsi="Calibri" w:cs="Calibri"/>
                <w:sz w:val="18"/>
                <w:szCs w:val="18"/>
                <w:lang w:eastAsia="en-AU"/>
              </w:rPr>
              <w:t>0</w:t>
            </w:r>
          </w:p>
        </w:tc>
        <w:tc>
          <w:tcPr>
            <w:tcW w:w="1417" w:type="dxa"/>
            <w:hideMark/>
          </w:tcPr>
          <w:p w14:paraId="32C8B8F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Department of Fire and Emergency Services (DFES), Western Australia</w:t>
            </w:r>
          </w:p>
        </w:tc>
        <w:tc>
          <w:tcPr>
            <w:tcW w:w="852" w:type="dxa"/>
            <w:hideMark/>
          </w:tcPr>
          <w:p w14:paraId="596C888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33BEE17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884</w:t>
            </w:r>
          </w:p>
        </w:tc>
        <w:tc>
          <w:tcPr>
            <w:tcW w:w="2269" w:type="dxa"/>
            <w:hideMark/>
          </w:tcPr>
          <w:p w14:paraId="3CDB4E38"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COMMENT: </w:t>
            </w:r>
            <w:r w:rsidRPr="00687FBF">
              <w:rPr>
                <w:rFonts w:ascii="Calibri" w:eastAsia="Times New Roman" w:hAnsi="Calibri" w:cs="Calibri"/>
                <w:sz w:val="18"/>
                <w:lang w:eastAsia="en-AU"/>
              </w:rPr>
              <w:br/>
              <w:t>Figure shows threshold for deterministic effects as 1Sv/1Gy.</w:t>
            </w:r>
          </w:p>
        </w:tc>
        <w:tc>
          <w:tcPr>
            <w:tcW w:w="2406" w:type="dxa"/>
          </w:tcPr>
          <w:p w14:paraId="44548D97"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As per ICRP recommendations, deterministic effects are expected below this level.</w:t>
            </w:r>
          </w:p>
        </w:tc>
        <w:tc>
          <w:tcPr>
            <w:tcW w:w="1836" w:type="dxa"/>
          </w:tcPr>
          <w:p w14:paraId="7AC8AC20" w14:textId="56D688EC"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7F803265" w14:textId="46A20779" w:rsidR="000369FE" w:rsidRPr="00687FBF" w:rsidRDefault="00FB3CEB" w:rsidP="002C6E3A">
            <w:pPr>
              <w:spacing w:beforeLines="60" w:before="144" w:afterLines="60" w:after="144"/>
              <w:rPr>
                <w:rFonts w:ascii="Calibri" w:hAnsi="Calibri" w:cs="Calibri"/>
                <w:sz w:val="18"/>
              </w:rPr>
            </w:pPr>
            <w:r w:rsidRPr="00687FBF">
              <w:rPr>
                <w:rFonts w:ascii="Calibri" w:hAnsi="Calibri" w:cs="Calibri"/>
                <w:sz w:val="18"/>
              </w:rPr>
              <w:t>Figure has been</w:t>
            </w:r>
            <w:r w:rsidR="008F4453" w:rsidRPr="00687FBF">
              <w:rPr>
                <w:rFonts w:ascii="Calibri" w:hAnsi="Calibri" w:cs="Calibri"/>
                <w:sz w:val="18"/>
              </w:rPr>
              <w:t xml:space="preserve"> reformatted to reflect UNSCEAR’s Radiation Effects and Sources (2016).</w:t>
            </w:r>
          </w:p>
        </w:tc>
      </w:tr>
      <w:tr w:rsidR="000369FE" w:rsidRPr="00E64147" w14:paraId="4880561F" w14:textId="77777777" w:rsidTr="002C6E3A">
        <w:tblPrEx>
          <w:tblLook w:val="04A0" w:firstRow="1" w:lastRow="0" w:firstColumn="1" w:lastColumn="0" w:noHBand="0" w:noVBand="1"/>
        </w:tblPrEx>
        <w:trPr>
          <w:trHeight w:val="600"/>
        </w:trPr>
        <w:tc>
          <w:tcPr>
            <w:tcW w:w="561" w:type="dxa"/>
            <w:hideMark/>
          </w:tcPr>
          <w:p w14:paraId="2F19098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71</w:t>
            </w:r>
          </w:p>
        </w:tc>
        <w:tc>
          <w:tcPr>
            <w:tcW w:w="1417" w:type="dxa"/>
            <w:hideMark/>
          </w:tcPr>
          <w:p w14:paraId="6E8FF29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235A3D3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57EAF67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25</w:t>
            </w:r>
          </w:p>
        </w:tc>
        <w:tc>
          <w:tcPr>
            <w:tcW w:w="2269" w:type="dxa"/>
            <w:hideMark/>
          </w:tcPr>
          <w:p w14:paraId="6BFF0A40"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32392838"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Planned and existing exposure situations are dealt with by other publications – omit the words “expected to be”.</w:t>
            </w:r>
          </w:p>
        </w:tc>
        <w:tc>
          <w:tcPr>
            <w:tcW w:w="1836" w:type="dxa"/>
          </w:tcPr>
          <w:p w14:paraId="55C8C6A2"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127909F9"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72183D25"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7E74B3B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72</w:t>
            </w:r>
          </w:p>
        </w:tc>
        <w:tc>
          <w:tcPr>
            <w:tcW w:w="1417" w:type="dxa"/>
            <w:hideMark/>
          </w:tcPr>
          <w:p w14:paraId="5E20104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0F1D840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7A5EF3A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209</w:t>
            </w:r>
          </w:p>
        </w:tc>
        <w:tc>
          <w:tcPr>
            <w:tcW w:w="2269" w:type="dxa"/>
            <w:hideMark/>
          </w:tcPr>
          <w:p w14:paraId="27B567B1"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7557C30B"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Stochastic/deterministic effects are such a fundamental concept which may be somewhat alien to many people. I wonder if this should be defined in the text as well as the </w:t>
            </w:r>
            <w:proofErr w:type="gramStart"/>
            <w:r w:rsidRPr="00687FBF">
              <w:rPr>
                <w:rFonts w:ascii="Calibri" w:eastAsia="Times New Roman" w:hAnsi="Calibri" w:cs="Calibri"/>
                <w:sz w:val="18"/>
                <w:lang w:eastAsia="en-AU"/>
              </w:rPr>
              <w:t>glossary?</w:t>
            </w:r>
            <w:proofErr w:type="gramEnd"/>
          </w:p>
        </w:tc>
        <w:tc>
          <w:tcPr>
            <w:tcW w:w="1836" w:type="dxa"/>
          </w:tcPr>
          <w:p w14:paraId="42E283B8" w14:textId="010C064E"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06E3F41A" w14:textId="26E7D2AD"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Inconsistent with document style and other glossary terms</w:t>
            </w:r>
            <w:r w:rsidR="009541A2" w:rsidRPr="00687FBF">
              <w:rPr>
                <w:rFonts w:ascii="Calibri" w:hAnsi="Calibri" w:cs="Calibri"/>
                <w:sz w:val="18"/>
              </w:rPr>
              <w:t>.</w:t>
            </w:r>
          </w:p>
        </w:tc>
      </w:tr>
      <w:tr w:rsidR="000369FE" w:rsidRPr="00E64147" w14:paraId="482DB026" w14:textId="77777777" w:rsidTr="002C6E3A">
        <w:tblPrEx>
          <w:tblLook w:val="04A0" w:firstRow="1" w:lastRow="0" w:firstColumn="1" w:lastColumn="0" w:noHBand="0" w:noVBand="1"/>
        </w:tblPrEx>
        <w:trPr>
          <w:trHeight w:val="600"/>
        </w:trPr>
        <w:tc>
          <w:tcPr>
            <w:tcW w:w="561" w:type="dxa"/>
            <w:hideMark/>
          </w:tcPr>
          <w:p w14:paraId="26EE9B0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73</w:t>
            </w:r>
          </w:p>
        </w:tc>
        <w:tc>
          <w:tcPr>
            <w:tcW w:w="1417" w:type="dxa"/>
            <w:hideMark/>
          </w:tcPr>
          <w:p w14:paraId="2ABDDBE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50AA9CB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C49EF5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232</w:t>
            </w:r>
          </w:p>
        </w:tc>
        <w:tc>
          <w:tcPr>
            <w:tcW w:w="2269" w:type="dxa"/>
            <w:hideMark/>
          </w:tcPr>
          <w:p w14:paraId="7B70C468"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302BD320"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The words “whether for commercial, or energy generation” do not make </w:t>
            </w:r>
            <w:proofErr w:type="gramStart"/>
            <w:r w:rsidRPr="00687FBF">
              <w:rPr>
                <w:rFonts w:ascii="Calibri" w:eastAsia="Times New Roman" w:hAnsi="Calibri" w:cs="Calibri"/>
                <w:sz w:val="18"/>
                <w:lang w:eastAsia="en-AU"/>
              </w:rPr>
              <w:t>sense.</w:t>
            </w:r>
            <w:proofErr w:type="gramEnd"/>
            <w:r w:rsidRPr="00687FBF">
              <w:rPr>
                <w:rFonts w:ascii="Calibri" w:eastAsia="Times New Roman" w:hAnsi="Calibri" w:cs="Calibri"/>
                <w:sz w:val="18"/>
                <w:lang w:eastAsia="en-AU"/>
              </w:rPr>
              <w:t xml:space="preserve"> We suggest their removal.</w:t>
            </w:r>
          </w:p>
        </w:tc>
        <w:tc>
          <w:tcPr>
            <w:tcW w:w="1836" w:type="dxa"/>
          </w:tcPr>
          <w:p w14:paraId="1C4F4A85"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28EA8644"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31AC23B5"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1BCB8CA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74</w:t>
            </w:r>
          </w:p>
        </w:tc>
        <w:tc>
          <w:tcPr>
            <w:tcW w:w="1417" w:type="dxa"/>
            <w:hideMark/>
          </w:tcPr>
          <w:p w14:paraId="6ADFBD4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246C579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B69ABD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258</w:t>
            </w:r>
          </w:p>
        </w:tc>
        <w:tc>
          <w:tcPr>
            <w:tcW w:w="2269" w:type="dxa"/>
            <w:hideMark/>
          </w:tcPr>
          <w:p w14:paraId="4FF29C2B"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295DECAC" w14:textId="1A975C3F"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For clarity say “The consequences of a release of radioactive material are independent of the initiating event”.</w:t>
            </w:r>
          </w:p>
        </w:tc>
        <w:tc>
          <w:tcPr>
            <w:tcW w:w="1836" w:type="dxa"/>
          </w:tcPr>
          <w:p w14:paraId="134D4E2A"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17BC6645" w14:textId="77777777" w:rsidR="000369FE" w:rsidRPr="00687FBF" w:rsidRDefault="000369FE" w:rsidP="002C6E3A">
            <w:pPr>
              <w:spacing w:beforeLines="60" w:before="144" w:afterLines="60" w:after="144"/>
              <w:rPr>
                <w:sz w:val="18"/>
                <w:szCs w:val="20"/>
              </w:rPr>
            </w:pPr>
          </w:p>
        </w:tc>
      </w:tr>
      <w:tr w:rsidR="000369FE" w:rsidRPr="00E64147" w14:paraId="65DFE6D8" w14:textId="77777777" w:rsidTr="002C6E3A">
        <w:tblPrEx>
          <w:tblLook w:val="04A0" w:firstRow="1" w:lastRow="0" w:firstColumn="1" w:lastColumn="0" w:noHBand="0" w:noVBand="1"/>
        </w:tblPrEx>
        <w:trPr>
          <w:trHeight w:val="1435"/>
        </w:trPr>
        <w:tc>
          <w:tcPr>
            <w:tcW w:w="561" w:type="dxa"/>
            <w:hideMark/>
          </w:tcPr>
          <w:p w14:paraId="33E2AAE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75</w:t>
            </w:r>
          </w:p>
        </w:tc>
        <w:tc>
          <w:tcPr>
            <w:tcW w:w="1417" w:type="dxa"/>
            <w:hideMark/>
          </w:tcPr>
          <w:p w14:paraId="19C312B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6BB1FC8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26319F2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261</w:t>
            </w:r>
          </w:p>
        </w:tc>
        <w:tc>
          <w:tcPr>
            <w:tcW w:w="2269" w:type="dxa"/>
            <w:hideMark/>
          </w:tcPr>
          <w:p w14:paraId="58B3B2BF"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00DD34D7" w14:textId="5CFB83E3"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For consistency with the terms mentioned in lines 256 – 257, say “Unacceptable radiological consequences” rather than “Unacceptable exposure levels.</w:t>
            </w:r>
          </w:p>
        </w:tc>
        <w:tc>
          <w:tcPr>
            <w:tcW w:w="1836" w:type="dxa"/>
          </w:tcPr>
          <w:p w14:paraId="4140BB5A" w14:textId="30C2CCDF"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6B603BB8" w14:textId="4629E82E"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at lines 256-257 will be modified to reflect terminology in table</w:t>
            </w:r>
            <w:r w:rsidR="009541A2" w:rsidRPr="00687FBF">
              <w:rPr>
                <w:rFonts w:ascii="Calibri" w:hAnsi="Calibri" w:cs="Calibri"/>
                <w:sz w:val="18"/>
              </w:rPr>
              <w:t>.</w:t>
            </w:r>
          </w:p>
        </w:tc>
      </w:tr>
      <w:tr w:rsidR="000369FE" w:rsidRPr="00E64147" w14:paraId="52223E0E"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00"/>
        </w:trPr>
        <w:tc>
          <w:tcPr>
            <w:tcW w:w="561" w:type="dxa"/>
            <w:hideMark/>
          </w:tcPr>
          <w:p w14:paraId="59A7E6F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76</w:t>
            </w:r>
          </w:p>
        </w:tc>
        <w:tc>
          <w:tcPr>
            <w:tcW w:w="1417" w:type="dxa"/>
            <w:hideMark/>
          </w:tcPr>
          <w:p w14:paraId="1954DDF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67D4EC3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E776B8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291</w:t>
            </w:r>
          </w:p>
        </w:tc>
        <w:tc>
          <w:tcPr>
            <w:tcW w:w="2269" w:type="dxa"/>
            <w:hideMark/>
          </w:tcPr>
          <w:p w14:paraId="7665CB13"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3A2C836D" w14:textId="3BBAA02C"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Figure 2.3 is on page 19 – it should be moved closer to Section 2.3.</w:t>
            </w:r>
          </w:p>
        </w:tc>
        <w:tc>
          <w:tcPr>
            <w:tcW w:w="1836" w:type="dxa"/>
          </w:tcPr>
          <w:p w14:paraId="58BAB940"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0E619F20"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4458E9B3" w14:textId="77777777" w:rsidTr="002C6E3A">
        <w:tblPrEx>
          <w:tblLook w:val="04A0" w:firstRow="1" w:lastRow="0" w:firstColumn="1" w:lastColumn="0" w:noHBand="0" w:noVBand="1"/>
        </w:tblPrEx>
        <w:trPr>
          <w:trHeight w:val="1200"/>
        </w:trPr>
        <w:tc>
          <w:tcPr>
            <w:tcW w:w="561" w:type="dxa"/>
            <w:hideMark/>
          </w:tcPr>
          <w:p w14:paraId="06B3781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77</w:t>
            </w:r>
          </w:p>
        </w:tc>
        <w:tc>
          <w:tcPr>
            <w:tcW w:w="1417" w:type="dxa"/>
            <w:hideMark/>
          </w:tcPr>
          <w:p w14:paraId="2E134F3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35D1EB2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51374DF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388</w:t>
            </w:r>
          </w:p>
        </w:tc>
        <w:tc>
          <w:tcPr>
            <w:tcW w:w="2269" w:type="dxa"/>
            <w:hideMark/>
          </w:tcPr>
          <w:p w14:paraId="51B82220"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20021472" w14:textId="019F962C"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 hazard assessment for other types of events have, at the end of the assessment, some statement related to the likelihood or severity of the events happening in Australia. Is there a general conclusion from ARPANSA’s 2008 assessment about the likelihood or severity of debris re-entry?</w:t>
            </w:r>
          </w:p>
        </w:tc>
        <w:tc>
          <w:tcPr>
            <w:tcW w:w="1836" w:type="dxa"/>
          </w:tcPr>
          <w:p w14:paraId="0AD725B2" w14:textId="25606B5B"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7ACDCDB1" w14:textId="75BD82B3"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For consistency with the other hazard</w:t>
            </w:r>
            <w:r w:rsidR="009541A2" w:rsidRPr="00687FBF">
              <w:rPr>
                <w:rFonts w:ascii="Calibri" w:hAnsi="Calibri" w:cs="Calibri"/>
                <w:sz w:val="18"/>
              </w:rPr>
              <w:t>,</w:t>
            </w:r>
            <w:r w:rsidRPr="00687FBF">
              <w:rPr>
                <w:rFonts w:ascii="Calibri" w:hAnsi="Calibri" w:cs="Calibri"/>
                <w:sz w:val="18"/>
              </w:rPr>
              <w:t xml:space="preserve"> text has been modified and a likelihood statement has been included.</w:t>
            </w:r>
          </w:p>
        </w:tc>
      </w:tr>
      <w:tr w:rsidR="000369FE" w:rsidRPr="00E64147" w14:paraId="351CDBC4"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100"/>
        </w:trPr>
        <w:tc>
          <w:tcPr>
            <w:tcW w:w="561" w:type="dxa"/>
            <w:hideMark/>
          </w:tcPr>
          <w:p w14:paraId="220A4F2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78</w:t>
            </w:r>
          </w:p>
        </w:tc>
        <w:tc>
          <w:tcPr>
            <w:tcW w:w="1417" w:type="dxa"/>
            <w:hideMark/>
          </w:tcPr>
          <w:p w14:paraId="008C07F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171AD61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7B94FDA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400</w:t>
            </w:r>
          </w:p>
        </w:tc>
        <w:tc>
          <w:tcPr>
            <w:tcW w:w="2269" w:type="dxa"/>
            <w:hideMark/>
          </w:tcPr>
          <w:p w14:paraId="1DD33929"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4B449B28" w14:textId="6250D5D2"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I’m not sure “misuse” is the best word here – it implies some level of deliberation although the event may be due to accident or negligence. Also, do not focus on industrial uses – emergencies can happen with medical sources as well (Lines 420 – 421 could be included in this section).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I think what is meant to be described here is emergencies involving radioactive material in planned practices – so the title should reflect that.</w:t>
            </w:r>
          </w:p>
        </w:tc>
        <w:tc>
          <w:tcPr>
            <w:tcW w:w="1836" w:type="dxa"/>
          </w:tcPr>
          <w:p w14:paraId="22012F64" w14:textId="3F2E2383"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2283CB59"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Title is consistent with "Australian Government – Department of Health 2012. Australian Clinical Guidelines for Radiological Emergencies."</w:t>
            </w:r>
          </w:p>
        </w:tc>
      </w:tr>
      <w:tr w:rsidR="000369FE" w:rsidRPr="00E64147" w14:paraId="77C55E07" w14:textId="77777777" w:rsidTr="002C6E3A">
        <w:tblPrEx>
          <w:tblLook w:val="04A0" w:firstRow="1" w:lastRow="0" w:firstColumn="1" w:lastColumn="0" w:noHBand="0" w:noVBand="1"/>
        </w:tblPrEx>
        <w:trPr>
          <w:trHeight w:val="600"/>
        </w:trPr>
        <w:tc>
          <w:tcPr>
            <w:tcW w:w="561" w:type="dxa"/>
            <w:hideMark/>
          </w:tcPr>
          <w:p w14:paraId="2F27BE2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79</w:t>
            </w:r>
          </w:p>
        </w:tc>
        <w:tc>
          <w:tcPr>
            <w:tcW w:w="1417" w:type="dxa"/>
            <w:hideMark/>
          </w:tcPr>
          <w:p w14:paraId="22B6B0B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55A722F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07F4610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401</w:t>
            </w:r>
          </w:p>
        </w:tc>
        <w:tc>
          <w:tcPr>
            <w:tcW w:w="2269" w:type="dxa"/>
            <w:hideMark/>
          </w:tcPr>
          <w:p w14:paraId="453BFFF9"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29D7BB8A" w14:textId="5227D033"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Removing “industrial radiography” will broaden the scope of this section.</w:t>
            </w:r>
          </w:p>
        </w:tc>
        <w:tc>
          <w:tcPr>
            <w:tcW w:w="1836" w:type="dxa"/>
          </w:tcPr>
          <w:p w14:paraId="54426CEE" w14:textId="39465926"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1359D176" w14:textId="1DE4A69E"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will be reworded to reflect the broader scope of the sub-section</w:t>
            </w:r>
            <w:r w:rsidR="009541A2" w:rsidRPr="00687FBF">
              <w:rPr>
                <w:rFonts w:ascii="Calibri" w:hAnsi="Calibri" w:cs="Calibri"/>
                <w:sz w:val="18"/>
              </w:rPr>
              <w:t>.</w:t>
            </w:r>
          </w:p>
        </w:tc>
      </w:tr>
      <w:tr w:rsidR="000369FE" w:rsidRPr="00E64147" w14:paraId="5DC239AB"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00"/>
        </w:trPr>
        <w:tc>
          <w:tcPr>
            <w:tcW w:w="561" w:type="dxa"/>
            <w:hideMark/>
          </w:tcPr>
          <w:p w14:paraId="69B51B4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80</w:t>
            </w:r>
          </w:p>
        </w:tc>
        <w:tc>
          <w:tcPr>
            <w:tcW w:w="1417" w:type="dxa"/>
            <w:hideMark/>
          </w:tcPr>
          <w:p w14:paraId="63E4E3A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5EFFAFC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120835A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407</w:t>
            </w:r>
          </w:p>
        </w:tc>
        <w:tc>
          <w:tcPr>
            <w:tcW w:w="2269" w:type="dxa"/>
            <w:hideMark/>
          </w:tcPr>
          <w:p w14:paraId="5FFEE38A"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06C14DA" w14:textId="5C6B23F2"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 Queensland incident was a borehole logging accident.</w:t>
            </w:r>
          </w:p>
        </w:tc>
        <w:tc>
          <w:tcPr>
            <w:tcW w:w="1836" w:type="dxa"/>
          </w:tcPr>
          <w:p w14:paraId="5D68C25D"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16F55B74" w14:textId="6771A83A" w:rsidR="000369FE" w:rsidRPr="00687FBF" w:rsidRDefault="009541A2" w:rsidP="002C6E3A">
            <w:pPr>
              <w:spacing w:beforeLines="60" w:before="144" w:afterLines="60" w:after="144"/>
              <w:rPr>
                <w:rFonts w:ascii="Calibri" w:hAnsi="Calibri" w:cs="Calibri"/>
                <w:sz w:val="18"/>
              </w:rPr>
            </w:pPr>
            <w:r w:rsidRPr="00687FBF">
              <w:rPr>
                <w:rFonts w:ascii="Calibri" w:hAnsi="Calibri" w:cs="Calibri"/>
                <w:sz w:val="18"/>
              </w:rPr>
              <w:t>The w</w:t>
            </w:r>
            <w:r w:rsidR="000369FE" w:rsidRPr="00687FBF">
              <w:rPr>
                <w:rFonts w:ascii="Calibri" w:hAnsi="Calibri" w:cs="Calibri"/>
                <w:sz w:val="18"/>
              </w:rPr>
              <w:t>ord 'incident' to be changed to 'accident'</w:t>
            </w:r>
            <w:r w:rsidRPr="00687FBF">
              <w:rPr>
                <w:rFonts w:ascii="Calibri" w:hAnsi="Calibri" w:cs="Calibri"/>
                <w:sz w:val="18"/>
              </w:rPr>
              <w:t>.</w:t>
            </w:r>
          </w:p>
        </w:tc>
      </w:tr>
      <w:tr w:rsidR="000369FE" w:rsidRPr="00E64147" w14:paraId="455EF7BA" w14:textId="77777777" w:rsidTr="002C6E3A">
        <w:tblPrEx>
          <w:tblLook w:val="04A0" w:firstRow="1" w:lastRow="0" w:firstColumn="1" w:lastColumn="0" w:noHBand="0" w:noVBand="1"/>
        </w:tblPrEx>
        <w:trPr>
          <w:trHeight w:val="300"/>
        </w:trPr>
        <w:tc>
          <w:tcPr>
            <w:tcW w:w="561" w:type="dxa"/>
            <w:hideMark/>
          </w:tcPr>
          <w:p w14:paraId="7F2B4EB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81</w:t>
            </w:r>
          </w:p>
        </w:tc>
        <w:tc>
          <w:tcPr>
            <w:tcW w:w="1417" w:type="dxa"/>
            <w:hideMark/>
          </w:tcPr>
          <w:p w14:paraId="3B782E3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0C916BD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41E1EC1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409</w:t>
            </w:r>
          </w:p>
        </w:tc>
        <w:tc>
          <w:tcPr>
            <w:tcW w:w="2269" w:type="dxa"/>
            <w:hideMark/>
          </w:tcPr>
          <w:p w14:paraId="132C27C6"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1FFE877C" w14:textId="154ED894"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section should just be about transport emergencies.</w:t>
            </w:r>
          </w:p>
        </w:tc>
        <w:tc>
          <w:tcPr>
            <w:tcW w:w="1836" w:type="dxa"/>
          </w:tcPr>
          <w:p w14:paraId="02A06E80"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5FBBDECB" w14:textId="561F5F58"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Create 2 sub-sections (Transport and laboratory)</w:t>
            </w:r>
            <w:r w:rsidR="009541A2" w:rsidRPr="00687FBF">
              <w:rPr>
                <w:rFonts w:ascii="Calibri" w:hAnsi="Calibri" w:cs="Calibri"/>
                <w:sz w:val="18"/>
              </w:rPr>
              <w:t>.</w:t>
            </w:r>
          </w:p>
        </w:tc>
      </w:tr>
      <w:tr w:rsidR="000369FE" w:rsidRPr="00E64147" w14:paraId="07C965DF"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67526D3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82</w:t>
            </w:r>
          </w:p>
        </w:tc>
        <w:tc>
          <w:tcPr>
            <w:tcW w:w="1417" w:type="dxa"/>
            <w:hideMark/>
          </w:tcPr>
          <w:p w14:paraId="6034BE3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6272C2C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7A8762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410-411</w:t>
            </w:r>
          </w:p>
        </w:tc>
        <w:tc>
          <w:tcPr>
            <w:tcW w:w="2269" w:type="dxa"/>
            <w:hideMark/>
          </w:tcPr>
          <w:p w14:paraId="44CAD3FF"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Many thousands of transport operations involving radioactive material occur daily in Australia.</w:t>
            </w:r>
          </w:p>
        </w:tc>
        <w:tc>
          <w:tcPr>
            <w:tcW w:w="2406" w:type="dxa"/>
          </w:tcPr>
          <w:p w14:paraId="3433BF32"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The use of radiation and radioactive material does not occur with transport. I suggest the first sentence be “Many thousands of transport operations </w:t>
            </w:r>
            <w:r w:rsidRPr="00687FBF">
              <w:rPr>
                <w:rFonts w:ascii="Calibri" w:eastAsia="Times New Roman" w:hAnsi="Calibri" w:cs="Calibri"/>
                <w:sz w:val="18"/>
                <w:lang w:eastAsia="en-AU"/>
              </w:rPr>
              <w:lastRenderedPageBreak/>
              <w:t>involving radioactive material occur daily in Australia.”</w:t>
            </w:r>
          </w:p>
        </w:tc>
        <w:tc>
          <w:tcPr>
            <w:tcW w:w="1836" w:type="dxa"/>
          </w:tcPr>
          <w:p w14:paraId="403AA7AC"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lastRenderedPageBreak/>
              <w:t>Accepted</w:t>
            </w:r>
          </w:p>
        </w:tc>
        <w:tc>
          <w:tcPr>
            <w:tcW w:w="4118" w:type="dxa"/>
          </w:tcPr>
          <w:p w14:paraId="253F4867"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4D8E69A4" w14:textId="77777777" w:rsidTr="002C6E3A">
        <w:tblPrEx>
          <w:tblLook w:val="04A0" w:firstRow="1" w:lastRow="0" w:firstColumn="1" w:lastColumn="0" w:noHBand="0" w:noVBand="1"/>
        </w:tblPrEx>
        <w:trPr>
          <w:trHeight w:val="600"/>
        </w:trPr>
        <w:tc>
          <w:tcPr>
            <w:tcW w:w="561" w:type="dxa"/>
            <w:hideMark/>
          </w:tcPr>
          <w:p w14:paraId="5455D64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83</w:t>
            </w:r>
          </w:p>
        </w:tc>
        <w:tc>
          <w:tcPr>
            <w:tcW w:w="1417" w:type="dxa"/>
            <w:hideMark/>
          </w:tcPr>
          <w:p w14:paraId="7C0B544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59AE631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121B737F" w14:textId="10B88114"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420 -421</w:t>
            </w:r>
          </w:p>
        </w:tc>
        <w:tc>
          <w:tcPr>
            <w:tcW w:w="2269" w:type="dxa"/>
            <w:hideMark/>
          </w:tcPr>
          <w:p w14:paraId="422A8D54"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757CA036" w14:textId="0CD75B31"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 suggest moving this up to 2.4.7.</w:t>
            </w:r>
          </w:p>
        </w:tc>
        <w:tc>
          <w:tcPr>
            <w:tcW w:w="1836" w:type="dxa"/>
          </w:tcPr>
          <w:p w14:paraId="491B2982" w14:textId="7FF6714D"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32143DAA" w14:textId="39D26712"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Comments Resolution # 81</w:t>
            </w:r>
            <w:proofErr w:type="gramStart"/>
            <w:r w:rsidRPr="00687FBF">
              <w:rPr>
                <w:rFonts w:ascii="Calibri" w:hAnsi="Calibri" w:cs="Calibri"/>
                <w:sz w:val="18"/>
              </w:rPr>
              <w:t>:Create</w:t>
            </w:r>
            <w:proofErr w:type="gramEnd"/>
            <w:r w:rsidRPr="00687FBF">
              <w:rPr>
                <w:rFonts w:ascii="Calibri" w:hAnsi="Calibri" w:cs="Calibri"/>
                <w:sz w:val="18"/>
              </w:rPr>
              <w:t xml:space="preserve"> 2 sub-sections (Transport and laboratory)</w:t>
            </w:r>
            <w:r w:rsidR="009541A2" w:rsidRPr="00687FBF">
              <w:rPr>
                <w:rFonts w:ascii="Calibri" w:hAnsi="Calibri" w:cs="Calibri"/>
                <w:sz w:val="18"/>
              </w:rPr>
              <w:t>.</w:t>
            </w:r>
          </w:p>
        </w:tc>
      </w:tr>
      <w:tr w:rsidR="000369FE" w:rsidRPr="00E64147" w14:paraId="18123F4F"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00"/>
        </w:trPr>
        <w:tc>
          <w:tcPr>
            <w:tcW w:w="561" w:type="dxa"/>
            <w:hideMark/>
          </w:tcPr>
          <w:p w14:paraId="6B778BF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84</w:t>
            </w:r>
          </w:p>
        </w:tc>
        <w:tc>
          <w:tcPr>
            <w:tcW w:w="1417" w:type="dxa"/>
            <w:hideMark/>
          </w:tcPr>
          <w:p w14:paraId="6441AFA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46FCEF4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7074BE4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437</w:t>
            </w:r>
          </w:p>
        </w:tc>
        <w:tc>
          <w:tcPr>
            <w:tcW w:w="2269" w:type="dxa"/>
            <w:hideMark/>
          </w:tcPr>
          <w:p w14:paraId="49B38B52"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07F49C30" w14:textId="3CD22DD5"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There is no need to say that the division is for convenience and clarity.</w:t>
            </w:r>
          </w:p>
        </w:tc>
        <w:tc>
          <w:tcPr>
            <w:tcW w:w="1836" w:type="dxa"/>
          </w:tcPr>
          <w:p w14:paraId="4E189748"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207087B0"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2F661D0D" w14:textId="77777777" w:rsidTr="002C6E3A">
        <w:tblPrEx>
          <w:tblLook w:val="04A0" w:firstRow="1" w:lastRow="0" w:firstColumn="1" w:lastColumn="0" w:noHBand="0" w:noVBand="1"/>
        </w:tblPrEx>
        <w:trPr>
          <w:trHeight w:val="600"/>
        </w:trPr>
        <w:tc>
          <w:tcPr>
            <w:tcW w:w="561" w:type="dxa"/>
            <w:hideMark/>
          </w:tcPr>
          <w:p w14:paraId="0F13816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85</w:t>
            </w:r>
          </w:p>
        </w:tc>
        <w:tc>
          <w:tcPr>
            <w:tcW w:w="1417" w:type="dxa"/>
            <w:hideMark/>
          </w:tcPr>
          <w:p w14:paraId="7A58461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27862CB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16D1C4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443</w:t>
            </w:r>
          </w:p>
        </w:tc>
        <w:tc>
          <w:tcPr>
            <w:tcW w:w="2269" w:type="dxa"/>
            <w:hideMark/>
          </w:tcPr>
          <w:p w14:paraId="31E390F0"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023C0E4C" w14:textId="663525B5"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Need consistent terminology - in lines 428 and 474, the device is called a radiation exposure device, not a radiological exposure device.</w:t>
            </w:r>
          </w:p>
        </w:tc>
        <w:tc>
          <w:tcPr>
            <w:tcW w:w="1836" w:type="dxa"/>
          </w:tcPr>
          <w:p w14:paraId="54FD3B8C"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11E23DB6" w14:textId="6BECFB2F" w:rsidR="000369FE" w:rsidRPr="00687FBF" w:rsidRDefault="009541A2" w:rsidP="002C6E3A">
            <w:pPr>
              <w:spacing w:beforeLines="60" w:before="144" w:afterLines="60" w:after="144"/>
              <w:rPr>
                <w:rFonts w:ascii="Calibri" w:hAnsi="Calibri" w:cs="Calibri"/>
                <w:sz w:val="18"/>
              </w:rPr>
            </w:pPr>
            <w:r w:rsidRPr="00687FBF">
              <w:rPr>
                <w:rFonts w:ascii="Calibri" w:hAnsi="Calibri" w:cs="Calibri"/>
                <w:sz w:val="18"/>
              </w:rPr>
              <w:t>Text has been modified to reflect comment.</w:t>
            </w:r>
          </w:p>
        </w:tc>
      </w:tr>
      <w:tr w:rsidR="000369FE" w:rsidRPr="00E64147" w14:paraId="5B9B1DDE"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68"/>
        </w:trPr>
        <w:tc>
          <w:tcPr>
            <w:tcW w:w="561" w:type="dxa"/>
            <w:hideMark/>
          </w:tcPr>
          <w:p w14:paraId="7B753C7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86</w:t>
            </w:r>
          </w:p>
        </w:tc>
        <w:tc>
          <w:tcPr>
            <w:tcW w:w="1417" w:type="dxa"/>
            <w:hideMark/>
          </w:tcPr>
          <w:p w14:paraId="5B9D524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3D6B79A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5F26535B" w14:textId="113C8FAB"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444 - 445</w:t>
            </w:r>
          </w:p>
        </w:tc>
        <w:tc>
          <w:tcPr>
            <w:tcW w:w="2269" w:type="dxa"/>
            <w:hideMark/>
          </w:tcPr>
          <w:p w14:paraId="5C58AE89"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12CADDD" w14:textId="1FF48F16"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The Guidance for Medical Management (ARPANSA Technical Report 131) indicates that immediate adverse health effects are most likely for a high level of whole body exposure (acute radiation syndrome). Exposure to a localised source might only result in a localised injury which would seldom show the signs of acute radiation syndrome.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 xml:space="preserve">Using the word “immediate” here may imply an effect within seconds or minutes. Note that erythema, or a radiation burn, could be a </w:t>
            </w:r>
            <w:r w:rsidRPr="00687FBF">
              <w:rPr>
                <w:rFonts w:ascii="Calibri" w:eastAsia="Times New Roman" w:hAnsi="Calibri" w:cs="Calibri"/>
                <w:sz w:val="18"/>
                <w:lang w:eastAsia="en-AU"/>
              </w:rPr>
              <w:lastRenderedPageBreak/>
              <w:t xml:space="preserve">reasonably immediate adverse effect.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It may be preferable to say that people exposed to high levels of radiation to the whole body could develop acute adverse health effects (e.g. vomiting, nausea, diarrhoea or erythema) and that the effects of lower doses or localised exposures may only become apparent after some time.</w:t>
            </w:r>
          </w:p>
        </w:tc>
        <w:tc>
          <w:tcPr>
            <w:tcW w:w="1836" w:type="dxa"/>
          </w:tcPr>
          <w:p w14:paraId="3A16C6EF"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lastRenderedPageBreak/>
              <w:t>Accepted</w:t>
            </w:r>
          </w:p>
        </w:tc>
        <w:tc>
          <w:tcPr>
            <w:tcW w:w="4118" w:type="dxa"/>
          </w:tcPr>
          <w:p w14:paraId="16DA9BE3"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has been modified to reflect comment</w:t>
            </w:r>
          </w:p>
        </w:tc>
      </w:tr>
      <w:tr w:rsidR="000369FE" w:rsidRPr="00E64147" w14:paraId="6A0BA3DE" w14:textId="77777777" w:rsidTr="002C6E3A">
        <w:tblPrEx>
          <w:tblLook w:val="04A0" w:firstRow="1" w:lastRow="0" w:firstColumn="1" w:lastColumn="0" w:noHBand="0" w:noVBand="1"/>
        </w:tblPrEx>
        <w:trPr>
          <w:trHeight w:val="1500"/>
        </w:trPr>
        <w:tc>
          <w:tcPr>
            <w:tcW w:w="561" w:type="dxa"/>
            <w:hideMark/>
          </w:tcPr>
          <w:p w14:paraId="68D5B5A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87</w:t>
            </w:r>
          </w:p>
        </w:tc>
        <w:tc>
          <w:tcPr>
            <w:tcW w:w="1417" w:type="dxa"/>
            <w:hideMark/>
          </w:tcPr>
          <w:p w14:paraId="69A67FA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337B845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24915F5E" w14:textId="5B605DD3"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446 - 449</w:t>
            </w:r>
          </w:p>
        </w:tc>
        <w:tc>
          <w:tcPr>
            <w:tcW w:w="2269" w:type="dxa"/>
            <w:hideMark/>
          </w:tcPr>
          <w:p w14:paraId="7804577C"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99D350B"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The introduction of radioactive material to a water supply or dispersed into the air means the source is not localised - it is widely dispersed, and is likely to be more widely dispersed than the fragments of an RDD.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Perhaps this should be in the next section.</w:t>
            </w:r>
          </w:p>
        </w:tc>
        <w:tc>
          <w:tcPr>
            <w:tcW w:w="1836" w:type="dxa"/>
          </w:tcPr>
          <w:p w14:paraId="7F08D0B7"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103C0800"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7E01247D"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5B9A5A8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88</w:t>
            </w:r>
          </w:p>
        </w:tc>
        <w:tc>
          <w:tcPr>
            <w:tcW w:w="1417" w:type="dxa"/>
            <w:hideMark/>
          </w:tcPr>
          <w:p w14:paraId="4B8F056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48CFABB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1FA8CA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452</w:t>
            </w:r>
          </w:p>
        </w:tc>
        <w:tc>
          <w:tcPr>
            <w:tcW w:w="2269" w:type="dxa"/>
            <w:hideMark/>
          </w:tcPr>
          <w:p w14:paraId="63F1C278"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4CBE6875" w14:textId="0421FBEA"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Need consistent terminology - in lines 427 and 474, the device is called a radiation dispersal device, not a radiological dispersal device.</w:t>
            </w:r>
          </w:p>
        </w:tc>
        <w:tc>
          <w:tcPr>
            <w:tcW w:w="1836" w:type="dxa"/>
          </w:tcPr>
          <w:p w14:paraId="3FBA3BCD"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66950581" w14:textId="7F556250" w:rsidR="000369FE" w:rsidRPr="00687FBF" w:rsidRDefault="009541A2" w:rsidP="002C6E3A">
            <w:pPr>
              <w:spacing w:beforeLines="60" w:before="144" w:afterLines="60" w:after="144"/>
              <w:rPr>
                <w:rFonts w:ascii="Calibri" w:hAnsi="Calibri" w:cs="Calibri"/>
                <w:sz w:val="18"/>
              </w:rPr>
            </w:pPr>
            <w:r w:rsidRPr="00687FBF">
              <w:rPr>
                <w:rFonts w:ascii="Calibri" w:hAnsi="Calibri" w:cs="Calibri"/>
                <w:sz w:val="18"/>
              </w:rPr>
              <w:t>Text has been modified to reflect comment.</w:t>
            </w:r>
          </w:p>
        </w:tc>
      </w:tr>
      <w:tr w:rsidR="000369FE" w:rsidRPr="00E64147" w14:paraId="35CAE9FE" w14:textId="77777777" w:rsidTr="002C6E3A">
        <w:tblPrEx>
          <w:tblLook w:val="04A0" w:firstRow="1" w:lastRow="0" w:firstColumn="1" w:lastColumn="0" w:noHBand="0" w:noVBand="1"/>
        </w:tblPrEx>
        <w:trPr>
          <w:trHeight w:val="600"/>
        </w:trPr>
        <w:tc>
          <w:tcPr>
            <w:tcW w:w="561" w:type="dxa"/>
            <w:hideMark/>
          </w:tcPr>
          <w:p w14:paraId="0CE1CE9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89</w:t>
            </w:r>
          </w:p>
        </w:tc>
        <w:tc>
          <w:tcPr>
            <w:tcW w:w="1417" w:type="dxa"/>
            <w:hideMark/>
          </w:tcPr>
          <w:p w14:paraId="4DBE4D9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18B38D8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B49F8B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467</w:t>
            </w:r>
          </w:p>
        </w:tc>
        <w:tc>
          <w:tcPr>
            <w:tcW w:w="2269" w:type="dxa"/>
            <w:hideMark/>
          </w:tcPr>
          <w:p w14:paraId="1FD781EA"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299FA408" w14:textId="26C9E6F9"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May be worth mentioning that radiation induced trauma and conventional </w:t>
            </w:r>
            <w:r w:rsidRPr="00687FBF">
              <w:rPr>
                <w:rFonts w:ascii="Calibri" w:eastAsia="Times New Roman" w:hAnsi="Calibri" w:cs="Calibri"/>
                <w:sz w:val="18"/>
                <w:lang w:eastAsia="en-AU"/>
              </w:rPr>
              <w:lastRenderedPageBreak/>
              <w:t>trauma act synergistically with reference to mortality</w:t>
            </w:r>
          </w:p>
        </w:tc>
        <w:tc>
          <w:tcPr>
            <w:tcW w:w="1836" w:type="dxa"/>
          </w:tcPr>
          <w:p w14:paraId="6C649F52" w14:textId="4EC1BDFA"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lastRenderedPageBreak/>
              <w:t>Accepted with modifications</w:t>
            </w:r>
          </w:p>
        </w:tc>
        <w:tc>
          <w:tcPr>
            <w:tcW w:w="4118" w:type="dxa"/>
          </w:tcPr>
          <w:p w14:paraId="6B40F383" w14:textId="6A2D46AA" w:rsidR="000369FE" w:rsidRPr="00687FBF" w:rsidRDefault="009541A2" w:rsidP="002C6E3A">
            <w:pPr>
              <w:spacing w:beforeLines="60" w:before="144" w:afterLines="60" w:after="144"/>
              <w:rPr>
                <w:rFonts w:ascii="Calibri" w:hAnsi="Calibri" w:cs="Calibri"/>
                <w:sz w:val="18"/>
              </w:rPr>
            </w:pPr>
            <w:r w:rsidRPr="00687FBF">
              <w:rPr>
                <w:rFonts w:ascii="Calibri" w:hAnsi="Calibri" w:cs="Calibri"/>
                <w:sz w:val="18"/>
              </w:rPr>
              <w:t>Text has been modified to reflect comment.</w:t>
            </w:r>
          </w:p>
        </w:tc>
      </w:tr>
      <w:tr w:rsidR="000369FE" w:rsidRPr="00E64147" w14:paraId="5D844F7A"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447F836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90</w:t>
            </w:r>
          </w:p>
        </w:tc>
        <w:tc>
          <w:tcPr>
            <w:tcW w:w="1417" w:type="dxa"/>
            <w:hideMark/>
          </w:tcPr>
          <w:p w14:paraId="6AE1B16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6F5ECCB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22DFCF9D" w14:textId="1AFC452A"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489 - 490</w:t>
            </w:r>
          </w:p>
        </w:tc>
        <w:tc>
          <w:tcPr>
            <w:tcW w:w="2269" w:type="dxa"/>
            <w:hideMark/>
          </w:tcPr>
          <w:p w14:paraId="7F2C72C1"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673B4335" w14:textId="2AAEA351"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last sentence about protection is more appropriate for a public information sheet, not this guide.</w:t>
            </w:r>
          </w:p>
        </w:tc>
        <w:tc>
          <w:tcPr>
            <w:tcW w:w="1836" w:type="dxa"/>
          </w:tcPr>
          <w:p w14:paraId="678E3413"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5570A55A" w14:textId="7395B2EA"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Last sentence </w:t>
            </w:r>
            <w:r w:rsidR="009541A2" w:rsidRPr="00687FBF">
              <w:rPr>
                <w:rFonts w:ascii="Calibri" w:hAnsi="Calibri" w:cs="Calibri"/>
                <w:sz w:val="18"/>
              </w:rPr>
              <w:t xml:space="preserve">has been </w:t>
            </w:r>
            <w:r w:rsidRPr="00687FBF">
              <w:rPr>
                <w:rFonts w:ascii="Calibri" w:hAnsi="Calibri" w:cs="Calibri"/>
                <w:sz w:val="18"/>
              </w:rPr>
              <w:t>deleted</w:t>
            </w:r>
            <w:r w:rsidR="009541A2" w:rsidRPr="00687FBF">
              <w:rPr>
                <w:rFonts w:ascii="Calibri" w:hAnsi="Calibri" w:cs="Calibri"/>
                <w:sz w:val="18"/>
              </w:rPr>
              <w:t>.</w:t>
            </w:r>
          </w:p>
        </w:tc>
      </w:tr>
      <w:tr w:rsidR="000369FE" w:rsidRPr="00E64147" w14:paraId="641AAEDA" w14:textId="77777777" w:rsidTr="002C6E3A">
        <w:tblPrEx>
          <w:tblLook w:val="04A0" w:firstRow="1" w:lastRow="0" w:firstColumn="1" w:lastColumn="0" w:noHBand="0" w:noVBand="1"/>
        </w:tblPrEx>
        <w:trPr>
          <w:trHeight w:val="300"/>
        </w:trPr>
        <w:tc>
          <w:tcPr>
            <w:tcW w:w="561" w:type="dxa"/>
            <w:hideMark/>
          </w:tcPr>
          <w:p w14:paraId="37E9D6B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91</w:t>
            </w:r>
          </w:p>
        </w:tc>
        <w:tc>
          <w:tcPr>
            <w:tcW w:w="1417" w:type="dxa"/>
            <w:hideMark/>
          </w:tcPr>
          <w:p w14:paraId="20DFB4D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4129DEC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7E5401A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494</w:t>
            </w:r>
          </w:p>
        </w:tc>
        <w:tc>
          <w:tcPr>
            <w:tcW w:w="2269" w:type="dxa"/>
            <w:hideMark/>
          </w:tcPr>
          <w:p w14:paraId="77D07EEB"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14A1E500" w14:textId="08BC317F"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should be “Table 2.2”</w:t>
            </w:r>
          </w:p>
        </w:tc>
        <w:tc>
          <w:tcPr>
            <w:tcW w:w="1836" w:type="dxa"/>
          </w:tcPr>
          <w:p w14:paraId="21DAEC92"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66B26006" w14:textId="36C38B29"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Numberi</w:t>
            </w:r>
            <w:r w:rsidR="009541A2" w:rsidRPr="00687FBF">
              <w:rPr>
                <w:rFonts w:ascii="Calibri" w:hAnsi="Calibri" w:cs="Calibri"/>
                <w:sz w:val="18"/>
              </w:rPr>
              <w:t>ng will be updated in final editorial.</w:t>
            </w:r>
          </w:p>
        </w:tc>
      </w:tr>
      <w:tr w:rsidR="000369FE" w:rsidRPr="00E64147" w14:paraId="162D5568"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10"/>
        </w:trPr>
        <w:tc>
          <w:tcPr>
            <w:tcW w:w="561" w:type="dxa"/>
            <w:hideMark/>
          </w:tcPr>
          <w:p w14:paraId="6EB2D7E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92</w:t>
            </w:r>
          </w:p>
        </w:tc>
        <w:tc>
          <w:tcPr>
            <w:tcW w:w="1417" w:type="dxa"/>
            <w:hideMark/>
          </w:tcPr>
          <w:p w14:paraId="5E10C82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44DB4BE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2BFC68B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503</w:t>
            </w:r>
          </w:p>
        </w:tc>
        <w:tc>
          <w:tcPr>
            <w:tcW w:w="2269" w:type="dxa"/>
            <w:hideMark/>
          </w:tcPr>
          <w:p w14:paraId="0D49EF01"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6862A784" w14:textId="06BE7C50"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 “should” in this sentence would indicate that a national strategy is yet to be developed. If there is a national strategy and this guide is part of it (lines 527 – 528), the sentence should begin with “The national protection strategy covers the period”.</w:t>
            </w:r>
          </w:p>
        </w:tc>
        <w:tc>
          <w:tcPr>
            <w:tcW w:w="1836" w:type="dxa"/>
          </w:tcPr>
          <w:p w14:paraId="2BC16EF6" w14:textId="551C03C4"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36CA9E72"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51</w:t>
            </w:r>
          </w:p>
        </w:tc>
      </w:tr>
      <w:tr w:rsidR="000369FE" w:rsidRPr="00E64147" w14:paraId="58EEAC2D" w14:textId="77777777" w:rsidTr="002C6E3A">
        <w:tblPrEx>
          <w:tblLook w:val="04A0" w:firstRow="1" w:lastRow="0" w:firstColumn="1" w:lastColumn="0" w:noHBand="0" w:noVBand="1"/>
        </w:tblPrEx>
        <w:trPr>
          <w:trHeight w:val="600"/>
        </w:trPr>
        <w:tc>
          <w:tcPr>
            <w:tcW w:w="561" w:type="dxa"/>
            <w:hideMark/>
          </w:tcPr>
          <w:p w14:paraId="6432300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93</w:t>
            </w:r>
          </w:p>
        </w:tc>
        <w:tc>
          <w:tcPr>
            <w:tcW w:w="1417" w:type="dxa"/>
            <w:hideMark/>
          </w:tcPr>
          <w:p w14:paraId="74694DB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06D64E4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685BEA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523</w:t>
            </w:r>
          </w:p>
        </w:tc>
        <w:tc>
          <w:tcPr>
            <w:tcW w:w="2269" w:type="dxa"/>
            <w:hideMark/>
          </w:tcPr>
          <w:p w14:paraId="33EFE3BC"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15007FB0" w14:textId="54B3C96D"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The national reference level, generic criteria and operational criteria are not likely to be used for declaring an emergency. Rather, the emergency is declared in response to an event that is identified to be radiological (considering the emergency action levels or other observable conditions mentioned in RPS G-3 Part 2 Section 4.1). The application of reference levels and </w:t>
            </w:r>
            <w:r w:rsidRPr="00687FBF">
              <w:rPr>
                <w:rFonts w:ascii="Calibri" w:eastAsia="Times New Roman" w:hAnsi="Calibri" w:cs="Calibri"/>
                <w:sz w:val="18"/>
                <w:lang w:eastAsia="en-AU"/>
              </w:rPr>
              <w:lastRenderedPageBreak/>
              <w:t xml:space="preserve">criteria follow on from that.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It would make more sense to remove the words “declaring an emergency and”.</w:t>
            </w:r>
          </w:p>
        </w:tc>
        <w:tc>
          <w:tcPr>
            <w:tcW w:w="1836" w:type="dxa"/>
          </w:tcPr>
          <w:p w14:paraId="4F2F34FD" w14:textId="7C558490"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lastRenderedPageBreak/>
              <w:t>Accepted with modifications</w:t>
            </w:r>
          </w:p>
        </w:tc>
        <w:tc>
          <w:tcPr>
            <w:tcW w:w="4118" w:type="dxa"/>
          </w:tcPr>
          <w:p w14:paraId="6110B4A3"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51</w:t>
            </w:r>
          </w:p>
        </w:tc>
      </w:tr>
      <w:tr w:rsidR="000369FE" w:rsidRPr="00E64147" w14:paraId="2C333CB9"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00"/>
        </w:trPr>
        <w:tc>
          <w:tcPr>
            <w:tcW w:w="561" w:type="dxa"/>
            <w:hideMark/>
          </w:tcPr>
          <w:p w14:paraId="575027D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94</w:t>
            </w:r>
          </w:p>
        </w:tc>
        <w:tc>
          <w:tcPr>
            <w:tcW w:w="1417" w:type="dxa"/>
            <w:hideMark/>
          </w:tcPr>
          <w:p w14:paraId="3914653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5E7C35E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5E2D35A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686</w:t>
            </w:r>
          </w:p>
        </w:tc>
        <w:tc>
          <w:tcPr>
            <w:tcW w:w="2269" w:type="dxa"/>
            <w:hideMark/>
          </w:tcPr>
          <w:p w14:paraId="07708491"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029A5EEF" w14:textId="10433590"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RDD vs RED has already been defined. Note f is probably unnecessary</w:t>
            </w:r>
          </w:p>
        </w:tc>
        <w:tc>
          <w:tcPr>
            <w:tcW w:w="1836" w:type="dxa"/>
          </w:tcPr>
          <w:p w14:paraId="7738A966"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53C79F33"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46438A19" w14:textId="77777777" w:rsidTr="002C6E3A">
        <w:tblPrEx>
          <w:tblLook w:val="04A0" w:firstRow="1" w:lastRow="0" w:firstColumn="1" w:lastColumn="0" w:noHBand="0" w:noVBand="1"/>
        </w:tblPrEx>
        <w:trPr>
          <w:trHeight w:val="1500"/>
        </w:trPr>
        <w:tc>
          <w:tcPr>
            <w:tcW w:w="561" w:type="dxa"/>
            <w:hideMark/>
          </w:tcPr>
          <w:p w14:paraId="44AD4CD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95</w:t>
            </w:r>
          </w:p>
        </w:tc>
        <w:tc>
          <w:tcPr>
            <w:tcW w:w="1417" w:type="dxa"/>
            <w:hideMark/>
          </w:tcPr>
          <w:p w14:paraId="4769A07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3A3D85D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545558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739</w:t>
            </w:r>
          </w:p>
        </w:tc>
        <w:tc>
          <w:tcPr>
            <w:tcW w:w="2269" w:type="dxa"/>
            <w:hideMark/>
          </w:tcPr>
          <w:p w14:paraId="2FF04CD4"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30C040DA" w14:textId="7D6A9C6B"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 clinician is unlikely to understand this paragraph due to the terminology and level of detail in it</w:t>
            </w:r>
          </w:p>
        </w:tc>
        <w:tc>
          <w:tcPr>
            <w:tcW w:w="1836" w:type="dxa"/>
          </w:tcPr>
          <w:p w14:paraId="5A84AAE2" w14:textId="0E84AB6C"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2E9C8914" w14:textId="1FE0D05C"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This text has been adapted from GSR Part 7 and was </w:t>
            </w:r>
            <w:r w:rsidR="009541A2" w:rsidRPr="00687FBF">
              <w:rPr>
                <w:rFonts w:ascii="Calibri" w:hAnsi="Calibri" w:cs="Calibri"/>
                <w:sz w:val="18"/>
              </w:rPr>
              <w:t>approved</w:t>
            </w:r>
            <w:r w:rsidRPr="00687FBF">
              <w:rPr>
                <w:rFonts w:ascii="Calibri" w:hAnsi="Calibri" w:cs="Calibri"/>
                <w:sz w:val="18"/>
              </w:rPr>
              <w:t xml:space="preserve"> by</w:t>
            </w:r>
            <w:r w:rsidR="009541A2" w:rsidRPr="00687FBF">
              <w:rPr>
                <w:rFonts w:ascii="Calibri" w:hAnsi="Calibri" w:cs="Calibri"/>
                <w:sz w:val="18"/>
              </w:rPr>
              <w:t xml:space="preserve"> the</w:t>
            </w:r>
            <w:r w:rsidRPr="00687FBF">
              <w:rPr>
                <w:rFonts w:ascii="Calibri" w:hAnsi="Calibri" w:cs="Calibri"/>
                <w:sz w:val="18"/>
              </w:rPr>
              <w:t xml:space="preserve"> R</w:t>
            </w:r>
            <w:r w:rsidR="009541A2" w:rsidRPr="00687FBF">
              <w:rPr>
                <w:rFonts w:ascii="Calibri" w:hAnsi="Calibri" w:cs="Calibri"/>
                <w:sz w:val="18"/>
              </w:rPr>
              <w:t xml:space="preserve">adiation </w:t>
            </w:r>
            <w:r w:rsidRPr="00687FBF">
              <w:rPr>
                <w:rFonts w:ascii="Calibri" w:hAnsi="Calibri" w:cs="Calibri"/>
                <w:sz w:val="18"/>
              </w:rPr>
              <w:t>H</w:t>
            </w:r>
            <w:r w:rsidR="009541A2" w:rsidRPr="00687FBF">
              <w:rPr>
                <w:rFonts w:ascii="Calibri" w:hAnsi="Calibri" w:cs="Calibri"/>
                <w:sz w:val="18"/>
              </w:rPr>
              <w:t xml:space="preserve">ealth </w:t>
            </w:r>
            <w:r w:rsidRPr="00687FBF">
              <w:rPr>
                <w:rFonts w:ascii="Calibri" w:hAnsi="Calibri" w:cs="Calibri"/>
                <w:sz w:val="18"/>
              </w:rPr>
              <w:t>C</w:t>
            </w:r>
            <w:r w:rsidR="009541A2" w:rsidRPr="00687FBF">
              <w:rPr>
                <w:rFonts w:ascii="Calibri" w:hAnsi="Calibri" w:cs="Calibri"/>
                <w:sz w:val="18"/>
              </w:rPr>
              <w:t>ommittee</w:t>
            </w:r>
            <w:r w:rsidRPr="00687FBF">
              <w:rPr>
                <w:rFonts w:ascii="Calibri" w:hAnsi="Calibri" w:cs="Calibri"/>
                <w:sz w:val="18"/>
              </w:rPr>
              <w:t>.  Additionally this paragraph is intended for the development of a protection strategy for completeness and not necessarily to be interpreted by a clinician directly.</w:t>
            </w:r>
          </w:p>
        </w:tc>
      </w:tr>
      <w:tr w:rsidR="000369FE" w:rsidRPr="00E64147" w14:paraId="1F2D4CED"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00"/>
        </w:trPr>
        <w:tc>
          <w:tcPr>
            <w:tcW w:w="561" w:type="dxa"/>
            <w:hideMark/>
          </w:tcPr>
          <w:p w14:paraId="2815C60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96</w:t>
            </w:r>
          </w:p>
        </w:tc>
        <w:tc>
          <w:tcPr>
            <w:tcW w:w="1417" w:type="dxa"/>
            <w:hideMark/>
          </w:tcPr>
          <w:p w14:paraId="665A2E4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2CADC3F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2144A03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746</w:t>
            </w:r>
          </w:p>
        </w:tc>
        <w:tc>
          <w:tcPr>
            <w:tcW w:w="2269" w:type="dxa"/>
            <w:hideMark/>
          </w:tcPr>
          <w:p w14:paraId="60C35FFB"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4245FFA4" w14:textId="7DFF9D2B"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 think “(Section2.4)” should be “(Section 2.5)”.</w:t>
            </w:r>
          </w:p>
        </w:tc>
        <w:tc>
          <w:tcPr>
            <w:tcW w:w="1836" w:type="dxa"/>
          </w:tcPr>
          <w:p w14:paraId="126D2028"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7F774F62" w14:textId="523D74D4"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Numbering will be updated in final </w:t>
            </w:r>
            <w:r w:rsidR="009541A2" w:rsidRPr="00687FBF">
              <w:rPr>
                <w:rFonts w:ascii="Calibri" w:hAnsi="Calibri" w:cs="Calibri"/>
                <w:sz w:val="18"/>
              </w:rPr>
              <w:t>editorial.</w:t>
            </w:r>
          </w:p>
        </w:tc>
      </w:tr>
      <w:tr w:rsidR="000369FE" w:rsidRPr="00E64147" w14:paraId="1F8341E5" w14:textId="77777777" w:rsidTr="002C6E3A">
        <w:tblPrEx>
          <w:tblLook w:val="04A0" w:firstRow="1" w:lastRow="0" w:firstColumn="1" w:lastColumn="0" w:noHBand="0" w:noVBand="1"/>
        </w:tblPrEx>
        <w:trPr>
          <w:trHeight w:val="5100"/>
        </w:trPr>
        <w:tc>
          <w:tcPr>
            <w:tcW w:w="561" w:type="dxa"/>
            <w:hideMark/>
          </w:tcPr>
          <w:p w14:paraId="27ECF05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97</w:t>
            </w:r>
          </w:p>
        </w:tc>
        <w:tc>
          <w:tcPr>
            <w:tcW w:w="1417" w:type="dxa"/>
            <w:hideMark/>
          </w:tcPr>
          <w:p w14:paraId="47CD4E6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2A46084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5BB98355" w14:textId="5AF62A1B"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749 - 754</w:t>
            </w:r>
          </w:p>
        </w:tc>
        <w:tc>
          <w:tcPr>
            <w:tcW w:w="2269" w:type="dxa"/>
            <w:hideMark/>
          </w:tcPr>
          <w:p w14:paraId="76F03C67"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794A242A" w14:textId="1AB7CCBF"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It is noted that the text in Section 3 is based on the IAEA GSR Part 3. This section is taken from Section 4.28 of GSR Part 3 which requires that national generic criteria be developed based on the proposed generic criteria in GSR Part 3 Appendix II.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I had presumed that we had put some thought into these generic criteria and had decided that our generic criteria should be the same as, or lower than, those proposed in GSR Part 3. That is, that we have already developed ‘national’ generic criteria.</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Or are we (States, Territories and Commonwealth) yet to go through a process of considering whether the generic criteria proposed in Annex B are suitable for adoption as Australian national generic criteria?</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 xml:space="preserve">If we have not already been through a process of considering the generic criteria proposed in GSR Part 3 and deciding what is suitable for Australia, then why are the generic criteria in </w:t>
            </w:r>
            <w:r w:rsidRPr="00687FBF">
              <w:rPr>
                <w:rFonts w:ascii="Calibri" w:eastAsia="Times New Roman" w:hAnsi="Calibri" w:cs="Calibri"/>
                <w:sz w:val="18"/>
                <w:lang w:eastAsia="en-AU"/>
              </w:rPr>
              <w:lastRenderedPageBreak/>
              <w:t xml:space="preserve">Annex B not the same as those in GSR Part </w:t>
            </w:r>
            <w:proofErr w:type="gramStart"/>
            <w:r w:rsidRPr="00687FBF">
              <w:rPr>
                <w:rFonts w:ascii="Calibri" w:eastAsia="Times New Roman" w:hAnsi="Calibri" w:cs="Calibri"/>
                <w:sz w:val="18"/>
                <w:lang w:eastAsia="en-AU"/>
              </w:rPr>
              <w:t>3.?</w:t>
            </w:r>
            <w:proofErr w:type="gramEnd"/>
          </w:p>
        </w:tc>
        <w:tc>
          <w:tcPr>
            <w:tcW w:w="1836" w:type="dxa"/>
          </w:tcPr>
          <w:p w14:paraId="2C5A5D10" w14:textId="2E0B38BA"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lastRenderedPageBreak/>
              <w:t>Not accepted</w:t>
            </w:r>
          </w:p>
        </w:tc>
        <w:tc>
          <w:tcPr>
            <w:tcW w:w="4118" w:type="dxa"/>
          </w:tcPr>
          <w:p w14:paraId="21B107C1" w14:textId="7CDA2029" w:rsidR="000369FE" w:rsidRPr="00687FBF" w:rsidRDefault="000369FE" w:rsidP="002C6E3A">
            <w:pPr>
              <w:spacing w:beforeLines="60" w:before="144" w:afterLines="60" w:after="144"/>
              <w:rPr>
                <w:rFonts w:ascii="Calibri" w:hAnsi="Calibri" w:cs="Calibri"/>
                <w:sz w:val="18"/>
              </w:rPr>
            </w:pPr>
            <w:r w:rsidRPr="00687FBF">
              <w:rPr>
                <w:rFonts w:ascii="Calibri" w:eastAsia="Times New Roman" w:hAnsi="Calibri" w:cs="Calibri"/>
                <w:sz w:val="18"/>
                <w:lang w:eastAsia="en-AU"/>
              </w:rPr>
              <w:t>See Comment Resolution 107</w:t>
            </w:r>
            <w:r w:rsidRPr="00687FBF">
              <w:rPr>
                <w:rFonts w:ascii="Calibri" w:eastAsia="Times New Roman" w:hAnsi="Calibri" w:cs="Calibri"/>
                <w:sz w:val="18"/>
                <w:lang w:eastAsia="en-AU"/>
              </w:rPr>
              <w:br/>
              <w:t>RHSAC issued a statement (May 2017) on the adopt</w:t>
            </w:r>
            <w:r w:rsidR="009541A2" w:rsidRPr="00687FBF">
              <w:rPr>
                <w:rFonts w:ascii="Calibri" w:eastAsia="Times New Roman" w:hAnsi="Calibri" w:cs="Calibri"/>
                <w:sz w:val="18"/>
                <w:lang w:eastAsia="en-AU"/>
              </w:rPr>
              <w:t>ion of a 50</w:t>
            </w:r>
            <w:r w:rsidR="00E71AEE" w:rsidRPr="00687FBF">
              <w:rPr>
                <w:rFonts w:ascii="Calibri" w:eastAsia="Times New Roman" w:hAnsi="Calibri" w:cs="Calibri"/>
                <w:sz w:val="18"/>
                <w:lang w:eastAsia="en-AU"/>
              </w:rPr>
              <w:t xml:space="preserve"> </w:t>
            </w:r>
            <w:proofErr w:type="spellStart"/>
            <w:r w:rsidR="009541A2" w:rsidRPr="00687FBF">
              <w:rPr>
                <w:rFonts w:ascii="Calibri" w:eastAsia="Times New Roman" w:hAnsi="Calibri" w:cs="Calibri"/>
                <w:sz w:val="18"/>
                <w:lang w:eastAsia="en-AU"/>
              </w:rPr>
              <w:t>mSv</w:t>
            </w:r>
            <w:proofErr w:type="spellEnd"/>
            <w:r w:rsidR="009541A2" w:rsidRPr="00687FBF">
              <w:rPr>
                <w:rFonts w:ascii="Calibri" w:eastAsia="Times New Roman" w:hAnsi="Calibri" w:cs="Calibri"/>
                <w:sz w:val="18"/>
                <w:lang w:eastAsia="en-AU"/>
              </w:rPr>
              <w:t xml:space="preserve"> Reference level, </w:t>
            </w:r>
            <w:r w:rsidRPr="00687FBF">
              <w:rPr>
                <w:rFonts w:ascii="Calibri" w:eastAsia="Times New Roman" w:hAnsi="Calibri" w:cs="Calibri"/>
                <w:sz w:val="18"/>
                <w:lang w:eastAsia="en-AU"/>
              </w:rPr>
              <w:t>which outlined the rationale for its adoption. This document is referenced in the Guide, Section 2.</w:t>
            </w:r>
            <w:r w:rsidR="009541A2" w:rsidRPr="00687FBF">
              <w:rPr>
                <w:rFonts w:ascii="Calibri" w:eastAsia="Times New Roman" w:hAnsi="Calibri" w:cs="Calibri"/>
                <w:sz w:val="18"/>
                <w:lang w:eastAsia="en-AU"/>
              </w:rPr>
              <w:t>6</w:t>
            </w:r>
            <w:r w:rsidRPr="00687FBF">
              <w:rPr>
                <w:rFonts w:ascii="Calibri" w:eastAsia="Times New Roman" w:hAnsi="Calibri" w:cs="Calibri"/>
                <w:sz w:val="18"/>
                <w:lang w:eastAsia="en-AU"/>
              </w:rPr>
              <w:t>.1.</w:t>
            </w:r>
            <w:r w:rsidRPr="00687FBF">
              <w:rPr>
                <w:rFonts w:ascii="Calibri" w:eastAsia="Times New Roman" w:hAnsi="Calibri" w:cs="Calibri"/>
                <w:sz w:val="18"/>
                <w:lang w:eastAsia="en-AU"/>
              </w:rPr>
              <w:br/>
              <w:t>Explanatory text has been added to section 2.</w:t>
            </w:r>
            <w:r w:rsidR="009541A2" w:rsidRPr="00687FBF">
              <w:rPr>
                <w:rFonts w:ascii="Calibri" w:eastAsia="Times New Roman" w:hAnsi="Calibri" w:cs="Calibri"/>
                <w:sz w:val="18"/>
                <w:lang w:eastAsia="en-AU"/>
              </w:rPr>
              <w:t>6</w:t>
            </w:r>
            <w:r w:rsidRPr="00687FBF">
              <w:rPr>
                <w:rFonts w:ascii="Calibri" w:eastAsia="Times New Roman" w:hAnsi="Calibri" w:cs="Calibri"/>
                <w:sz w:val="18"/>
                <w:lang w:eastAsia="en-AU"/>
              </w:rPr>
              <w:t xml:space="preserve">.2 to clarify the difference between GSR Part 3/7 and </w:t>
            </w:r>
            <w:r w:rsidR="009541A2" w:rsidRPr="00687FBF">
              <w:rPr>
                <w:rFonts w:ascii="Calibri" w:eastAsia="Times New Roman" w:hAnsi="Calibri" w:cs="Calibri"/>
                <w:sz w:val="18"/>
                <w:lang w:eastAsia="en-AU"/>
              </w:rPr>
              <w:t xml:space="preserve">RPS </w:t>
            </w:r>
            <w:r w:rsidRPr="00687FBF">
              <w:rPr>
                <w:rFonts w:ascii="Calibri" w:eastAsia="Times New Roman" w:hAnsi="Calibri" w:cs="Calibri"/>
                <w:sz w:val="18"/>
                <w:lang w:eastAsia="en-AU"/>
              </w:rPr>
              <w:t>G</w:t>
            </w:r>
            <w:r w:rsidR="009541A2" w:rsidRPr="00687FBF">
              <w:rPr>
                <w:rFonts w:ascii="Calibri" w:eastAsia="Times New Roman" w:hAnsi="Calibri" w:cs="Calibri"/>
                <w:sz w:val="18"/>
                <w:lang w:eastAsia="en-AU"/>
              </w:rPr>
              <w:t>-</w:t>
            </w:r>
            <w:r w:rsidRPr="00687FBF">
              <w:rPr>
                <w:rFonts w:ascii="Calibri" w:eastAsia="Times New Roman" w:hAnsi="Calibri" w:cs="Calibri"/>
                <w:sz w:val="18"/>
                <w:lang w:eastAsia="en-AU"/>
              </w:rPr>
              <w:t>3.</w:t>
            </w:r>
          </w:p>
        </w:tc>
      </w:tr>
      <w:tr w:rsidR="000369FE" w:rsidRPr="00E64147" w14:paraId="6A828076"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0983AC5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98</w:t>
            </w:r>
          </w:p>
        </w:tc>
        <w:tc>
          <w:tcPr>
            <w:tcW w:w="1417" w:type="dxa"/>
            <w:hideMark/>
          </w:tcPr>
          <w:p w14:paraId="1B761C6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1D2D779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745278B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751</w:t>
            </w:r>
          </w:p>
        </w:tc>
        <w:tc>
          <w:tcPr>
            <w:tcW w:w="2269" w:type="dxa"/>
            <w:hideMark/>
          </w:tcPr>
          <w:p w14:paraId="1AEE8EB4"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4CE5511A" w14:textId="18368C2A"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If the generic criteria in Annex B are to be regarded as national generic criteria, then replace “should be developed with account taken of the generic criteria in Annex B” by “have been developed and are in Annex B”.</w:t>
            </w:r>
          </w:p>
        </w:tc>
        <w:tc>
          <w:tcPr>
            <w:tcW w:w="1836" w:type="dxa"/>
          </w:tcPr>
          <w:p w14:paraId="146537C0"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0A188A68"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2E60DCA7" w14:textId="77777777" w:rsidTr="002C6E3A">
        <w:tblPrEx>
          <w:tblLook w:val="04A0" w:firstRow="1" w:lastRow="0" w:firstColumn="1" w:lastColumn="0" w:noHBand="0" w:noVBand="1"/>
        </w:tblPrEx>
        <w:trPr>
          <w:trHeight w:val="1200"/>
        </w:trPr>
        <w:tc>
          <w:tcPr>
            <w:tcW w:w="561" w:type="dxa"/>
            <w:hideMark/>
          </w:tcPr>
          <w:p w14:paraId="2B87100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99</w:t>
            </w:r>
          </w:p>
        </w:tc>
        <w:tc>
          <w:tcPr>
            <w:tcW w:w="1417" w:type="dxa"/>
            <w:hideMark/>
          </w:tcPr>
          <w:p w14:paraId="777F8CC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73478D4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1B038315" w14:textId="30BA4373"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755 - 761</w:t>
            </w:r>
          </w:p>
        </w:tc>
        <w:tc>
          <w:tcPr>
            <w:tcW w:w="2269" w:type="dxa"/>
            <w:hideMark/>
          </w:tcPr>
          <w:p w14:paraId="70C88F92"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938D72A" w14:textId="7FABD363"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If the generic criteria in Annex B are to be regarded as ‘national’ generic criteria, then surely we have already developed EALs and OILs (Annex A and B of RPS G-3 Part 3)? </w:t>
            </w:r>
            <w:r w:rsidRPr="00687FBF">
              <w:rPr>
                <w:rFonts w:ascii="Calibri" w:eastAsia="Times New Roman" w:hAnsi="Calibri" w:cs="Calibri"/>
                <w:sz w:val="18"/>
                <w:lang w:eastAsia="en-AU"/>
              </w:rPr>
              <w:br/>
              <w:t>If this is the case, then this paragraph needs to be reworded to indicate so.</w:t>
            </w:r>
          </w:p>
        </w:tc>
        <w:tc>
          <w:tcPr>
            <w:tcW w:w="1836" w:type="dxa"/>
          </w:tcPr>
          <w:p w14:paraId="74A33B4C" w14:textId="52DCE8C1"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3526D908" w14:textId="2D0911B5"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has been modified to reflect comment</w:t>
            </w:r>
            <w:r w:rsidR="009541A2" w:rsidRPr="00687FBF">
              <w:rPr>
                <w:rFonts w:ascii="Calibri" w:hAnsi="Calibri" w:cs="Calibri"/>
                <w:sz w:val="18"/>
              </w:rPr>
              <w:t>.</w:t>
            </w:r>
          </w:p>
        </w:tc>
      </w:tr>
      <w:tr w:rsidR="000369FE" w:rsidRPr="00E64147" w14:paraId="5C88A69C"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54FDB6D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100</w:t>
            </w:r>
          </w:p>
        </w:tc>
        <w:tc>
          <w:tcPr>
            <w:tcW w:w="1417" w:type="dxa"/>
            <w:hideMark/>
          </w:tcPr>
          <w:p w14:paraId="245CAE4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12968E8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4E73F8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863</w:t>
            </w:r>
          </w:p>
        </w:tc>
        <w:tc>
          <w:tcPr>
            <w:tcW w:w="2269" w:type="dxa"/>
            <w:hideMark/>
          </w:tcPr>
          <w:p w14:paraId="267D7131"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356C3965" w14:textId="7DD97CA4"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Would this information be better presented in a table?</w:t>
            </w:r>
          </w:p>
        </w:tc>
        <w:tc>
          <w:tcPr>
            <w:tcW w:w="1836" w:type="dxa"/>
          </w:tcPr>
          <w:p w14:paraId="13E2B44E" w14:textId="39AA7028"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7B2BDB4A" w14:textId="1B8F8D33"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This text has been adapted </w:t>
            </w:r>
            <w:r w:rsidR="009541A2" w:rsidRPr="00687FBF">
              <w:rPr>
                <w:rFonts w:ascii="Calibri" w:hAnsi="Calibri" w:cs="Calibri"/>
                <w:sz w:val="18"/>
              </w:rPr>
              <w:t>from GSR Part 7 and was approved</w:t>
            </w:r>
            <w:r w:rsidRPr="00687FBF">
              <w:rPr>
                <w:rFonts w:ascii="Calibri" w:hAnsi="Calibri" w:cs="Calibri"/>
                <w:sz w:val="18"/>
              </w:rPr>
              <w:t xml:space="preserve"> by </w:t>
            </w:r>
            <w:r w:rsidR="009541A2" w:rsidRPr="00687FBF">
              <w:rPr>
                <w:rFonts w:ascii="Calibri" w:hAnsi="Calibri" w:cs="Calibri"/>
                <w:sz w:val="18"/>
              </w:rPr>
              <w:t xml:space="preserve">the </w:t>
            </w:r>
            <w:r w:rsidRPr="00687FBF">
              <w:rPr>
                <w:rFonts w:ascii="Calibri" w:hAnsi="Calibri" w:cs="Calibri"/>
                <w:sz w:val="18"/>
              </w:rPr>
              <w:t>R</w:t>
            </w:r>
            <w:r w:rsidR="009541A2" w:rsidRPr="00687FBF">
              <w:rPr>
                <w:rFonts w:ascii="Calibri" w:hAnsi="Calibri" w:cs="Calibri"/>
                <w:sz w:val="18"/>
              </w:rPr>
              <w:t xml:space="preserve">adiation </w:t>
            </w:r>
            <w:r w:rsidRPr="00687FBF">
              <w:rPr>
                <w:rFonts w:ascii="Calibri" w:hAnsi="Calibri" w:cs="Calibri"/>
                <w:sz w:val="18"/>
              </w:rPr>
              <w:t>H</w:t>
            </w:r>
            <w:r w:rsidR="009541A2" w:rsidRPr="00687FBF">
              <w:rPr>
                <w:rFonts w:ascii="Calibri" w:hAnsi="Calibri" w:cs="Calibri"/>
                <w:sz w:val="18"/>
              </w:rPr>
              <w:t xml:space="preserve">ealth </w:t>
            </w:r>
            <w:r w:rsidRPr="00687FBF">
              <w:rPr>
                <w:rFonts w:ascii="Calibri" w:hAnsi="Calibri" w:cs="Calibri"/>
                <w:sz w:val="18"/>
              </w:rPr>
              <w:t>C</w:t>
            </w:r>
            <w:r w:rsidR="009541A2" w:rsidRPr="00687FBF">
              <w:rPr>
                <w:rFonts w:ascii="Calibri" w:hAnsi="Calibri" w:cs="Calibri"/>
                <w:sz w:val="18"/>
              </w:rPr>
              <w:t>ommittee</w:t>
            </w:r>
            <w:r w:rsidR="002946C5" w:rsidRPr="00687FBF">
              <w:rPr>
                <w:rFonts w:ascii="Calibri" w:hAnsi="Calibri" w:cs="Calibri"/>
                <w:sz w:val="18"/>
              </w:rPr>
              <w:t>.  Figure 3.2 from Part 2</w:t>
            </w:r>
            <w:r w:rsidRPr="00687FBF">
              <w:rPr>
                <w:rFonts w:ascii="Calibri" w:hAnsi="Calibri" w:cs="Calibri"/>
                <w:sz w:val="18"/>
              </w:rPr>
              <w:t xml:space="preserve"> presents this information graphically.</w:t>
            </w:r>
          </w:p>
        </w:tc>
      </w:tr>
      <w:tr w:rsidR="000369FE" w:rsidRPr="00E64147" w14:paraId="09C0DD08" w14:textId="77777777" w:rsidTr="002C6E3A">
        <w:tblPrEx>
          <w:tblLook w:val="04A0" w:firstRow="1" w:lastRow="0" w:firstColumn="1" w:lastColumn="0" w:noHBand="0" w:noVBand="1"/>
        </w:tblPrEx>
        <w:trPr>
          <w:trHeight w:val="300"/>
        </w:trPr>
        <w:tc>
          <w:tcPr>
            <w:tcW w:w="561" w:type="dxa"/>
            <w:hideMark/>
          </w:tcPr>
          <w:p w14:paraId="016C8AE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101</w:t>
            </w:r>
          </w:p>
        </w:tc>
        <w:tc>
          <w:tcPr>
            <w:tcW w:w="1417" w:type="dxa"/>
            <w:hideMark/>
          </w:tcPr>
          <w:p w14:paraId="3C19D72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465EAF3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975501D" w14:textId="74BA4CFE"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1031 -1035</w:t>
            </w:r>
          </w:p>
        </w:tc>
        <w:tc>
          <w:tcPr>
            <w:tcW w:w="2269" w:type="dxa"/>
            <w:hideMark/>
          </w:tcPr>
          <w:p w14:paraId="648F2EAB"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63FE308F" w14:textId="6D28AD79"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is essential advice.</w:t>
            </w:r>
          </w:p>
        </w:tc>
        <w:tc>
          <w:tcPr>
            <w:tcW w:w="1836" w:type="dxa"/>
          </w:tcPr>
          <w:p w14:paraId="2999C102"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0A8E2227"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Comment only</w:t>
            </w:r>
          </w:p>
        </w:tc>
      </w:tr>
      <w:tr w:rsidR="000369FE" w:rsidRPr="00E64147" w14:paraId="009B4EC7"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46EC2B7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102</w:t>
            </w:r>
          </w:p>
        </w:tc>
        <w:tc>
          <w:tcPr>
            <w:tcW w:w="1417" w:type="dxa"/>
            <w:hideMark/>
          </w:tcPr>
          <w:p w14:paraId="6D4D1AF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4211988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8146E0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1234</w:t>
            </w:r>
          </w:p>
        </w:tc>
        <w:tc>
          <w:tcPr>
            <w:tcW w:w="2269" w:type="dxa"/>
            <w:hideMark/>
          </w:tcPr>
          <w:p w14:paraId="02CE8C65" w14:textId="4C93F3E4"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individual with clinical symptoms</w:t>
            </w:r>
          </w:p>
        </w:tc>
        <w:tc>
          <w:tcPr>
            <w:tcW w:w="2406" w:type="dxa"/>
          </w:tcPr>
          <w:p w14:paraId="48EC9D7D" w14:textId="63005242"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Replace “individual of clinical symptoms” by “individual with clinical symptoms”.</w:t>
            </w:r>
          </w:p>
        </w:tc>
        <w:tc>
          <w:tcPr>
            <w:tcW w:w="1836" w:type="dxa"/>
          </w:tcPr>
          <w:p w14:paraId="386290FD"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38611CD1"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32DFA4F7" w14:textId="77777777" w:rsidTr="002C6E3A">
        <w:tblPrEx>
          <w:tblLook w:val="04A0" w:firstRow="1" w:lastRow="0" w:firstColumn="1" w:lastColumn="0" w:noHBand="0" w:noVBand="1"/>
        </w:tblPrEx>
        <w:trPr>
          <w:trHeight w:val="2700"/>
        </w:trPr>
        <w:tc>
          <w:tcPr>
            <w:tcW w:w="561" w:type="dxa"/>
            <w:hideMark/>
          </w:tcPr>
          <w:p w14:paraId="6129DB6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103</w:t>
            </w:r>
          </w:p>
        </w:tc>
        <w:tc>
          <w:tcPr>
            <w:tcW w:w="1417" w:type="dxa"/>
            <w:hideMark/>
          </w:tcPr>
          <w:p w14:paraId="1DD286E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308D859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4049A9A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1238</w:t>
            </w:r>
          </w:p>
        </w:tc>
        <w:tc>
          <w:tcPr>
            <w:tcW w:w="2269" w:type="dxa"/>
            <w:hideMark/>
          </w:tcPr>
          <w:p w14:paraId="64FE11F4"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0203B6E1" w14:textId="1E60A56A"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For medical staff this is key. The advice should be pre prepared, best practice advice distributed via a pre-agreed mechanism with standardised case definitions </w:t>
            </w:r>
            <w:proofErr w:type="spellStart"/>
            <w:r w:rsidRPr="00687FBF">
              <w:rPr>
                <w:rFonts w:ascii="Calibri" w:eastAsia="Times New Roman" w:hAnsi="Calibri" w:cs="Calibri"/>
                <w:sz w:val="18"/>
                <w:lang w:eastAsia="en-AU"/>
              </w:rPr>
              <w:t>etc</w:t>
            </w:r>
            <w:proofErr w:type="spellEnd"/>
            <w:r w:rsidRPr="00687FBF">
              <w:rPr>
                <w:rFonts w:ascii="Calibri" w:eastAsia="Times New Roman" w:hAnsi="Calibri" w:cs="Calibri"/>
                <w:sz w:val="18"/>
                <w:lang w:eastAsia="en-AU"/>
              </w:rPr>
              <w:t xml:space="preserve"> for consistent reporting, not something just cobbled together on the day.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 xml:space="preserve">Clinicians will also require a mechanism to access specialist management </w:t>
            </w:r>
            <w:r w:rsidRPr="00687FBF">
              <w:rPr>
                <w:rFonts w:ascii="Calibri" w:eastAsia="Times New Roman" w:hAnsi="Calibri" w:cs="Calibri"/>
                <w:sz w:val="18"/>
                <w:lang w:eastAsia="en-AU"/>
              </w:rPr>
              <w:lastRenderedPageBreak/>
              <w:t>advice for individual patients, so probably a phone number like Poisons Info etc.</w:t>
            </w:r>
          </w:p>
        </w:tc>
        <w:tc>
          <w:tcPr>
            <w:tcW w:w="1836" w:type="dxa"/>
          </w:tcPr>
          <w:p w14:paraId="638B852B"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lastRenderedPageBreak/>
              <w:t>Noted</w:t>
            </w:r>
          </w:p>
        </w:tc>
        <w:tc>
          <w:tcPr>
            <w:tcW w:w="4118" w:type="dxa"/>
          </w:tcPr>
          <w:p w14:paraId="7A809BA3"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Comment Only</w:t>
            </w:r>
          </w:p>
        </w:tc>
      </w:tr>
      <w:tr w:rsidR="000369FE" w:rsidRPr="00E64147" w14:paraId="7212A7B6"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800"/>
        </w:trPr>
        <w:tc>
          <w:tcPr>
            <w:tcW w:w="561" w:type="dxa"/>
            <w:hideMark/>
          </w:tcPr>
          <w:p w14:paraId="48C86F2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104</w:t>
            </w:r>
          </w:p>
        </w:tc>
        <w:tc>
          <w:tcPr>
            <w:tcW w:w="1417" w:type="dxa"/>
            <w:hideMark/>
          </w:tcPr>
          <w:p w14:paraId="4C5DC3D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442F460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49D7CF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1245</w:t>
            </w:r>
          </w:p>
        </w:tc>
        <w:tc>
          <w:tcPr>
            <w:tcW w:w="2269" w:type="dxa"/>
            <w:hideMark/>
          </w:tcPr>
          <w:p w14:paraId="08CFD917"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28C7F42A" w14:textId="7CB69B83"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The instructions should also include the necessity for, and means of decontamination.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PPE &amp; Decontamination are the two areas which cause the most anxiety amongst clinicians, and staff may require significant reassurance around the logic, process and effectiveness of both of these.</w:t>
            </w:r>
          </w:p>
        </w:tc>
        <w:tc>
          <w:tcPr>
            <w:tcW w:w="1836" w:type="dxa"/>
          </w:tcPr>
          <w:p w14:paraId="19EEBA90"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7677EED7"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Comment Only</w:t>
            </w:r>
          </w:p>
        </w:tc>
      </w:tr>
      <w:tr w:rsidR="000369FE" w:rsidRPr="00E64147" w14:paraId="583FB085" w14:textId="77777777" w:rsidTr="002C6E3A">
        <w:tblPrEx>
          <w:tblLook w:val="04A0" w:firstRow="1" w:lastRow="0" w:firstColumn="1" w:lastColumn="0" w:noHBand="0" w:noVBand="1"/>
        </w:tblPrEx>
        <w:trPr>
          <w:trHeight w:val="2211"/>
        </w:trPr>
        <w:tc>
          <w:tcPr>
            <w:tcW w:w="561" w:type="dxa"/>
            <w:hideMark/>
          </w:tcPr>
          <w:p w14:paraId="50B8E9D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105</w:t>
            </w:r>
          </w:p>
        </w:tc>
        <w:tc>
          <w:tcPr>
            <w:tcW w:w="1417" w:type="dxa"/>
            <w:hideMark/>
          </w:tcPr>
          <w:p w14:paraId="60EF357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53E3130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495F17D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1376</w:t>
            </w:r>
          </w:p>
        </w:tc>
        <w:tc>
          <w:tcPr>
            <w:tcW w:w="2269" w:type="dxa"/>
            <w:hideMark/>
          </w:tcPr>
          <w:p w14:paraId="60217FF2"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00364AA6" w14:textId="0478DFCA"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Does effluent water from any decontamination count as radioactive waste? If so, it should probably be made clear that it does.</w:t>
            </w:r>
          </w:p>
        </w:tc>
        <w:tc>
          <w:tcPr>
            <w:tcW w:w="1836" w:type="dxa"/>
          </w:tcPr>
          <w:p w14:paraId="3DDA6CB7" w14:textId="66E1C910"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7F897AF9" w14:textId="625D705B"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This text has been adapted </w:t>
            </w:r>
            <w:r w:rsidR="002946C5" w:rsidRPr="00687FBF">
              <w:rPr>
                <w:rFonts w:ascii="Calibri" w:hAnsi="Calibri" w:cs="Calibri"/>
                <w:sz w:val="18"/>
              </w:rPr>
              <w:t>from GSR Part 7 and was approved</w:t>
            </w:r>
            <w:r w:rsidRPr="00687FBF">
              <w:rPr>
                <w:rFonts w:ascii="Calibri" w:hAnsi="Calibri" w:cs="Calibri"/>
                <w:sz w:val="18"/>
              </w:rPr>
              <w:t xml:space="preserve"> by </w:t>
            </w:r>
            <w:r w:rsidR="002946C5" w:rsidRPr="00687FBF">
              <w:rPr>
                <w:rFonts w:ascii="Calibri" w:hAnsi="Calibri" w:cs="Calibri"/>
                <w:sz w:val="18"/>
              </w:rPr>
              <w:t xml:space="preserve">the </w:t>
            </w:r>
            <w:r w:rsidRPr="00687FBF">
              <w:rPr>
                <w:rFonts w:ascii="Calibri" w:hAnsi="Calibri" w:cs="Calibri"/>
                <w:sz w:val="18"/>
              </w:rPr>
              <w:t>R</w:t>
            </w:r>
            <w:r w:rsidR="002946C5" w:rsidRPr="00687FBF">
              <w:rPr>
                <w:rFonts w:ascii="Calibri" w:hAnsi="Calibri" w:cs="Calibri"/>
                <w:sz w:val="18"/>
              </w:rPr>
              <w:t xml:space="preserve">adiation </w:t>
            </w:r>
            <w:r w:rsidRPr="00687FBF">
              <w:rPr>
                <w:rFonts w:ascii="Calibri" w:hAnsi="Calibri" w:cs="Calibri"/>
                <w:sz w:val="18"/>
              </w:rPr>
              <w:t>H</w:t>
            </w:r>
            <w:r w:rsidR="002946C5" w:rsidRPr="00687FBF">
              <w:rPr>
                <w:rFonts w:ascii="Calibri" w:hAnsi="Calibri" w:cs="Calibri"/>
                <w:sz w:val="18"/>
              </w:rPr>
              <w:t xml:space="preserve">ealth </w:t>
            </w:r>
            <w:r w:rsidRPr="00687FBF">
              <w:rPr>
                <w:rFonts w:ascii="Calibri" w:hAnsi="Calibri" w:cs="Calibri"/>
                <w:sz w:val="18"/>
              </w:rPr>
              <w:t>C</w:t>
            </w:r>
            <w:r w:rsidR="002946C5" w:rsidRPr="00687FBF">
              <w:rPr>
                <w:rFonts w:ascii="Calibri" w:hAnsi="Calibri" w:cs="Calibri"/>
                <w:sz w:val="18"/>
              </w:rPr>
              <w:t>ommittee</w:t>
            </w:r>
            <w:r w:rsidRPr="00687FBF">
              <w:rPr>
                <w:rFonts w:ascii="Calibri" w:hAnsi="Calibri" w:cs="Calibri"/>
                <w:sz w:val="18"/>
              </w:rPr>
              <w:t>.</w:t>
            </w:r>
            <w:r w:rsidRPr="00687FBF">
              <w:rPr>
                <w:rFonts w:ascii="Calibri" w:hAnsi="Calibri" w:cs="Calibri"/>
                <w:sz w:val="18"/>
              </w:rPr>
              <w:br/>
              <w:t>Paragraph below already makes this clear</w:t>
            </w:r>
            <w:proofErr w:type="gramStart"/>
            <w:r w:rsidRPr="00687FBF">
              <w:rPr>
                <w:rFonts w:ascii="Calibri" w:hAnsi="Calibri" w:cs="Calibri"/>
                <w:sz w:val="18"/>
              </w:rPr>
              <w:t>:</w:t>
            </w:r>
            <w:proofErr w:type="gramEnd"/>
            <w:r w:rsidRPr="00687FBF">
              <w:rPr>
                <w:rFonts w:ascii="Calibri" w:hAnsi="Calibri" w:cs="Calibri"/>
                <w:sz w:val="18"/>
              </w:rPr>
              <w:br/>
              <w:t>3.2.85. The protection strategy (see clauses 3.1.27-3.1.31) should take into account radioactive waste that might arise from protective actions and other response actions that are to be taken.</w:t>
            </w:r>
          </w:p>
        </w:tc>
      </w:tr>
      <w:tr w:rsidR="000369FE" w:rsidRPr="00E64147" w14:paraId="5D05200D"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94"/>
        </w:trPr>
        <w:tc>
          <w:tcPr>
            <w:tcW w:w="561" w:type="dxa"/>
            <w:hideMark/>
          </w:tcPr>
          <w:p w14:paraId="1E63C72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106</w:t>
            </w:r>
          </w:p>
        </w:tc>
        <w:tc>
          <w:tcPr>
            <w:tcW w:w="1417" w:type="dxa"/>
            <w:hideMark/>
          </w:tcPr>
          <w:p w14:paraId="74DB8E5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25F0666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1295BD0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1787</w:t>
            </w:r>
          </w:p>
        </w:tc>
        <w:tc>
          <w:tcPr>
            <w:tcW w:w="2269" w:type="dxa"/>
            <w:hideMark/>
          </w:tcPr>
          <w:p w14:paraId="1580E107"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0C458138" w14:textId="2C2DEAC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Can some guidance be given about what “a large collective dose” means (either as a footnote or in the glossary)</w:t>
            </w:r>
            <w:proofErr w:type="gramStart"/>
            <w:r w:rsidRPr="00687FBF">
              <w:rPr>
                <w:rFonts w:ascii="Calibri" w:eastAsia="Times New Roman" w:hAnsi="Calibri" w:cs="Calibri"/>
                <w:sz w:val="18"/>
                <w:lang w:eastAsia="en-AU"/>
              </w:rPr>
              <w:t>.</w:t>
            </w:r>
            <w:proofErr w:type="gramEnd"/>
          </w:p>
        </w:tc>
        <w:tc>
          <w:tcPr>
            <w:tcW w:w="1836" w:type="dxa"/>
          </w:tcPr>
          <w:p w14:paraId="617AF33F" w14:textId="6EDCB2B4"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44D290AD" w14:textId="3946474D" w:rsidR="000369FE" w:rsidRPr="00687FBF" w:rsidRDefault="002946C5" w:rsidP="002C6E3A">
            <w:pPr>
              <w:spacing w:beforeLines="60" w:before="144" w:afterLines="60" w:after="144"/>
              <w:rPr>
                <w:rFonts w:ascii="Calibri" w:hAnsi="Calibri" w:cs="Calibri"/>
                <w:sz w:val="18"/>
              </w:rPr>
            </w:pPr>
            <w:r w:rsidRPr="00687FBF">
              <w:rPr>
                <w:rFonts w:ascii="Calibri" w:hAnsi="Calibri" w:cs="Calibri"/>
                <w:sz w:val="18"/>
              </w:rPr>
              <w:t>A large collective dose has been deleted.</w:t>
            </w:r>
          </w:p>
        </w:tc>
      </w:tr>
      <w:tr w:rsidR="000369FE" w:rsidRPr="00E64147" w14:paraId="4EF5C00A" w14:textId="77777777" w:rsidTr="002C6E3A">
        <w:tblPrEx>
          <w:tblLook w:val="04A0" w:firstRow="1" w:lastRow="0" w:firstColumn="1" w:lastColumn="0" w:noHBand="0" w:noVBand="1"/>
        </w:tblPrEx>
        <w:trPr>
          <w:trHeight w:val="3900"/>
        </w:trPr>
        <w:tc>
          <w:tcPr>
            <w:tcW w:w="561" w:type="dxa"/>
            <w:hideMark/>
          </w:tcPr>
          <w:p w14:paraId="28AB7F7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107</w:t>
            </w:r>
          </w:p>
        </w:tc>
        <w:tc>
          <w:tcPr>
            <w:tcW w:w="1417" w:type="dxa"/>
            <w:hideMark/>
          </w:tcPr>
          <w:p w14:paraId="5645016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3053566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0825CD8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1791</w:t>
            </w:r>
          </w:p>
        </w:tc>
        <w:tc>
          <w:tcPr>
            <w:tcW w:w="2269" w:type="dxa"/>
            <w:hideMark/>
          </w:tcPr>
          <w:p w14:paraId="2D49E140"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065312BE" w14:textId="78949614"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Since there is some variation between the generic criteria in Annex B and those in GSR Part 3, it would be beneficial for the reasons for the variation to be documented (preferably in this Guide).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 xml:space="preserve">The minutes of the Radiation Health and Safety Advisory Council meeting on 17-18 November 2016 indicate that the original rationale for the use of 50mSv as a reference level for emergency exposure situations was not known.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It would be unfortunate if the rationale for the choice of the generic criteria in Annex B were also to become uncertain.</w:t>
            </w:r>
          </w:p>
        </w:tc>
        <w:tc>
          <w:tcPr>
            <w:tcW w:w="1836" w:type="dxa"/>
          </w:tcPr>
          <w:p w14:paraId="3C02C93B" w14:textId="2C0C811C"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51EEBDD7" w14:textId="4952D83B"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RHSAC issued a statement (May 2017) on the adoption of a 50mSv Reference level which outlined the rationale for its adoption.  This document is referenced in the Guide, Section 2.5.1. </w:t>
            </w:r>
            <w:r w:rsidRPr="00687FBF">
              <w:rPr>
                <w:rFonts w:ascii="Calibri" w:hAnsi="Calibri" w:cs="Calibri"/>
                <w:sz w:val="18"/>
              </w:rPr>
              <w:br/>
              <w:t>There are no differences between the generic criteria in GSR Part 3 and GSR Part 7. However, additional tables have been added to the generic criteria in GSR Part 7.  Due to the adoption of a 50</w:t>
            </w:r>
            <w:r w:rsidR="00883AA8" w:rsidRPr="00687FBF">
              <w:rPr>
                <w:rFonts w:ascii="Calibri" w:hAnsi="Calibri" w:cs="Calibri"/>
                <w:sz w:val="18"/>
              </w:rPr>
              <w:t> </w:t>
            </w:r>
            <w:proofErr w:type="spellStart"/>
            <w:r w:rsidRPr="00687FBF">
              <w:rPr>
                <w:rFonts w:ascii="Calibri" w:hAnsi="Calibri" w:cs="Calibri"/>
                <w:sz w:val="18"/>
              </w:rPr>
              <w:t>mSv</w:t>
            </w:r>
            <w:proofErr w:type="spellEnd"/>
            <w:r w:rsidRPr="00687FBF">
              <w:rPr>
                <w:rFonts w:ascii="Calibri" w:hAnsi="Calibri" w:cs="Calibri"/>
                <w:sz w:val="18"/>
              </w:rPr>
              <w:t xml:space="preserve"> reference level, generic criteria has been adapted to reflect this level as all generic criteria in GSR Part 3 and Part 7 are calculated at 100 </w:t>
            </w:r>
            <w:proofErr w:type="spellStart"/>
            <w:r w:rsidRPr="00687FBF">
              <w:rPr>
                <w:rFonts w:ascii="Calibri" w:hAnsi="Calibri" w:cs="Calibri"/>
                <w:sz w:val="18"/>
              </w:rPr>
              <w:t>mSv</w:t>
            </w:r>
            <w:proofErr w:type="spellEnd"/>
            <w:r w:rsidRPr="00687FBF">
              <w:rPr>
                <w:rFonts w:ascii="Calibri" w:hAnsi="Calibri" w:cs="Calibri"/>
                <w:sz w:val="18"/>
              </w:rPr>
              <w:t xml:space="preserve">. </w:t>
            </w:r>
            <w:r w:rsidRPr="00687FBF">
              <w:rPr>
                <w:rFonts w:ascii="Calibri" w:hAnsi="Calibri" w:cs="Calibri"/>
                <w:sz w:val="18"/>
              </w:rPr>
              <w:br/>
              <w:t>Explanatory te</w:t>
            </w:r>
            <w:r w:rsidR="002946C5" w:rsidRPr="00687FBF">
              <w:rPr>
                <w:rFonts w:ascii="Calibri" w:hAnsi="Calibri" w:cs="Calibri"/>
                <w:sz w:val="18"/>
              </w:rPr>
              <w:t>xt has been added to section 2.6</w:t>
            </w:r>
            <w:r w:rsidRPr="00687FBF">
              <w:rPr>
                <w:rFonts w:ascii="Calibri" w:hAnsi="Calibri" w:cs="Calibri"/>
                <w:sz w:val="18"/>
              </w:rPr>
              <w:t xml:space="preserve">.2 to clarify the difference between GSR Part 3/7 and </w:t>
            </w:r>
            <w:r w:rsidR="002946C5" w:rsidRPr="00687FBF">
              <w:rPr>
                <w:rFonts w:ascii="Calibri" w:hAnsi="Calibri" w:cs="Calibri"/>
                <w:sz w:val="18"/>
              </w:rPr>
              <w:t xml:space="preserve">RPS </w:t>
            </w:r>
            <w:r w:rsidRPr="00687FBF">
              <w:rPr>
                <w:rFonts w:ascii="Calibri" w:hAnsi="Calibri" w:cs="Calibri"/>
                <w:sz w:val="18"/>
              </w:rPr>
              <w:t>G</w:t>
            </w:r>
            <w:r w:rsidR="002946C5" w:rsidRPr="00687FBF">
              <w:rPr>
                <w:rFonts w:ascii="Calibri" w:hAnsi="Calibri" w:cs="Calibri"/>
                <w:sz w:val="18"/>
              </w:rPr>
              <w:t>-</w:t>
            </w:r>
            <w:r w:rsidRPr="00687FBF">
              <w:rPr>
                <w:rFonts w:ascii="Calibri" w:hAnsi="Calibri" w:cs="Calibri"/>
                <w:sz w:val="18"/>
              </w:rPr>
              <w:t>3.</w:t>
            </w:r>
          </w:p>
        </w:tc>
      </w:tr>
      <w:tr w:rsidR="000369FE" w:rsidRPr="00E64147" w14:paraId="49629D2B"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44D51EC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108</w:t>
            </w:r>
          </w:p>
        </w:tc>
        <w:tc>
          <w:tcPr>
            <w:tcW w:w="1417" w:type="dxa"/>
            <w:hideMark/>
          </w:tcPr>
          <w:p w14:paraId="3F0B1F7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28C2401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F22815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1819</w:t>
            </w:r>
          </w:p>
        </w:tc>
        <w:tc>
          <w:tcPr>
            <w:tcW w:w="2269" w:type="dxa"/>
            <w:hideMark/>
          </w:tcPr>
          <w:p w14:paraId="29C984AF"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32F3F462" w14:textId="774E6989"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For </w:t>
            </w:r>
            <w:proofErr w:type="spellStart"/>
            <w:r w:rsidRPr="00687FBF">
              <w:rPr>
                <w:rFonts w:ascii="Calibri" w:eastAsia="Times New Roman" w:hAnsi="Calibri" w:cs="Calibri"/>
                <w:sz w:val="18"/>
                <w:lang w:eastAsia="en-AU"/>
              </w:rPr>
              <w:t>ADskin</w:t>
            </w:r>
            <w:proofErr w:type="spellEnd"/>
            <w:r w:rsidRPr="00687FBF">
              <w:rPr>
                <w:rFonts w:ascii="Calibri" w:eastAsia="Times New Roman" w:hAnsi="Calibri" w:cs="Calibri"/>
                <w:sz w:val="18"/>
                <w:lang w:eastAsia="en-AU"/>
              </w:rPr>
              <w:t xml:space="preserve"> “cm2” should be “cm2”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For AD(D’)</w:t>
            </w:r>
            <w:proofErr w:type="spellStart"/>
            <w:r w:rsidRPr="00687FBF">
              <w:rPr>
                <w:rFonts w:ascii="Calibri" w:eastAsia="Times New Roman" w:hAnsi="Calibri" w:cs="Calibri"/>
                <w:sz w:val="18"/>
                <w:lang w:eastAsia="en-AU"/>
              </w:rPr>
              <w:t>fetus</w:t>
            </w:r>
            <w:proofErr w:type="spellEnd"/>
            <w:r w:rsidRPr="00687FBF">
              <w:rPr>
                <w:rFonts w:ascii="Calibri" w:eastAsia="Times New Roman" w:hAnsi="Calibri" w:cs="Calibri"/>
                <w:sz w:val="18"/>
                <w:lang w:eastAsia="en-AU"/>
              </w:rPr>
              <w:t xml:space="preserve"> footnote b should be a superscript</w:t>
            </w:r>
          </w:p>
        </w:tc>
        <w:tc>
          <w:tcPr>
            <w:tcW w:w="1836" w:type="dxa"/>
          </w:tcPr>
          <w:p w14:paraId="53F32007"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312090E0"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2ACE1BE5" w14:textId="77777777" w:rsidTr="002C6E3A">
        <w:tblPrEx>
          <w:tblLook w:val="04A0" w:firstRow="1" w:lastRow="0" w:firstColumn="1" w:lastColumn="0" w:noHBand="0" w:noVBand="1"/>
        </w:tblPrEx>
        <w:trPr>
          <w:trHeight w:val="2400"/>
        </w:trPr>
        <w:tc>
          <w:tcPr>
            <w:tcW w:w="561" w:type="dxa"/>
            <w:hideMark/>
          </w:tcPr>
          <w:p w14:paraId="6734528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109</w:t>
            </w:r>
          </w:p>
        </w:tc>
        <w:tc>
          <w:tcPr>
            <w:tcW w:w="1417" w:type="dxa"/>
            <w:hideMark/>
          </w:tcPr>
          <w:p w14:paraId="5D4E47E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1F293A5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0BB0ECA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1819</w:t>
            </w:r>
          </w:p>
        </w:tc>
        <w:tc>
          <w:tcPr>
            <w:tcW w:w="2269" w:type="dxa"/>
            <w:hideMark/>
          </w:tcPr>
          <w:p w14:paraId="1D72DD71"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AA602AE" w14:textId="163398BE"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Please compare Table B.1 to Table II.1 in GSR Part 3. The horizontal dividing lines of Table B.1 are a problem and need to be removed.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The protective actions on the right side of the table are dot points that apply to all of the exposure parameters to the left. Table B.1 reads as though, for example, the provision of public information and warnings would only be taken if external exposure to tissue were above 25Gy, but not taken at all for other exposures.</w:t>
            </w:r>
          </w:p>
        </w:tc>
        <w:tc>
          <w:tcPr>
            <w:tcW w:w="1836" w:type="dxa"/>
          </w:tcPr>
          <w:p w14:paraId="2DC1A3C1" w14:textId="08068A69" w:rsidR="000369FE" w:rsidRPr="00687FBF" w:rsidRDefault="00FF10B5"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Accepted with modifications</w:t>
            </w:r>
          </w:p>
        </w:tc>
        <w:tc>
          <w:tcPr>
            <w:tcW w:w="4118" w:type="dxa"/>
          </w:tcPr>
          <w:p w14:paraId="78B3F515" w14:textId="5477811F" w:rsidR="000369FE" w:rsidRPr="00687FBF" w:rsidRDefault="00B25D21"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Styling error. Reformatting has occurred in final editorial.</w:t>
            </w:r>
          </w:p>
        </w:tc>
      </w:tr>
      <w:tr w:rsidR="000369FE" w:rsidRPr="00E64147" w14:paraId="5C0B5B45"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00"/>
        </w:trPr>
        <w:tc>
          <w:tcPr>
            <w:tcW w:w="561" w:type="dxa"/>
            <w:hideMark/>
          </w:tcPr>
          <w:p w14:paraId="4010DE0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110</w:t>
            </w:r>
          </w:p>
        </w:tc>
        <w:tc>
          <w:tcPr>
            <w:tcW w:w="1417" w:type="dxa"/>
            <w:hideMark/>
          </w:tcPr>
          <w:p w14:paraId="6221C6F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44DA120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7CF331E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1839</w:t>
            </w:r>
          </w:p>
        </w:tc>
        <w:tc>
          <w:tcPr>
            <w:tcW w:w="2269" w:type="dxa"/>
            <w:hideMark/>
          </w:tcPr>
          <w:p w14:paraId="18CF033A"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8BB8F7A" w14:textId="07A162C6"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Misspelling of “commodities” in the title.</w:t>
            </w:r>
          </w:p>
        </w:tc>
        <w:tc>
          <w:tcPr>
            <w:tcW w:w="1836" w:type="dxa"/>
          </w:tcPr>
          <w:p w14:paraId="2E7C1922"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Accepted</w:t>
            </w:r>
          </w:p>
        </w:tc>
        <w:tc>
          <w:tcPr>
            <w:tcW w:w="4118" w:type="dxa"/>
          </w:tcPr>
          <w:p w14:paraId="69DCF0B6" w14:textId="77777777" w:rsidR="000369FE" w:rsidRPr="00687FBF" w:rsidRDefault="000369FE" w:rsidP="002C6E3A">
            <w:pPr>
              <w:spacing w:beforeLines="60" w:before="144" w:afterLines="60" w:after="144"/>
              <w:rPr>
                <w:rFonts w:ascii="Calibri" w:eastAsia="Times New Roman" w:hAnsi="Calibri" w:cs="Calibri"/>
                <w:sz w:val="18"/>
                <w:lang w:eastAsia="en-AU"/>
              </w:rPr>
            </w:pPr>
          </w:p>
        </w:tc>
      </w:tr>
      <w:tr w:rsidR="000369FE" w:rsidRPr="00E64147" w14:paraId="3A70B600" w14:textId="77777777" w:rsidTr="002C6E3A">
        <w:tblPrEx>
          <w:tblLook w:val="04A0" w:firstRow="1" w:lastRow="0" w:firstColumn="1" w:lastColumn="0" w:noHBand="0" w:noVBand="1"/>
        </w:tblPrEx>
        <w:trPr>
          <w:trHeight w:val="1786"/>
        </w:trPr>
        <w:tc>
          <w:tcPr>
            <w:tcW w:w="561" w:type="dxa"/>
            <w:hideMark/>
          </w:tcPr>
          <w:p w14:paraId="3AB9482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111</w:t>
            </w:r>
          </w:p>
        </w:tc>
        <w:tc>
          <w:tcPr>
            <w:tcW w:w="1417" w:type="dxa"/>
            <w:hideMark/>
          </w:tcPr>
          <w:p w14:paraId="7111AAB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4DCF820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2CBB3183" w14:textId="2A28B1A6"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1880 - 1889</w:t>
            </w:r>
          </w:p>
        </w:tc>
        <w:tc>
          <w:tcPr>
            <w:tcW w:w="2269" w:type="dxa"/>
            <w:hideMark/>
          </w:tcPr>
          <w:p w14:paraId="24673D91"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27B1A863"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If our trading partners adopt the generic criteria of GSR Part 3, they will have generic criteria that are greater than those in Table B.2 and Table B.3 but the same as in Table B.5.</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 xml:space="preserve">Consequently, although the trade needs to be approved with the receiving country (Line 1884) there will be differing expectations in regard to exceedance of the </w:t>
            </w:r>
            <w:r w:rsidRPr="00687FBF">
              <w:rPr>
                <w:rFonts w:ascii="Calibri" w:eastAsia="Times New Roman" w:hAnsi="Calibri" w:cs="Calibri"/>
                <w:sz w:val="18"/>
                <w:lang w:eastAsia="en-AU"/>
              </w:rPr>
              <w:lastRenderedPageBreak/>
              <w:t>generic criteria for protective and other actions (Table B.2) and for food, milk, water and other commodities (Table B.3) depending on whether Australia is the importer or exporter.</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Perhaps this paragraph needs to be reworded to clarify the guidance for Australia as an importer and as an exporter.</w:t>
            </w:r>
          </w:p>
        </w:tc>
        <w:tc>
          <w:tcPr>
            <w:tcW w:w="1836" w:type="dxa"/>
          </w:tcPr>
          <w:p w14:paraId="6595A718" w14:textId="26925FDB" w:rsidR="000369FE" w:rsidRPr="00687FBF" w:rsidRDefault="00FF10B5"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lastRenderedPageBreak/>
              <w:t>Not accepted</w:t>
            </w:r>
          </w:p>
        </w:tc>
        <w:tc>
          <w:tcPr>
            <w:tcW w:w="4118" w:type="dxa"/>
          </w:tcPr>
          <w:p w14:paraId="39382859" w14:textId="1ACC626E"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This text has been adapted </w:t>
            </w:r>
            <w:r w:rsidR="00B25D21" w:rsidRPr="00687FBF">
              <w:rPr>
                <w:rFonts w:ascii="Calibri" w:eastAsia="Times New Roman" w:hAnsi="Calibri" w:cs="Calibri"/>
                <w:sz w:val="18"/>
                <w:lang w:eastAsia="en-AU"/>
              </w:rPr>
              <w:t>from GSR Part 7 and was approved</w:t>
            </w:r>
            <w:r w:rsidRPr="00687FBF">
              <w:rPr>
                <w:rFonts w:ascii="Calibri" w:eastAsia="Times New Roman" w:hAnsi="Calibri" w:cs="Calibri"/>
                <w:sz w:val="18"/>
                <w:lang w:eastAsia="en-AU"/>
              </w:rPr>
              <w:t xml:space="preserve"> by </w:t>
            </w:r>
            <w:r w:rsidR="00B25D21" w:rsidRPr="00687FBF">
              <w:rPr>
                <w:rFonts w:ascii="Calibri" w:eastAsia="Times New Roman" w:hAnsi="Calibri" w:cs="Calibri"/>
                <w:sz w:val="18"/>
                <w:lang w:eastAsia="en-AU"/>
              </w:rPr>
              <w:t xml:space="preserve">the </w:t>
            </w:r>
            <w:r w:rsidRPr="00687FBF">
              <w:rPr>
                <w:rFonts w:ascii="Calibri" w:eastAsia="Times New Roman" w:hAnsi="Calibri" w:cs="Calibri"/>
                <w:sz w:val="18"/>
                <w:lang w:eastAsia="en-AU"/>
              </w:rPr>
              <w:t>R</w:t>
            </w:r>
            <w:r w:rsidR="00B25D21" w:rsidRPr="00687FBF">
              <w:rPr>
                <w:rFonts w:ascii="Calibri" w:eastAsia="Times New Roman" w:hAnsi="Calibri" w:cs="Calibri"/>
                <w:sz w:val="18"/>
                <w:lang w:eastAsia="en-AU"/>
              </w:rPr>
              <w:t xml:space="preserve">adiation </w:t>
            </w:r>
            <w:r w:rsidRPr="00687FBF">
              <w:rPr>
                <w:rFonts w:ascii="Calibri" w:eastAsia="Times New Roman" w:hAnsi="Calibri" w:cs="Calibri"/>
                <w:sz w:val="18"/>
                <w:lang w:eastAsia="en-AU"/>
              </w:rPr>
              <w:t>H</w:t>
            </w:r>
            <w:r w:rsidR="00B25D21" w:rsidRPr="00687FBF">
              <w:rPr>
                <w:rFonts w:ascii="Calibri" w:eastAsia="Times New Roman" w:hAnsi="Calibri" w:cs="Calibri"/>
                <w:sz w:val="18"/>
                <w:lang w:eastAsia="en-AU"/>
              </w:rPr>
              <w:t xml:space="preserve">ealth </w:t>
            </w:r>
            <w:r w:rsidRPr="00687FBF">
              <w:rPr>
                <w:rFonts w:ascii="Calibri" w:eastAsia="Times New Roman" w:hAnsi="Calibri" w:cs="Calibri"/>
                <w:sz w:val="18"/>
                <w:lang w:eastAsia="en-AU"/>
              </w:rPr>
              <w:t>C</w:t>
            </w:r>
            <w:r w:rsidR="00B25D21" w:rsidRPr="00687FBF">
              <w:rPr>
                <w:rFonts w:ascii="Calibri" w:eastAsia="Times New Roman" w:hAnsi="Calibri" w:cs="Calibri"/>
                <w:sz w:val="18"/>
                <w:lang w:eastAsia="en-AU"/>
              </w:rPr>
              <w:t>ommittee</w:t>
            </w:r>
            <w:r w:rsidRPr="00687FBF">
              <w:rPr>
                <w:rFonts w:ascii="Calibri" w:eastAsia="Times New Roman" w:hAnsi="Calibri" w:cs="Calibri"/>
                <w:sz w:val="18"/>
                <w:lang w:eastAsia="en-AU"/>
              </w:rPr>
              <w:t>.</w:t>
            </w:r>
          </w:p>
        </w:tc>
      </w:tr>
      <w:tr w:rsidR="000369FE" w:rsidRPr="00E64147" w14:paraId="6B80385F"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1102E56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112</w:t>
            </w:r>
          </w:p>
        </w:tc>
        <w:tc>
          <w:tcPr>
            <w:tcW w:w="1417" w:type="dxa"/>
            <w:hideMark/>
          </w:tcPr>
          <w:p w14:paraId="3727A49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06E21E9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2BBBF8E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1903</w:t>
            </w:r>
          </w:p>
        </w:tc>
        <w:tc>
          <w:tcPr>
            <w:tcW w:w="2269" w:type="dxa"/>
            <w:hideMark/>
          </w:tcPr>
          <w:p w14:paraId="65493173"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43FB0010" w14:textId="5556F79B"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This paragraph is dot point (a) under lines 1901-1902.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 xml:space="preserve">Lines 1906, 1908, 1909, and 1911 need to be </w:t>
            </w:r>
            <w:proofErr w:type="spellStart"/>
            <w:r w:rsidRPr="00687FBF">
              <w:rPr>
                <w:rFonts w:ascii="Calibri" w:eastAsia="Times New Roman" w:hAnsi="Calibri" w:cs="Calibri"/>
                <w:sz w:val="18"/>
                <w:lang w:eastAsia="en-AU"/>
              </w:rPr>
              <w:t>relettered</w:t>
            </w:r>
            <w:proofErr w:type="spellEnd"/>
            <w:r w:rsidRPr="00687FBF">
              <w:rPr>
                <w:rFonts w:ascii="Calibri" w:eastAsia="Times New Roman" w:hAnsi="Calibri" w:cs="Calibri"/>
                <w:sz w:val="18"/>
                <w:lang w:eastAsia="en-AU"/>
              </w:rPr>
              <w:t>.</w:t>
            </w:r>
          </w:p>
        </w:tc>
        <w:tc>
          <w:tcPr>
            <w:tcW w:w="1836" w:type="dxa"/>
          </w:tcPr>
          <w:p w14:paraId="0F3E4640"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6319AFF5"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2680EF69" w14:textId="77777777" w:rsidTr="002C6E3A">
        <w:tblPrEx>
          <w:tblLook w:val="04A0" w:firstRow="1" w:lastRow="0" w:firstColumn="1" w:lastColumn="0" w:noHBand="0" w:noVBand="1"/>
        </w:tblPrEx>
        <w:trPr>
          <w:trHeight w:val="600"/>
        </w:trPr>
        <w:tc>
          <w:tcPr>
            <w:tcW w:w="561" w:type="dxa"/>
            <w:hideMark/>
          </w:tcPr>
          <w:p w14:paraId="30FF83B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113</w:t>
            </w:r>
          </w:p>
        </w:tc>
        <w:tc>
          <w:tcPr>
            <w:tcW w:w="1417" w:type="dxa"/>
            <w:hideMark/>
          </w:tcPr>
          <w:p w14:paraId="556C7F8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3E64866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3183FD26" w14:textId="7633ED11"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1919, 1935, &amp; 1954</w:t>
            </w:r>
          </w:p>
        </w:tc>
        <w:tc>
          <w:tcPr>
            <w:tcW w:w="2269" w:type="dxa"/>
            <w:hideMark/>
          </w:tcPr>
          <w:p w14:paraId="2F936057"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43E3B2A9" w14:textId="0465DF90"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These should be numbered as C.1, C.2 &amp; C.4</w:t>
            </w:r>
          </w:p>
        </w:tc>
        <w:tc>
          <w:tcPr>
            <w:tcW w:w="1836" w:type="dxa"/>
          </w:tcPr>
          <w:p w14:paraId="1149DB0F"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596583DF" w14:textId="77AE7E75"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Numbering will be up</w:t>
            </w:r>
            <w:r w:rsidR="00CC3F14" w:rsidRPr="00687FBF">
              <w:rPr>
                <w:rFonts w:ascii="Calibri" w:hAnsi="Calibri" w:cs="Calibri"/>
                <w:sz w:val="18"/>
              </w:rPr>
              <w:t>dated in final editorial.</w:t>
            </w:r>
          </w:p>
        </w:tc>
      </w:tr>
      <w:tr w:rsidR="000369FE" w:rsidRPr="00E64147" w14:paraId="2AF992A3"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3B6D4A1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114</w:t>
            </w:r>
          </w:p>
        </w:tc>
        <w:tc>
          <w:tcPr>
            <w:tcW w:w="1417" w:type="dxa"/>
            <w:hideMark/>
          </w:tcPr>
          <w:p w14:paraId="6AC1128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0BEF9BC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023814FD" w14:textId="411A951E"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1931, 1937, &amp; 1943</w:t>
            </w:r>
          </w:p>
        </w:tc>
        <w:tc>
          <w:tcPr>
            <w:tcW w:w="2269" w:type="dxa"/>
            <w:hideMark/>
          </w:tcPr>
          <w:p w14:paraId="3C89CC68"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0D7388DB" w14:textId="533E3A2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Is there a reason for ‘event’ being in quotation marks?</w:t>
            </w:r>
          </w:p>
        </w:tc>
        <w:tc>
          <w:tcPr>
            <w:tcW w:w="1836" w:type="dxa"/>
          </w:tcPr>
          <w:p w14:paraId="2455E039" w14:textId="46FF6F84"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0D87BA0F" w14:textId="45267E95"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Quotation marks have been removed.</w:t>
            </w:r>
          </w:p>
        </w:tc>
      </w:tr>
      <w:tr w:rsidR="000369FE" w:rsidRPr="00E64147" w14:paraId="68556261" w14:textId="77777777" w:rsidTr="002C6E3A">
        <w:tblPrEx>
          <w:tblLook w:val="04A0" w:firstRow="1" w:lastRow="0" w:firstColumn="1" w:lastColumn="0" w:noHBand="0" w:noVBand="1"/>
        </w:tblPrEx>
        <w:trPr>
          <w:trHeight w:val="2495"/>
        </w:trPr>
        <w:tc>
          <w:tcPr>
            <w:tcW w:w="561" w:type="dxa"/>
            <w:hideMark/>
          </w:tcPr>
          <w:p w14:paraId="437B521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115</w:t>
            </w:r>
          </w:p>
        </w:tc>
        <w:tc>
          <w:tcPr>
            <w:tcW w:w="1417" w:type="dxa"/>
            <w:hideMark/>
          </w:tcPr>
          <w:p w14:paraId="6D0995F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23CA515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239F23C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2149</w:t>
            </w:r>
          </w:p>
        </w:tc>
        <w:tc>
          <w:tcPr>
            <w:tcW w:w="2269" w:type="dxa"/>
            <w:hideMark/>
          </w:tcPr>
          <w:p w14:paraId="2B2CC42A" w14:textId="1549D5C5"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6F6E598B"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The term “nuclear or radiological emergency” is used in many places throughout the guide. Given that a nuclear emergency has radiological consequences (i.e. radiation exposure); that the general principle of planning and response, and the generic criteria and OILs seem not to be dependent on whether the emergency is </w:t>
            </w:r>
            <w:r w:rsidRPr="00687FBF">
              <w:rPr>
                <w:rFonts w:ascii="Calibri" w:hAnsi="Calibri" w:cs="Calibri"/>
                <w:sz w:val="18"/>
              </w:rPr>
              <w:lastRenderedPageBreak/>
              <w:t xml:space="preserve">nuclear or radiological; and that a consistent approach across security and safety related emergencies are recommended (line 258), we suggest that the term “radiological emergency” is sufficient. </w:t>
            </w:r>
            <w:r w:rsidRPr="00687FBF">
              <w:rPr>
                <w:rFonts w:ascii="Calibri" w:hAnsi="Calibri" w:cs="Calibri"/>
                <w:sz w:val="18"/>
              </w:rPr>
              <w:br/>
            </w:r>
            <w:r w:rsidRPr="00687FBF">
              <w:rPr>
                <w:rFonts w:ascii="Calibri" w:hAnsi="Calibri" w:cs="Calibri"/>
                <w:sz w:val="18"/>
              </w:rPr>
              <w:br/>
              <w:t>Where it does make sense to discriminate between nuclear and radiological is in the details of a response (see lines 316 – 318 for example).</w:t>
            </w:r>
            <w:r w:rsidRPr="00687FBF">
              <w:rPr>
                <w:rFonts w:ascii="Calibri" w:hAnsi="Calibri" w:cs="Calibri"/>
                <w:sz w:val="18"/>
              </w:rPr>
              <w:br/>
            </w:r>
            <w:r w:rsidRPr="00687FBF">
              <w:rPr>
                <w:rFonts w:ascii="Calibri" w:hAnsi="Calibri" w:cs="Calibri"/>
                <w:sz w:val="18"/>
              </w:rPr>
              <w:br/>
              <w:t>Note that the term “radiological” is used elsewhere in the guide without the “nuclear” being attached to it.</w:t>
            </w:r>
          </w:p>
        </w:tc>
        <w:tc>
          <w:tcPr>
            <w:tcW w:w="1836" w:type="dxa"/>
          </w:tcPr>
          <w:p w14:paraId="776E24FA" w14:textId="7255E273"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lastRenderedPageBreak/>
              <w:t>Accepted with modifications</w:t>
            </w:r>
          </w:p>
        </w:tc>
        <w:tc>
          <w:tcPr>
            <w:tcW w:w="4118" w:type="dxa"/>
          </w:tcPr>
          <w:p w14:paraId="578D71D8" w14:textId="4C9A93BF" w:rsidR="000369FE" w:rsidRPr="00687FBF" w:rsidRDefault="00CC3F14" w:rsidP="002C6E3A">
            <w:pPr>
              <w:spacing w:beforeLines="60" w:before="144" w:afterLines="60" w:after="144"/>
              <w:rPr>
                <w:rFonts w:ascii="Calibri" w:hAnsi="Calibri" w:cs="Calibri"/>
                <w:sz w:val="18"/>
              </w:rPr>
            </w:pPr>
            <w:r w:rsidRPr="00687FBF">
              <w:rPr>
                <w:rFonts w:ascii="Calibri" w:hAnsi="Calibri" w:cs="Calibri"/>
                <w:sz w:val="18"/>
              </w:rPr>
              <w:t>T</w:t>
            </w:r>
            <w:r w:rsidR="000369FE" w:rsidRPr="00687FBF">
              <w:rPr>
                <w:rFonts w:ascii="Calibri" w:hAnsi="Calibri" w:cs="Calibri"/>
                <w:sz w:val="18"/>
              </w:rPr>
              <w:t>erminology in the Guide</w:t>
            </w:r>
            <w:r w:rsidRPr="00687FBF">
              <w:rPr>
                <w:rFonts w:ascii="Calibri" w:hAnsi="Calibri" w:cs="Calibri"/>
                <w:sz w:val="18"/>
              </w:rPr>
              <w:t xml:space="preserve"> has been harmonised</w:t>
            </w:r>
            <w:r w:rsidR="000369FE" w:rsidRPr="00687FBF">
              <w:rPr>
                <w:rFonts w:ascii="Calibri" w:hAnsi="Calibri" w:cs="Calibri"/>
                <w:sz w:val="18"/>
              </w:rPr>
              <w:t>.</w:t>
            </w:r>
          </w:p>
        </w:tc>
      </w:tr>
      <w:tr w:rsidR="000369FE" w:rsidRPr="00E64147" w14:paraId="14F5669A"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2EAC073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116</w:t>
            </w:r>
          </w:p>
        </w:tc>
        <w:tc>
          <w:tcPr>
            <w:tcW w:w="1417" w:type="dxa"/>
            <w:hideMark/>
          </w:tcPr>
          <w:p w14:paraId="189CC87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51C3DCD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61FB185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2155</w:t>
            </w:r>
          </w:p>
        </w:tc>
        <w:tc>
          <w:tcPr>
            <w:tcW w:w="2269" w:type="dxa"/>
            <w:hideMark/>
          </w:tcPr>
          <w:p w14:paraId="78E28AD6" w14:textId="6122F488"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25F538E4" w14:textId="150BDFB3"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Since “nuclear” is a special term, can we have a glossary entry for the term “nuclear material” and how it is different to radioactive material</w:t>
            </w:r>
          </w:p>
        </w:tc>
        <w:tc>
          <w:tcPr>
            <w:tcW w:w="1836" w:type="dxa"/>
          </w:tcPr>
          <w:p w14:paraId="4B945420"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Accepted</w:t>
            </w:r>
          </w:p>
        </w:tc>
        <w:tc>
          <w:tcPr>
            <w:tcW w:w="4118" w:type="dxa"/>
          </w:tcPr>
          <w:p w14:paraId="146C2C8A" w14:textId="039184C9"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Nuclear material and Radioactive material have been</w:t>
            </w:r>
            <w:r w:rsidR="00CC3F14" w:rsidRPr="00687FBF">
              <w:rPr>
                <w:rFonts w:ascii="Calibri" w:eastAsia="Times New Roman" w:hAnsi="Calibri" w:cs="Calibri"/>
                <w:sz w:val="18"/>
                <w:lang w:eastAsia="en-AU"/>
              </w:rPr>
              <w:t xml:space="preserve"> added to the glossary</w:t>
            </w:r>
            <w:r w:rsidRPr="00687FBF">
              <w:rPr>
                <w:rFonts w:ascii="Calibri" w:eastAsia="Times New Roman" w:hAnsi="Calibri" w:cs="Calibri"/>
                <w:sz w:val="18"/>
                <w:lang w:eastAsia="en-AU"/>
              </w:rPr>
              <w:t>. Glossary terms are from the IAEA Safety Glossary.</w:t>
            </w:r>
          </w:p>
        </w:tc>
      </w:tr>
      <w:tr w:rsidR="000369FE" w:rsidRPr="00E64147" w14:paraId="65DE5A44" w14:textId="77777777" w:rsidTr="002C6E3A">
        <w:tblPrEx>
          <w:tblLook w:val="04A0" w:firstRow="1" w:lastRow="0" w:firstColumn="1" w:lastColumn="0" w:noHBand="0" w:noVBand="1"/>
        </w:tblPrEx>
        <w:trPr>
          <w:trHeight w:val="600"/>
        </w:trPr>
        <w:tc>
          <w:tcPr>
            <w:tcW w:w="561" w:type="dxa"/>
            <w:hideMark/>
          </w:tcPr>
          <w:p w14:paraId="256DEBD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117</w:t>
            </w:r>
          </w:p>
        </w:tc>
        <w:tc>
          <w:tcPr>
            <w:tcW w:w="1417" w:type="dxa"/>
            <w:hideMark/>
          </w:tcPr>
          <w:p w14:paraId="04FCDB3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737387F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3234735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25</w:t>
            </w:r>
          </w:p>
        </w:tc>
        <w:tc>
          <w:tcPr>
            <w:tcW w:w="2269" w:type="dxa"/>
            <w:hideMark/>
          </w:tcPr>
          <w:p w14:paraId="21398B47"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37A0DEE3" w14:textId="009FD3B0"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Planned and existing exposure situations are dealt with by other publications – omit the words “expected to be”.</w:t>
            </w:r>
          </w:p>
        </w:tc>
        <w:tc>
          <w:tcPr>
            <w:tcW w:w="1836" w:type="dxa"/>
          </w:tcPr>
          <w:p w14:paraId="319377DE" w14:textId="3D085289" w:rsidR="000369FE" w:rsidRPr="00687FBF" w:rsidRDefault="0031002C" w:rsidP="002C6E3A">
            <w:pPr>
              <w:spacing w:beforeLines="60" w:before="144" w:afterLines="60" w:after="144"/>
              <w:rPr>
                <w:rFonts w:ascii="Calibri" w:hAnsi="Calibri" w:cs="Calibri"/>
                <w:sz w:val="18"/>
              </w:rPr>
            </w:pPr>
            <w:r w:rsidRPr="00687FBF">
              <w:rPr>
                <w:rFonts w:ascii="Calibri" w:eastAsia="Times New Roman" w:hAnsi="Calibri" w:cs="Calibri"/>
                <w:sz w:val="18"/>
                <w:lang w:eastAsia="en-AU"/>
              </w:rPr>
              <w:t>Accepted</w:t>
            </w:r>
          </w:p>
        </w:tc>
        <w:tc>
          <w:tcPr>
            <w:tcW w:w="4118" w:type="dxa"/>
          </w:tcPr>
          <w:p w14:paraId="016A4B7B" w14:textId="75427050" w:rsidR="000369FE" w:rsidRPr="00687FBF" w:rsidRDefault="000369FE" w:rsidP="002C6E3A">
            <w:pPr>
              <w:spacing w:beforeLines="60" w:before="144" w:afterLines="60" w:after="144"/>
              <w:rPr>
                <w:rFonts w:ascii="Calibri" w:hAnsi="Calibri" w:cs="Calibri"/>
                <w:sz w:val="18"/>
              </w:rPr>
            </w:pPr>
          </w:p>
        </w:tc>
      </w:tr>
      <w:tr w:rsidR="000369FE" w:rsidRPr="00E64147" w14:paraId="1B47FB32"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200"/>
        </w:trPr>
        <w:tc>
          <w:tcPr>
            <w:tcW w:w="561" w:type="dxa"/>
            <w:hideMark/>
          </w:tcPr>
          <w:p w14:paraId="1E39BF7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118</w:t>
            </w:r>
          </w:p>
        </w:tc>
        <w:tc>
          <w:tcPr>
            <w:tcW w:w="1417" w:type="dxa"/>
            <w:hideMark/>
          </w:tcPr>
          <w:p w14:paraId="2873189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628322F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5BE1037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66</w:t>
            </w:r>
          </w:p>
        </w:tc>
        <w:tc>
          <w:tcPr>
            <w:tcW w:w="2269" w:type="dxa"/>
            <w:hideMark/>
          </w:tcPr>
          <w:p w14:paraId="624FE797"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2E747E7F" w14:textId="0E88B10D"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Since this Part 2 of the Guide is meant to be used in conjunction with RPS G-3 Part 1, which already has a section on the Arrangements for emergencies involving potential radiation exposure, is there any need (other than making Part2 more of a stand-alone document) to include it in Part 2?</w:t>
            </w:r>
          </w:p>
        </w:tc>
        <w:tc>
          <w:tcPr>
            <w:tcW w:w="1836" w:type="dxa"/>
          </w:tcPr>
          <w:p w14:paraId="4625A487"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2D25B971" w14:textId="4D6F8492" w:rsidR="000369FE" w:rsidRPr="00687FBF" w:rsidRDefault="000369FE" w:rsidP="002C6E3A">
            <w:pPr>
              <w:spacing w:beforeLines="60" w:before="144" w:afterLines="60" w:after="144"/>
              <w:rPr>
                <w:rFonts w:ascii="Calibri" w:hAnsi="Calibri" w:cs="Calibri"/>
                <w:sz w:val="18"/>
              </w:rPr>
            </w:pPr>
            <w:r w:rsidRPr="00687FBF">
              <w:rPr>
                <w:rFonts w:ascii="Calibri" w:eastAsia="Times New Roman" w:hAnsi="Calibri" w:cs="Calibri"/>
                <w:sz w:val="18"/>
                <w:lang w:eastAsia="en-AU"/>
              </w:rPr>
              <w:t xml:space="preserve">Structuring each part of the guide in this manner allows the reader to be given </w:t>
            </w:r>
            <w:r w:rsidR="00766453" w:rsidRPr="00687FBF">
              <w:rPr>
                <w:rFonts w:ascii="Calibri" w:eastAsia="Times New Roman" w:hAnsi="Calibri" w:cs="Calibri"/>
                <w:sz w:val="18"/>
                <w:lang w:eastAsia="en-AU"/>
              </w:rPr>
              <w:t>a</w:t>
            </w:r>
            <w:r w:rsidRPr="00687FBF">
              <w:rPr>
                <w:rFonts w:ascii="Calibri" w:eastAsia="Times New Roman" w:hAnsi="Calibri" w:cs="Calibri"/>
                <w:sz w:val="18"/>
                <w:lang w:eastAsia="en-AU"/>
              </w:rPr>
              <w:t xml:space="preserve"> holistic overview of EPR</w:t>
            </w:r>
            <w:r w:rsidR="00D22AB8" w:rsidRPr="00687FBF">
              <w:rPr>
                <w:rFonts w:ascii="Calibri" w:eastAsia="Times New Roman" w:hAnsi="Calibri" w:cs="Calibri"/>
                <w:sz w:val="18"/>
                <w:lang w:eastAsia="en-AU"/>
              </w:rPr>
              <w:t>.</w:t>
            </w:r>
          </w:p>
        </w:tc>
      </w:tr>
      <w:tr w:rsidR="000369FE" w:rsidRPr="00E64147" w14:paraId="52808C4B" w14:textId="77777777" w:rsidTr="002C6E3A">
        <w:tblPrEx>
          <w:tblLook w:val="04A0" w:firstRow="1" w:lastRow="0" w:firstColumn="1" w:lastColumn="0" w:noHBand="0" w:noVBand="1"/>
        </w:tblPrEx>
        <w:trPr>
          <w:trHeight w:val="600"/>
        </w:trPr>
        <w:tc>
          <w:tcPr>
            <w:tcW w:w="561" w:type="dxa"/>
            <w:hideMark/>
          </w:tcPr>
          <w:p w14:paraId="337C6A2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119</w:t>
            </w:r>
          </w:p>
        </w:tc>
        <w:tc>
          <w:tcPr>
            <w:tcW w:w="1417" w:type="dxa"/>
            <w:hideMark/>
          </w:tcPr>
          <w:p w14:paraId="470154D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192009C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7D23088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213</w:t>
            </w:r>
          </w:p>
        </w:tc>
        <w:tc>
          <w:tcPr>
            <w:tcW w:w="2269" w:type="dxa"/>
            <w:hideMark/>
          </w:tcPr>
          <w:p w14:paraId="440C0873"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1CAD0E1A" w14:textId="2CFCF659"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For clarity, remove “(i.e. conditions leading to the declaration of a general emergency)”</w:t>
            </w:r>
          </w:p>
        </w:tc>
        <w:tc>
          <w:tcPr>
            <w:tcW w:w="1836" w:type="dxa"/>
          </w:tcPr>
          <w:p w14:paraId="3602CB9F"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244A53E0" w14:textId="6E7C14E1"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has been reworded to remove repetition and improve clarity</w:t>
            </w:r>
            <w:r w:rsidR="00766453" w:rsidRPr="00687FBF">
              <w:rPr>
                <w:rFonts w:ascii="Calibri" w:hAnsi="Calibri" w:cs="Calibri"/>
                <w:sz w:val="18"/>
              </w:rPr>
              <w:t>.</w:t>
            </w:r>
          </w:p>
        </w:tc>
      </w:tr>
      <w:tr w:rsidR="000369FE" w:rsidRPr="00E64147" w14:paraId="6D7F5659"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83"/>
        </w:trPr>
        <w:tc>
          <w:tcPr>
            <w:tcW w:w="561" w:type="dxa"/>
            <w:hideMark/>
          </w:tcPr>
          <w:p w14:paraId="289303D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120</w:t>
            </w:r>
          </w:p>
        </w:tc>
        <w:tc>
          <w:tcPr>
            <w:tcW w:w="1417" w:type="dxa"/>
            <w:hideMark/>
          </w:tcPr>
          <w:p w14:paraId="2B0847B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77B34EA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34DD587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 xml:space="preserve">214 </w:t>
            </w:r>
            <w:r w:rsidRPr="00687FBF">
              <w:rPr>
                <w:rFonts w:ascii="Calibri" w:eastAsia="Times New Roman" w:hAnsi="Calibri" w:cs="Calibri"/>
                <w:sz w:val="18"/>
                <w:szCs w:val="18"/>
                <w:lang w:eastAsia="en-AU"/>
              </w:rPr>
              <w:br/>
              <w:t xml:space="preserve">235 – 236 </w:t>
            </w:r>
            <w:r w:rsidRPr="00687FBF">
              <w:rPr>
                <w:rFonts w:ascii="Calibri" w:eastAsia="Times New Roman" w:hAnsi="Calibri" w:cs="Calibri"/>
                <w:sz w:val="18"/>
                <w:szCs w:val="18"/>
                <w:lang w:eastAsia="en-AU"/>
              </w:rPr>
              <w:br/>
              <w:t>237</w:t>
            </w:r>
          </w:p>
        </w:tc>
        <w:tc>
          <w:tcPr>
            <w:tcW w:w="2269" w:type="dxa"/>
            <w:hideMark/>
          </w:tcPr>
          <w:p w14:paraId="2A971051"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off-site</w:t>
            </w:r>
          </w:p>
        </w:tc>
        <w:tc>
          <w:tcPr>
            <w:tcW w:w="2406" w:type="dxa"/>
          </w:tcPr>
          <w:p w14:paraId="0059B36B"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Replace “off the site” with “off-site”.</w:t>
            </w:r>
          </w:p>
        </w:tc>
        <w:tc>
          <w:tcPr>
            <w:tcW w:w="1836" w:type="dxa"/>
          </w:tcPr>
          <w:p w14:paraId="0C44C7FF"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45B936FD"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33B1FC98" w14:textId="77777777" w:rsidTr="002C6E3A">
        <w:tblPrEx>
          <w:tblLook w:val="04A0" w:firstRow="1" w:lastRow="0" w:firstColumn="1" w:lastColumn="0" w:noHBand="0" w:noVBand="1"/>
        </w:tblPrEx>
        <w:trPr>
          <w:trHeight w:val="300"/>
        </w:trPr>
        <w:tc>
          <w:tcPr>
            <w:tcW w:w="561" w:type="dxa"/>
            <w:hideMark/>
          </w:tcPr>
          <w:p w14:paraId="49208C1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121</w:t>
            </w:r>
          </w:p>
        </w:tc>
        <w:tc>
          <w:tcPr>
            <w:tcW w:w="1417" w:type="dxa"/>
            <w:hideMark/>
          </w:tcPr>
          <w:p w14:paraId="00AA4C3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203A538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78A39725" w14:textId="33D78820"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215 - 216</w:t>
            </w:r>
          </w:p>
        </w:tc>
        <w:tc>
          <w:tcPr>
            <w:tcW w:w="2269" w:type="dxa"/>
            <w:hideMark/>
          </w:tcPr>
          <w:p w14:paraId="36EA4CC2"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58F7655" w14:textId="7F838344"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sentence could be removed – it is similar to lines 210 -213.</w:t>
            </w:r>
          </w:p>
        </w:tc>
        <w:tc>
          <w:tcPr>
            <w:tcW w:w="1836" w:type="dxa"/>
          </w:tcPr>
          <w:p w14:paraId="7BBB7C22"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62961BB6" w14:textId="77777777" w:rsidR="000369FE" w:rsidRPr="00687FBF" w:rsidRDefault="000369FE" w:rsidP="002C6E3A">
            <w:pPr>
              <w:spacing w:beforeLines="60" w:before="144" w:afterLines="60" w:after="144"/>
              <w:rPr>
                <w:sz w:val="18"/>
                <w:szCs w:val="20"/>
              </w:rPr>
            </w:pPr>
          </w:p>
        </w:tc>
      </w:tr>
      <w:tr w:rsidR="000369FE" w:rsidRPr="00E64147" w14:paraId="07B242B9"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4E34272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122</w:t>
            </w:r>
          </w:p>
        </w:tc>
        <w:tc>
          <w:tcPr>
            <w:tcW w:w="1417" w:type="dxa"/>
            <w:hideMark/>
          </w:tcPr>
          <w:p w14:paraId="41CE545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2386534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733614D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221</w:t>
            </w:r>
          </w:p>
        </w:tc>
        <w:tc>
          <w:tcPr>
            <w:tcW w:w="2269" w:type="dxa"/>
            <w:hideMark/>
          </w:tcPr>
          <w:p w14:paraId="7CCBAACA"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2C640A49" w14:textId="734FC278"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What about critical infrastructure which may be impacted by these zones, or are they simply blanket zones with no discretion?</w:t>
            </w:r>
          </w:p>
        </w:tc>
        <w:tc>
          <w:tcPr>
            <w:tcW w:w="1836" w:type="dxa"/>
          </w:tcPr>
          <w:p w14:paraId="14EB5296"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22CC0395" w14:textId="525694A5"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Comment Only</w:t>
            </w:r>
            <w:r w:rsidRPr="00687FBF">
              <w:rPr>
                <w:rFonts w:ascii="Calibri" w:hAnsi="Calibri" w:cs="Calibri"/>
                <w:sz w:val="18"/>
              </w:rPr>
              <w:br/>
              <w:t xml:space="preserve">This criteria falls into the regulatory decision making process and would </w:t>
            </w:r>
            <w:r w:rsidR="0031002C" w:rsidRPr="00687FBF">
              <w:rPr>
                <w:rFonts w:ascii="Calibri" w:hAnsi="Calibri" w:cs="Calibri"/>
                <w:sz w:val="18"/>
              </w:rPr>
              <w:t xml:space="preserve">be </w:t>
            </w:r>
            <w:r w:rsidRPr="00687FBF">
              <w:rPr>
                <w:rFonts w:ascii="Calibri" w:hAnsi="Calibri" w:cs="Calibri"/>
                <w:sz w:val="18"/>
              </w:rPr>
              <w:t>a site specific consideration</w:t>
            </w:r>
            <w:r w:rsidR="00766453" w:rsidRPr="00687FBF">
              <w:rPr>
                <w:rFonts w:ascii="Calibri" w:hAnsi="Calibri" w:cs="Calibri"/>
                <w:sz w:val="18"/>
              </w:rPr>
              <w:t>.</w:t>
            </w:r>
          </w:p>
        </w:tc>
      </w:tr>
      <w:tr w:rsidR="000369FE" w:rsidRPr="00E64147" w14:paraId="7E034B81" w14:textId="77777777" w:rsidTr="002C6E3A">
        <w:tblPrEx>
          <w:tblLook w:val="04A0" w:firstRow="1" w:lastRow="0" w:firstColumn="1" w:lastColumn="0" w:noHBand="0" w:noVBand="1"/>
        </w:tblPrEx>
        <w:trPr>
          <w:trHeight w:val="4200"/>
        </w:trPr>
        <w:tc>
          <w:tcPr>
            <w:tcW w:w="561" w:type="dxa"/>
            <w:hideMark/>
          </w:tcPr>
          <w:p w14:paraId="5CB673A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123</w:t>
            </w:r>
          </w:p>
        </w:tc>
        <w:tc>
          <w:tcPr>
            <w:tcW w:w="1417" w:type="dxa"/>
            <w:hideMark/>
          </w:tcPr>
          <w:p w14:paraId="5E7F62D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5800EE5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36C52819" w14:textId="6E8E0080"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222 - 227</w:t>
            </w:r>
          </w:p>
        </w:tc>
        <w:tc>
          <w:tcPr>
            <w:tcW w:w="2269" w:type="dxa"/>
            <w:hideMark/>
          </w:tcPr>
          <w:p w14:paraId="44A01768"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An urgent protective action planning zone (UPZ) is an area around a facility, activity, source or material for which arrangements have been </w:t>
            </w:r>
            <w:proofErr w:type="gramStart"/>
            <w:r w:rsidRPr="00687FBF">
              <w:rPr>
                <w:rFonts w:ascii="Calibri" w:eastAsia="Times New Roman" w:hAnsi="Calibri" w:cs="Calibri"/>
                <w:sz w:val="18"/>
                <w:lang w:eastAsia="en-AU"/>
              </w:rPr>
              <w:t>made  to</w:t>
            </w:r>
            <w:proofErr w:type="gramEnd"/>
            <w:r w:rsidRPr="00687FBF">
              <w:rPr>
                <w:rFonts w:ascii="Calibri" w:eastAsia="Times New Roman" w:hAnsi="Calibri" w:cs="Calibri"/>
                <w:sz w:val="18"/>
                <w:lang w:eastAsia="en-AU"/>
              </w:rPr>
              <w:t xml:space="preserve"> initiate urgent protective actions and other response actions in order to reduce the risk of stochastic effects. If possible these actions should be taken before any significant release of radioactive material occurs, on the basis of conditions at the facility, activity, source or material, and after a release occurs, on the basis of monitoring and assessment of the radiological situation off-site.</w:t>
            </w:r>
          </w:p>
        </w:tc>
        <w:tc>
          <w:tcPr>
            <w:tcW w:w="2406" w:type="dxa"/>
          </w:tcPr>
          <w:p w14:paraId="4CAEBFD5" w14:textId="55E47A71"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is a long sentence – suggest changing it for clarity</w:t>
            </w:r>
          </w:p>
        </w:tc>
        <w:tc>
          <w:tcPr>
            <w:tcW w:w="1836" w:type="dxa"/>
          </w:tcPr>
          <w:p w14:paraId="67021A0E" w14:textId="3C581A05"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56AE7675" w14:textId="02989320"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has been reworded to remove repetition and improve clarity</w:t>
            </w:r>
            <w:r w:rsidR="00766453" w:rsidRPr="00687FBF">
              <w:rPr>
                <w:rFonts w:ascii="Calibri" w:hAnsi="Calibri" w:cs="Calibri"/>
                <w:sz w:val="18"/>
              </w:rPr>
              <w:t>.</w:t>
            </w:r>
          </w:p>
        </w:tc>
      </w:tr>
      <w:tr w:rsidR="000369FE" w:rsidRPr="00E64147" w14:paraId="6BAEAF7A"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5F748E5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124</w:t>
            </w:r>
          </w:p>
        </w:tc>
        <w:tc>
          <w:tcPr>
            <w:tcW w:w="1417" w:type="dxa"/>
            <w:hideMark/>
          </w:tcPr>
          <w:p w14:paraId="1586ABC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6A77CB6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10C3026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236</w:t>
            </w:r>
          </w:p>
        </w:tc>
        <w:tc>
          <w:tcPr>
            <w:tcW w:w="2269" w:type="dxa"/>
            <w:hideMark/>
          </w:tcPr>
          <w:p w14:paraId="244067BD"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5D87F39" w14:textId="393A1CD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For clarity, remove “, following the declaration of a general emergency to identify areas”</w:t>
            </w:r>
          </w:p>
        </w:tc>
        <w:tc>
          <w:tcPr>
            <w:tcW w:w="1836" w:type="dxa"/>
          </w:tcPr>
          <w:p w14:paraId="6D958512" w14:textId="4392FB94"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1C1EFBCD" w14:textId="18880D49"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has been reworded to remove repetition and improve clarity</w:t>
            </w:r>
            <w:r w:rsidR="00766453" w:rsidRPr="00687FBF">
              <w:rPr>
                <w:rFonts w:ascii="Calibri" w:hAnsi="Calibri" w:cs="Calibri"/>
                <w:sz w:val="18"/>
              </w:rPr>
              <w:t>.</w:t>
            </w:r>
          </w:p>
        </w:tc>
      </w:tr>
      <w:tr w:rsidR="000369FE" w:rsidRPr="00E64147" w14:paraId="0E69B323" w14:textId="77777777" w:rsidTr="002C6E3A">
        <w:tblPrEx>
          <w:tblLook w:val="04A0" w:firstRow="1" w:lastRow="0" w:firstColumn="1" w:lastColumn="0" w:noHBand="0" w:noVBand="1"/>
        </w:tblPrEx>
        <w:trPr>
          <w:trHeight w:val="600"/>
        </w:trPr>
        <w:tc>
          <w:tcPr>
            <w:tcW w:w="561" w:type="dxa"/>
            <w:hideMark/>
          </w:tcPr>
          <w:p w14:paraId="278ECA8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125</w:t>
            </w:r>
          </w:p>
        </w:tc>
        <w:tc>
          <w:tcPr>
            <w:tcW w:w="1417" w:type="dxa"/>
            <w:hideMark/>
          </w:tcPr>
          <w:p w14:paraId="2BFBF2B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7B9AF1E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023F173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250</w:t>
            </w:r>
          </w:p>
        </w:tc>
        <w:tc>
          <w:tcPr>
            <w:tcW w:w="2269" w:type="dxa"/>
            <w:hideMark/>
          </w:tcPr>
          <w:p w14:paraId="49697869"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6E3D242B" w14:textId="05712B24"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For clarity, remove “following the declaration of a general emergency”</w:t>
            </w:r>
          </w:p>
        </w:tc>
        <w:tc>
          <w:tcPr>
            <w:tcW w:w="1836" w:type="dxa"/>
          </w:tcPr>
          <w:p w14:paraId="3AA1762A" w14:textId="7F7B570A"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5F3EFC80" w14:textId="3AFFE66E"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has been reworded to remove repetition and improve clarity</w:t>
            </w:r>
            <w:r w:rsidR="00766453" w:rsidRPr="00687FBF">
              <w:rPr>
                <w:rFonts w:ascii="Calibri" w:hAnsi="Calibri" w:cs="Calibri"/>
                <w:sz w:val="18"/>
              </w:rPr>
              <w:t>.</w:t>
            </w:r>
          </w:p>
        </w:tc>
      </w:tr>
      <w:tr w:rsidR="000369FE" w:rsidRPr="00E64147" w14:paraId="799DB28C"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00"/>
        </w:trPr>
        <w:tc>
          <w:tcPr>
            <w:tcW w:w="561" w:type="dxa"/>
            <w:hideMark/>
          </w:tcPr>
          <w:p w14:paraId="080A0A2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126</w:t>
            </w:r>
          </w:p>
        </w:tc>
        <w:tc>
          <w:tcPr>
            <w:tcW w:w="1417" w:type="dxa"/>
            <w:hideMark/>
          </w:tcPr>
          <w:p w14:paraId="0433414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3D5ADCA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61CF2F6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251</w:t>
            </w:r>
          </w:p>
        </w:tc>
        <w:tc>
          <w:tcPr>
            <w:tcW w:w="2269" w:type="dxa"/>
            <w:hideMark/>
          </w:tcPr>
          <w:p w14:paraId="64599818"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C2CB439" w14:textId="6190BF0C"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For clarity, remove “by taking response actions”</w:t>
            </w:r>
          </w:p>
        </w:tc>
        <w:tc>
          <w:tcPr>
            <w:tcW w:w="1836" w:type="dxa"/>
          </w:tcPr>
          <w:p w14:paraId="3A0AD0F0"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4BFE660C"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4BF17102" w14:textId="77777777" w:rsidTr="002C6E3A">
        <w:tblPrEx>
          <w:tblLook w:val="04A0" w:firstRow="1" w:lastRow="0" w:firstColumn="1" w:lastColumn="0" w:noHBand="0" w:noVBand="1"/>
        </w:tblPrEx>
        <w:trPr>
          <w:trHeight w:val="1343"/>
        </w:trPr>
        <w:tc>
          <w:tcPr>
            <w:tcW w:w="561" w:type="dxa"/>
            <w:hideMark/>
          </w:tcPr>
          <w:p w14:paraId="31D79D0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127</w:t>
            </w:r>
          </w:p>
        </w:tc>
        <w:tc>
          <w:tcPr>
            <w:tcW w:w="1417" w:type="dxa"/>
            <w:hideMark/>
          </w:tcPr>
          <w:p w14:paraId="37B0965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0C83B42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33A26F38" w14:textId="58B61646"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251 - 255</w:t>
            </w:r>
          </w:p>
        </w:tc>
        <w:tc>
          <w:tcPr>
            <w:tcW w:w="2269" w:type="dxa"/>
            <w:hideMark/>
          </w:tcPr>
          <w:p w14:paraId="79917C46"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D598DD4" w14:textId="08FE0754"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For clarity, change items (1) and (2) to dot points.</w:t>
            </w:r>
          </w:p>
        </w:tc>
        <w:tc>
          <w:tcPr>
            <w:tcW w:w="1836" w:type="dxa"/>
          </w:tcPr>
          <w:p w14:paraId="4FA2D65B"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350640D1" w14:textId="77777777" w:rsidR="000369FE" w:rsidRPr="00687FBF" w:rsidRDefault="000369FE" w:rsidP="002C6E3A">
            <w:pPr>
              <w:spacing w:beforeLines="60" w:before="144" w:afterLines="60" w:after="144"/>
              <w:rPr>
                <w:sz w:val="18"/>
                <w:szCs w:val="20"/>
              </w:rPr>
            </w:pPr>
          </w:p>
        </w:tc>
      </w:tr>
      <w:tr w:rsidR="000369FE" w:rsidRPr="00E64147" w14:paraId="01823CA9"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088946D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128</w:t>
            </w:r>
          </w:p>
        </w:tc>
        <w:tc>
          <w:tcPr>
            <w:tcW w:w="1417" w:type="dxa"/>
            <w:hideMark/>
          </w:tcPr>
          <w:p w14:paraId="156ED21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577F649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4D44098B" w14:textId="5C816B4C"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257 - 259</w:t>
            </w:r>
          </w:p>
        </w:tc>
        <w:tc>
          <w:tcPr>
            <w:tcW w:w="2269" w:type="dxa"/>
            <w:hideMark/>
          </w:tcPr>
          <w:p w14:paraId="462EF4E9"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12765934" w14:textId="146BDE6F"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I’m not sure what is meant here, particularly the words “determined on the purposes to prepare” and “either for domestic basis”.</w:t>
            </w:r>
          </w:p>
        </w:tc>
        <w:tc>
          <w:tcPr>
            <w:tcW w:w="1836" w:type="dxa"/>
          </w:tcPr>
          <w:p w14:paraId="6148C919" w14:textId="2571A018"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4057C08A" w14:textId="26FFE8EC"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has been reworded to remove repetition and improve clarity</w:t>
            </w:r>
            <w:r w:rsidR="00766453" w:rsidRPr="00687FBF">
              <w:rPr>
                <w:rFonts w:ascii="Calibri" w:hAnsi="Calibri" w:cs="Calibri"/>
                <w:sz w:val="18"/>
              </w:rPr>
              <w:t>.</w:t>
            </w:r>
          </w:p>
        </w:tc>
      </w:tr>
      <w:tr w:rsidR="000369FE" w:rsidRPr="00E64147" w14:paraId="2CC04D42" w14:textId="77777777" w:rsidTr="002C6E3A">
        <w:tblPrEx>
          <w:tblLook w:val="04A0" w:firstRow="1" w:lastRow="0" w:firstColumn="1" w:lastColumn="0" w:noHBand="0" w:noVBand="1"/>
        </w:tblPrEx>
        <w:trPr>
          <w:trHeight w:val="2400"/>
        </w:trPr>
        <w:tc>
          <w:tcPr>
            <w:tcW w:w="561" w:type="dxa"/>
            <w:hideMark/>
          </w:tcPr>
          <w:p w14:paraId="7C5DE0A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129</w:t>
            </w:r>
          </w:p>
        </w:tc>
        <w:tc>
          <w:tcPr>
            <w:tcW w:w="1417" w:type="dxa"/>
            <w:hideMark/>
          </w:tcPr>
          <w:p w14:paraId="38806EE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322AE86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3321E359" w14:textId="6BFE23B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268 - 270</w:t>
            </w:r>
          </w:p>
        </w:tc>
        <w:tc>
          <w:tcPr>
            <w:tcW w:w="2269" w:type="dxa"/>
            <w:hideMark/>
          </w:tcPr>
          <w:p w14:paraId="361BAED1" w14:textId="094115A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Effective response to a nuclear or radiological emergency requires development, establishment and maintenance of an effective emergency management system that includes preparedness, response and the transition to an existing or planned exposure situation.”</w:t>
            </w:r>
          </w:p>
        </w:tc>
        <w:tc>
          <w:tcPr>
            <w:tcW w:w="2406" w:type="dxa"/>
          </w:tcPr>
          <w:p w14:paraId="5F0E4777" w14:textId="20E86C8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Amend and combine the 2 sentences for clarity.</w:t>
            </w:r>
          </w:p>
        </w:tc>
        <w:tc>
          <w:tcPr>
            <w:tcW w:w="1836" w:type="dxa"/>
          </w:tcPr>
          <w:p w14:paraId="41D87B45" w14:textId="0A3EAB0C"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28FDD425" w14:textId="30A05E45"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has been reworded to remove repetition and improve clarity</w:t>
            </w:r>
            <w:r w:rsidR="00766453" w:rsidRPr="00687FBF">
              <w:rPr>
                <w:rFonts w:ascii="Calibri" w:hAnsi="Calibri" w:cs="Calibri"/>
                <w:sz w:val="18"/>
              </w:rPr>
              <w:t>.</w:t>
            </w:r>
          </w:p>
        </w:tc>
      </w:tr>
      <w:tr w:rsidR="000369FE" w:rsidRPr="00E64147" w14:paraId="678FC307"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6860B13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130</w:t>
            </w:r>
          </w:p>
        </w:tc>
        <w:tc>
          <w:tcPr>
            <w:tcW w:w="1417" w:type="dxa"/>
            <w:hideMark/>
          </w:tcPr>
          <w:p w14:paraId="607AAB4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5D0A5E2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71CB967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272</w:t>
            </w:r>
          </w:p>
        </w:tc>
        <w:tc>
          <w:tcPr>
            <w:tcW w:w="2269" w:type="dxa"/>
            <w:hideMark/>
          </w:tcPr>
          <w:p w14:paraId="2A588DA7"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223F1683" w14:textId="0F984E1D"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For clarity, remove “parts of an effective emergency preparedness and response programme”.</w:t>
            </w:r>
          </w:p>
        </w:tc>
        <w:tc>
          <w:tcPr>
            <w:tcW w:w="1836" w:type="dxa"/>
          </w:tcPr>
          <w:p w14:paraId="694F6712"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26320252"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54AC52B9" w14:textId="77777777" w:rsidTr="002C6E3A">
        <w:tblPrEx>
          <w:tblLook w:val="04A0" w:firstRow="1" w:lastRow="0" w:firstColumn="1" w:lastColumn="0" w:noHBand="0" w:noVBand="1"/>
        </w:tblPrEx>
        <w:trPr>
          <w:trHeight w:val="300"/>
        </w:trPr>
        <w:tc>
          <w:tcPr>
            <w:tcW w:w="561" w:type="dxa"/>
            <w:hideMark/>
          </w:tcPr>
          <w:p w14:paraId="1139C91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131</w:t>
            </w:r>
          </w:p>
        </w:tc>
        <w:tc>
          <w:tcPr>
            <w:tcW w:w="1417" w:type="dxa"/>
            <w:hideMark/>
          </w:tcPr>
          <w:p w14:paraId="70E3961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66021FC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7A895E3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308</w:t>
            </w:r>
          </w:p>
        </w:tc>
        <w:tc>
          <w:tcPr>
            <w:tcW w:w="2269" w:type="dxa"/>
            <w:hideMark/>
          </w:tcPr>
          <w:p w14:paraId="02F07725"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E177006" w14:textId="60F9648F"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Change “actions” to “action”.</w:t>
            </w:r>
          </w:p>
        </w:tc>
        <w:tc>
          <w:tcPr>
            <w:tcW w:w="1836" w:type="dxa"/>
          </w:tcPr>
          <w:p w14:paraId="44318F1E"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3C4C42D2" w14:textId="77777777" w:rsidR="000369FE" w:rsidRPr="00687FBF" w:rsidRDefault="000369FE" w:rsidP="002C6E3A">
            <w:pPr>
              <w:spacing w:beforeLines="60" w:before="144" w:afterLines="60" w:after="144"/>
              <w:rPr>
                <w:sz w:val="18"/>
                <w:szCs w:val="20"/>
              </w:rPr>
            </w:pPr>
          </w:p>
        </w:tc>
      </w:tr>
      <w:tr w:rsidR="000369FE" w:rsidRPr="00E64147" w14:paraId="594122C7"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00"/>
        </w:trPr>
        <w:tc>
          <w:tcPr>
            <w:tcW w:w="561" w:type="dxa"/>
            <w:hideMark/>
          </w:tcPr>
          <w:p w14:paraId="71EE544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132</w:t>
            </w:r>
          </w:p>
        </w:tc>
        <w:tc>
          <w:tcPr>
            <w:tcW w:w="1417" w:type="dxa"/>
            <w:hideMark/>
          </w:tcPr>
          <w:p w14:paraId="5F24162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0673122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078CA4F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310</w:t>
            </w:r>
          </w:p>
        </w:tc>
        <w:tc>
          <w:tcPr>
            <w:tcW w:w="2269" w:type="dxa"/>
            <w:hideMark/>
          </w:tcPr>
          <w:p w14:paraId="39A21537"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1A14A544" w14:textId="5A939A5D"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Change “and a related to” to “and are related to”.</w:t>
            </w:r>
          </w:p>
        </w:tc>
        <w:tc>
          <w:tcPr>
            <w:tcW w:w="1836" w:type="dxa"/>
          </w:tcPr>
          <w:p w14:paraId="2514E3B8"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2D70BE4C" w14:textId="77777777" w:rsidR="000369FE" w:rsidRPr="00687FBF" w:rsidRDefault="000369FE" w:rsidP="002C6E3A">
            <w:pPr>
              <w:spacing w:beforeLines="60" w:before="144" w:afterLines="60" w:after="144"/>
              <w:rPr>
                <w:sz w:val="18"/>
                <w:szCs w:val="20"/>
              </w:rPr>
            </w:pPr>
          </w:p>
        </w:tc>
      </w:tr>
      <w:tr w:rsidR="000369FE" w:rsidRPr="00E64147" w14:paraId="0E8503CB" w14:textId="77777777" w:rsidTr="002C6E3A">
        <w:tblPrEx>
          <w:tblLook w:val="04A0" w:firstRow="1" w:lastRow="0" w:firstColumn="1" w:lastColumn="0" w:noHBand="0" w:noVBand="1"/>
        </w:tblPrEx>
        <w:trPr>
          <w:trHeight w:val="1500"/>
        </w:trPr>
        <w:tc>
          <w:tcPr>
            <w:tcW w:w="561" w:type="dxa"/>
            <w:hideMark/>
          </w:tcPr>
          <w:p w14:paraId="32E01CD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133</w:t>
            </w:r>
          </w:p>
        </w:tc>
        <w:tc>
          <w:tcPr>
            <w:tcW w:w="1417" w:type="dxa"/>
            <w:hideMark/>
          </w:tcPr>
          <w:p w14:paraId="5ABF10D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6EF5CC7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66B0D7B3" w14:textId="0FAD0CE8"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351 - 354</w:t>
            </w:r>
          </w:p>
        </w:tc>
        <w:tc>
          <w:tcPr>
            <w:tcW w:w="2269" w:type="dxa"/>
            <w:hideMark/>
          </w:tcPr>
          <w:p w14:paraId="294FE757"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Adequate logistical support and facilities should be provided to enable emergency response functions to be performed effectively during the emergency, transition and termination phases of an emergency.</w:t>
            </w:r>
          </w:p>
        </w:tc>
        <w:tc>
          <w:tcPr>
            <w:tcW w:w="2406" w:type="dxa"/>
          </w:tcPr>
          <w:p w14:paraId="796AAB00"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Combine these sentences for clarity.</w:t>
            </w:r>
          </w:p>
        </w:tc>
        <w:tc>
          <w:tcPr>
            <w:tcW w:w="1836" w:type="dxa"/>
          </w:tcPr>
          <w:p w14:paraId="0C2F1A43" w14:textId="7BB85E29"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060F282D" w14:textId="1F8AC214"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has been reworded to remove repetition and improve clarity</w:t>
            </w:r>
            <w:r w:rsidR="00766453" w:rsidRPr="00687FBF">
              <w:rPr>
                <w:rFonts w:ascii="Calibri" w:hAnsi="Calibri" w:cs="Calibri"/>
                <w:sz w:val="18"/>
              </w:rPr>
              <w:t>.</w:t>
            </w:r>
          </w:p>
        </w:tc>
      </w:tr>
      <w:tr w:rsidR="000369FE" w:rsidRPr="00E64147" w14:paraId="4C70BEB7"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00"/>
        </w:trPr>
        <w:tc>
          <w:tcPr>
            <w:tcW w:w="561" w:type="dxa"/>
            <w:hideMark/>
          </w:tcPr>
          <w:p w14:paraId="1FEF342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134</w:t>
            </w:r>
          </w:p>
        </w:tc>
        <w:tc>
          <w:tcPr>
            <w:tcW w:w="1417" w:type="dxa"/>
            <w:hideMark/>
          </w:tcPr>
          <w:p w14:paraId="36AF7E0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05819FB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58D80D0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361</w:t>
            </w:r>
          </w:p>
        </w:tc>
        <w:tc>
          <w:tcPr>
            <w:tcW w:w="2269" w:type="dxa"/>
            <w:hideMark/>
          </w:tcPr>
          <w:p w14:paraId="7378F3E6"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0231B266" w14:textId="6B95C882"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Change “available” to “availability”.</w:t>
            </w:r>
          </w:p>
        </w:tc>
        <w:tc>
          <w:tcPr>
            <w:tcW w:w="1836" w:type="dxa"/>
          </w:tcPr>
          <w:p w14:paraId="47959FA3"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521A0CFA"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7CFBBCBF" w14:textId="77777777" w:rsidTr="002C6E3A">
        <w:tblPrEx>
          <w:tblLook w:val="04A0" w:firstRow="1" w:lastRow="0" w:firstColumn="1" w:lastColumn="0" w:noHBand="0" w:noVBand="1"/>
        </w:tblPrEx>
        <w:trPr>
          <w:trHeight w:val="600"/>
        </w:trPr>
        <w:tc>
          <w:tcPr>
            <w:tcW w:w="561" w:type="dxa"/>
            <w:hideMark/>
          </w:tcPr>
          <w:p w14:paraId="1C5161E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135</w:t>
            </w:r>
          </w:p>
        </w:tc>
        <w:tc>
          <w:tcPr>
            <w:tcW w:w="1417" w:type="dxa"/>
            <w:hideMark/>
          </w:tcPr>
          <w:p w14:paraId="7925923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316723C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5CD403AC" w14:textId="7CD4E9A2"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362 - 363</w:t>
            </w:r>
          </w:p>
        </w:tc>
        <w:tc>
          <w:tcPr>
            <w:tcW w:w="2269" w:type="dxa"/>
            <w:hideMark/>
          </w:tcPr>
          <w:p w14:paraId="4C9DC5C9" w14:textId="6C3A248D"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BB983DD" w14:textId="0D9922D9"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For clarity, remove “necessary for an effective response in a nuclear or 362 radiological emergency”.</w:t>
            </w:r>
          </w:p>
        </w:tc>
        <w:tc>
          <w:tcPr>
            <w:tcW w:w="1836" w:type="dxa"/>
          </w:tcPr>
          <w:p w14:paraId="770498F0" w14:textId="299CC76C"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066C1F5C" w14:textId="1CF807FE"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has been reworded to remove repetition and improve clarity</w:t>
            </w:r>
            <w:r w:rsidR="00766453" w:rsidRPr="00687FBF">
              <w:rPr>
                <w:rFonts w:ascii="Calibri" w:hAnsi="Calibri" w:cs="Calibri"/>
                <w:sz w:val="18"/>
              </w:rPr>
              <w:t>.</w:t>
            </w:r>
          </w:p>
        </w:tc>
      </w:tr>
      <w:tr w:rsidR="000369FE" w:rsidRPr="00E64147" w14:paraId="2E4E0C04"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6084F1A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136</w:t>
            </w:r>
          </w:p>
        </w:tc>
        <w:tc>
          <w:tcPr>
            <w:tcW w:w="1417" w:type="dxa"/>
            <w:hideMark/>
          </w:tcPr>
          <w:p w14:paraId="6737A70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5D10829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w:t>
            </w:r>
          </w:p>
        </w:tc>
        <w:tc>
          <w:tcPr>
            <w:tcW w:w="1137" w:type="dxa"/>
            <w:hideMark/>
          </w:tcPr>
          <w:p w14:paraId="5D6E2DF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365</w:t>
            </w:r>
          </w:p>
        </w:tc>
        <w:tc>
          <w:tcPr>
            <w:tcW w:w="2269" w:type="dxa"/>
            <w:hideMark/>
          </w:tcPr>
          <w:p w14:paraId="66E68ADD"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356A1F38" w14:textId="46DA886B"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Since this Part 2 of the Guide is meant to be used in conjunction with RPS G-3 Part 1, which already has a Glossary, is there any need (other than making Part 2 more of a stand-alone document) to include it in Part 2?</w:t>
            </w:r>
          </w:p>
        </w:tc>
        <w:tc>
          <w:tcPr>
            <w:tcW w:w="1836" w:type="dxa"/>
          </w:tcPr>
          <w:p w14:paraId="433C8681"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0400D091" w14:textId="7EBF4023"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Structuring each part of the guide in this manner </w:t>
            </w:r>
            <w:r w:rsidR="00766453" w:rsidRPr="00687FBF">
              <w:rPr>
                <w:rFonts w:ascii="Calibri" w:eastAsia="Times New Roman" w:hAnsi="Calibri" w:cs="Calibri"/>
                <w:sz w:val="18"/>
                <w:lang w:eastAsia="en-AU"/>
              </w:rPr>
              <w:t>allows the reader to be given a</w:t>
            </w:r>
            <w:r w:rsidRPr="00687FBF">
              <w:rPr>
                <w:rFonts w:ascii="Calibri" w:eastAsia="Times New Roman" w:hAnsi="Calibri" w:cs="Calibri"/>
                <w:sz w:val="18"/>
                <w:lang w:eastAsia="en-AU"/>
              </w:rPr>
              <w:t xml:space="preserve"> holistic overview of EPR</w:t>
            </w:r>
            <w:r w:rsidR="00766453" w:rsidRPr="00687FBF">
              <w:rPr>
                <w:rFonts w:ascii="Calibri" w:eastAsia="Times New Roman" w:hAnsi="Calibri" w:cs="Calibri"/>
                <w:sz w:val="18"/>
                <w:lang w:eastAsia="en-AU"/>
              </w:rPr>
              <w:t>.</w:t>
            </w:r>
          </w:p>
        </w:tc>
      </w:tr>
      <w:tr w:rsidR="000369FE" w:rsidRPr="00E64147" w14:paraId="7BC6FFD6" w14:textId="77777777" w:rsidTr="002C6E3A">
        <w:tblPrEx>
          <w:tblLook w:val="04A0" w:firstRow="1" w:lastRow="0" w:firstColumn="1" w:lastColumn="0" w:noHBand="0" w:noVBand="1"/>
        </w:tblPrEx>
        <w:trPr>
          <w:trHeight w:val="600"/>
        </w:trPr>
        <w:tc>
          <w:tcPr>
            <w:tcW w:w="561" w:type="dxa"/>
            <w:hideMark/>
          </w:tcPr>
          <w:p w14:paraId="032FB7E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137</w:t>
            </w:r>
          </w:p>
        </w:tc>
        <w:tc>
          <w:tcPr>
            <w:tcW w:w="1417" w:type="dxa"/>
            <w:hideMark/>
          </w:tcPr>
          <w:p w14:paraId="58AF6A4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5C8C9FE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19DE37C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25</w:t>
            </w:r>
          </w:p>
        </w:tc>
        <w:tc>
          <w:tcPr>
            <w:tcW w:w="2269" w:type="dxa"/>
            <w:hideMark/>
          </w:tcPr>
          <w:p w14:paraId="7D0FB518"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EA36310" w14:textId="48B04371"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Planned and existing exposure situations are dealt with by other publications – omit the words “expected to be”.</w:t>
            </w:r>
          </w:p>
        </w:tc>
        <w:tc>
          <w:tcPr>
            <w:tcW w:w="1836" w:type="dxa"/>
          </w:tcPr>
          <w:p w14:paraId="3D1C34B4"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7E1EB9B3" w14:textId="77777777" w:rsidR="000369FE" w:rsidRPr="00687FBF" w:rsidRDefault="000369FE" w:rsidP="002C6E3A">
            <w:pPr>
              <w:spacing w:beforeLines="60" w:before="144" w:afterLines="60" w:after="144"/>
              <w:rPr>
                <w:rFonts w:ascii="Calibri" w:eastAsia="Times New Roman" w:hAnsi="Calibri" w:cs="Calibri"/>
                <w:sz w:val="18"/>
                <w:lang w:eastAsia="en-AU"/>
              </w:rPr>
            </w:pPr>
          </w:p>
        </w:tc>
      </w:tr>
      <w:tr w:rsidR="000369FE" w:rsidRPr="00E64147" w14:paraId="1E6B1572"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10"/>
        </w:trPr>
        <w:tc>
          <w:tcPr>
            <w:tcW w:w="561" w:type="dxa"/>
            <w:hideMark/>
          </w:tcPr>
          <w:p w14:paraId="1C519FA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138</w:t>
            </w:r>
          </w:p>
        </w:tc>
        <w:tc>
          <w:tcPr>
            <w:tcW w:w="1417" w:type="dxa"/>
            <w:hideMark/>
          </w:tcPr>
          <w:p w14:paraId="02671E6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4905AFC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7A3644A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132</w:t>
            </w:r>
          </w:p>
        </w:tc>
        <w:tc>
          <w:tcPr>
            <w:tcW w:w="2269" w:type="dxa"/>
            <w:hideMark/>
          </w:tcPr>
          <w:p w14:paraId="0EF3E0AF"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3CFF475B" w14:textId="2D182656"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Since this Part 2 of the Guide is meant to be used in conjunction with RPS G-3 Part 1, which already has a section on the Arrangements for emergencies involving potential radiation exposure, is there any need (other than making Part2 more of a stand-alone document) to include it in Part 2?</w:t>
            </w:r>
          </w:p>
        </w:tc>
        <w:tc>
          <w:tcPr>
            <w:tcW w:w="1836" w:type="dxa"/>
          </w:tcPr>
          <w:p w14:paraId="2861473A"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36F63564" w14:textId="79D6CB4C"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Structuring each part of the guide in this manner </w:t>
            </w:r>
            <w:r w:rsidR="00766453" w:rsidRPr="00687FBF">
              <w:rPr>
                <w:rFonts w:ascii="Calibri" w:eastAsia="Times New Roman" w:hAnsi="Calibri" w:cs="Calibri"/>
                <w:sz w:val="18"/>
                <w:lang w:eastAsia="en-AU"/>
              </w:rPr>
              <w:t>allows the reader to be given a</w:t>
            </w:r>
            <w:r w:rsidRPr="00687FBF">
              <w:rPr>
                <w:rFonts w:ascii="Calibri" w:eastAsia="Times New Roman" w:hAnsi="Calibri" w:cs="Calibri"/>
                <w:sz w:val="18"/>
                <w:lang w:eastAsia="en-AU"/>
              </w:rPr>
              <w:t xml:space="preserve"> holistic overview of EPR</w:t>
            </w:r>
            <w:r w:rsidR="00766453" w:rsidRPr="00687FBF">
              <w:rPr>
                <w:rFonts w:ascii="Calibri" w:eastAsia="Times New Roman" w:hAnsi="Calibri" w:cs="Calibri"/>
                <w:sz w:val="18"/>
                <w:lang w:eastAsia="en-AU"/>
              </w:rPr>
              <w:t>.</w:t>
            </w:r>
          </w:p>
        </w:tc>
      </w:tr>
      <w:tr w:rsidR="000369FE" w:rsidRPr="00E64147" w14:paraId="1FEA10A5" w14:textId="77777777" w:rsidTr="002C6E3A">
        <w:tblPrEx>
          <w:tblLook w:val="04A0" w:firstRow="1" w:lastRow="0" w:firstColumn="1" w:lastColumn="0" w:noHBand="0" w:noVBand="1"/>
        </w:tblPrEx>
        <w:trPr>
          <w:trHeight w:val="300"/>
        </w:trPr>
        <w:tc>
          <w:tcPr>
            <w:tcW w:w="561" w:type="dxa"/>
            <w:hideMark/>
          </w:tcPr>
          <w:p w14:paraId="0D22814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139</w:t>
            </w:r>
          </w:p>
        </w:tc>
        <w:tc>
          <w:tcPr>
            <w:tcW w:w="1417" w:type="dxa"/>
            <w:hideMark/>
          </w:tcPr>
          <w:p w14:paraId="7FC5F92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68F412C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76812C6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176</w:t>
            </w:r>
          </w:p>
        </w:tc>
        <w:tc>
          <w:tcPr>
            <w:tcW w:w="2269" w:type="dxa"/>
            <w:hideMark/>
          </w:tcPr>
          <w:p w14:paraId="5490D8D6"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3DB61C8" w14:textId="12837462"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Remove “That”.</w:t>
            </w:r>
          </w:p>
        </w:tc>
        <w:tc>
          <w:tcPr>
            <w:tcW w:w="1836" w:type="dxa"/>
          </w:tcPr>
          <w:p w14:paraId="22431FE8"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042BD07D"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045D5E80"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718D5D7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140</w:t>
            </w:r>
          </w:p>
        </w:tc>
        <w:tc>
          <w:tcPr>
            <w:tcW w:w="1417" w:type="dxa"/>
            <w:hideMark/>
          </w:tcPr>
          <w:p w14:paraId="57484C3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0B9FCE3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0CB7DD3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224</w:t>
            </w:r>
          </w:p>
        </w:tc>
        <w:tc>
          <w:tcPr>
            <w:tcW w:w="2269" w:type="dxa"/>
            <w:hideMark/>
          </w:tcPr>
          <w:p w14:paraId="04AE65C5"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3182E16D" w14:textId="58147D7C"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Perhaps add occupational exposure to the medical exposure?</w:t>
            </w:r>
          </w:p>
        </w:tc>
        <w:tc>
          <w:tcPr>
            <w:tcW w:w="1836" w:type="dxa"/>
          </w:tcPr>
          <w:p w14:paraId="050EE88B" w14:textId="25EFC5DB"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27FBDD16" w14:textId="2EC8B936"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Text has been revised</w:t>
            </w:r>
            <w:r w:rsidR="00766453" w:rsidRPr="00687FBF">
              <w:rPr>
                <w:rFonts w:ascii="Calibri" w:hAnsi="Calibri" w:cs="Calibri"/>
                <w:sz w:val="18"/>
              </w:rPr>
              <w:t>.</w:t>
            </w:r>
          </w:p>
        </w:tc>
      </w:tr>
      <w:tr w:rsidR="000369FE" w:rsidRPr="00E64147" w14:paraId="16E7A269" w14:textId="77777777" w:rsidTr="002C6E3A">
        <w:tblPrEx>
          <w:tblLook w:val="04A0" w:firstRow="1" w:lastRow="0" w:firstColumn="1" w:lastColumn="0" w:noHBand="0" w:noVBand="1"/>
        </w:tblPrEx>
        <w:trPr>
          <w:trHeight w:val="600"/>
        </w:trPr>
        <w:tc>
          <w:tcPr>
            <w:tcW w:w="561" w:type="dxa"/>
            <w:hideMark/>
          </w:tcPr>
          <w:p w14:paraId="0CFF0F3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141</w:t>
            </w:r>
          </w:p>
        </w:tc>
        <w:tc>
          <w:tcPr>
            <w:tcW w:w="1417" w:type="dxa"/>
            <w:hideMark/>
          </w:tcPr>
          <w:p w14:paraId="2FF8A6F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7129818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605C1726" w14:textId="0F13E563"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224 - 225</w:t>
            </w:r>
          </w:p>
        </w:tc>
        <w:tc>
          <w:tcPr>
            <w:tcW w:w="2269" w:type="dxa"/>
            <w:hideMark/>
          </w:tcPr>
          <w:p w14:paraId="47F102AB"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04002940" w14:textId="251EEC7E"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The words “(but not underexposure)” are not necessary.</w:t>
            </w:r>
          </w:p>
        </w:tc>
        <w:tc>
          <w:tcPr>
            <w:tcW w:w="1836" w:type="dxa"/>
          </w:tcPr>
          <w:p w14:paraId="153B2889" w14:textId="06EB1338"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198ED0A9" w14:textId="67543D68"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Resolution 140</w:t>
            </w:r>
            <w:r w:rsidR="00766453" w:rsidRPr="00687FBF">
              <w:rPr>
                <w:rFonts w:ascii="Calibri" w:hAnsi="Calibri" w:cs="Calibri"/>
                <w:sz w:val="18"/>
              </w:rPr>
              <w:t>.</w:t>
            </w:r>
          </w:p>
        </w:tc>
      </w:tr>
      <w:tr w:rsidR="000369FE" w:rsidRPr="00E64147" w14:paraId="34118FB6"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00"/>
        </w:trPr>
        <w:tc>
          <w:tcPr>
            <w:tcW w:w="561" w:type="dxa"/>
            <w:hideMark/>
          </w:tcPr>
          <w:p w14:paraId="4F4E66C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142</w:t>
            </w:r>
          </w:p>
        </w:tc>
        <w:tc>
          <w:tcPr>
            <w:tcW w:w="1417" w:type="dxa"/>
            <w:hideMark/>
          </w:tcPr>
          <w:p w14:paraId="0DC9582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0046A53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313BC29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239</w:t>
            </w:r>
          </w:p>
        </w:tc>
        <w:tc>
          <w:tcPr>
            <w:tcW w:w="2269" w:type="dxa"/>
            <w:hideMark/>
          </w:tcPr>
          <w:p w14:paraId="5CA4A50C"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335C9A32" w14:textId="2E636D93"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Change “threat” to “emergency preparedness”.</w:t>
            </w:r>
          </w:p>
        </w:tc>
        <w:tc>
          <w:tcPr>
            <w:tcW w:w="1836" w:type="dxa"/>
          </w:tcPr>
          <w:p w14:paraId="02944C08"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0E35768C" w14:textId="182D17CE" w:rsidR="000369FE" w:rsidRPr="00687FBF" w:rsidRDefault="00766453" w:rsidP="002C6E3A">
            <w:pPr>
              <w:spacing w:beforeLines="60" w:before="144" w:afterLines="60" w:after="144"/>
              <w:rPr>
                <w:rFonts w:ascii="Calibri" w:hAnsi="Calibri" w:cs="Calibri"/>
                <w:sz w:val="18"/>
              </w:rPr>
            </w:pPr>
            <w:r w:rsidRPr="00687FBF">
              <w:rPr>
                <w:rFonts w:ascii="Calibri" w:hAnsi="Calibri" w:cs="Calibri"/>
                <w:sz w:val="18"/>
              </w:rPr>
              <w:t>This has been reviewed and edited throughout the document.</w:t>
            </w:r>
          </w:p>
        </w:tc>
      </w:tr>
      <w:tr w:rsidR="000369FE" w:rsidRPr="00E64147" w14:paraId="793F6FFE" w14:textId="77777777" w:rsidTr="002C6E3A">
        <w:tblPrEx>
          <w:tblLook w:val="04A0" w:firstRow="1" w:lastRow="0" w:firstColumn="1" w:lastColumn="0" w:noHBand="0" w:noVBand="1"/>
        </w:tblPrEx>
        <w:trPr>
          <w:trHeight w:val="300"/>
        </w:trPr>
        <w:tc>
          <w:tcPr>
            <w:tcW w:w="561" w:type="dxa"/>
            <w:hideMark/>
          </w:tcPr>
          <w:p w14:paraId="20C3021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143</w:t>
            </w:r>
          </w:p>
        </w:tc>
        <w:tc>
          <w:tcPr>
            <w:tcW w:w="1417" w:type="dxa"/>
            <w:hideMark/>
          </w:tcPr>
          <w:p w14:paraId="74344FC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15E53ED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16A884C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430</w:t>
            </w:r>
          </w:p>
        </w:tc>
        <w:tc>
          <w:tcPr>
            <w:tcW w:w="2269" w:type="dxa"/>
            <w:hideMark/>
          </w:tcPr>
          <w:p w14:paraId="59FA11B1" w14:textId="376F650A"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69859FDF" w14:textId="4783F2CB"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Is there a reason for ‘event’ being in quotation marks?</w:t>
            </w:r>
          </w:p>
        </w:tc>
        <w:tc>
          <w:tcPr>
            <w:tcW w:w="1836" w:type="dxa"/>
          </w:tcPr>
          <w:p w14:paraId="46530F6B"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7B835ACD" w14:textId="70D2F131" w:rsidR="000369FE" w:rsidRPr="00687FBF" w:rsidRDefault="000369FE" w:rsidP="002C6E3A">
            <w:pPr>
              <w:spacing w:beforeLines="60" w:before="144" w:afterLines="60" w:after="144"/>
              <w:rPr>
                <w:rFonts w:ascii="Calibri" w:hAnsi="Calibri" w:cs="Calibri"/>
                <w:sz w:val="18"/>
              </w:rPr>
            </w:pPr>
          </w:p>
        </w:tc>
      </w:tr>
      <w:tr w:rsidR="000369FE" w:rsidRPr="00E64147" w14:paraId="135A5180"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11B8577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144</w:t>
            </w:r>
          </w:p>
        </w:tc>
        <w:tc>
          <w:tcPr>
            <w:tcW w:w="1417" w:type="dxa"/>
            <w:hideMark/>
          </w:tcPr>
          <w:p w14:paraId="680125C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0F126B0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50A0C66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430</w:t>
            </w:r>
          </w:p>
        </w:tc>
        <w:tc>
          <w:tcPr>
            <w:tcW w:w="2269" w:type="dxa"/>
            <w:hideMark/>
          </w:tcPr>
          <w:p w14:paraId="42E95077"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0BC0AB4B" w14:textId="2C063E7F"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Change “specified dose” to “generic criteria”.</w:t>
            </w:r>
          </w:p>
        </w:tc>
        <w:tc>
          <w:tcPr>
            <w:tcW w:w="1836" w:type="dxa"/>
          </w:tcPr>
          <w:p w14:paraId="7978095A" w14:textId="3B881395"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0D0BA8E0" w14:textId="3007406D"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Changed term to 'guidance values' </w:t>
            </w:r>
            <w:r w:rsidR="00766453" w:rsidRPr="00687FBF">
              <w:rPr>
                <w:rFonts w:ascii="Calibri" w:hAnsi="Calibri" w:cs="Calibri"/>
                <w:sz w:val="18"/>
              </w:rPr>
              <w:t xml:space="preserve">which is </w:t>
            </w:r>
            <w:r w:rsidRPr="00687FBF">
              <w:rPr>
                <w:rFonts w:ascii="Calibri" w:hAnsi="Calibri" w:cs="Calibri"/>
                <w:sz w:val="18"/>
              </w:rPr>
              <w:t>in line with GSR Part 7.</w:t>
            </w:r>
          </w:p>
        </w:tc>
      </w:tr>
      <w:tr w:rsidR="000369FE" w:rsidRPr="00E64147" w14:paraId="61925771" w14:textId="77777777" w:rsidTr="002C6E3A">
        <w:tblPrEx>
          <w:tblLook w:val="04A0" w:firstRow="1" w:lastRow="0" w:firstColumn="1" w:lastColumn="0" w:noHBand="0" w:noVBand="1"/>
        </w:tblPrEx>
        <w:trPr>
          <w:trHeight w:val="900"/>
        </w:trPr>
        <w:tc>
          <w:tcPr>
            <w:tcW w:w="561" w:type="dxa"/>
            <w:hideMark/>
          </w:tcPr>
          <w:p w14:paraId="0AF550D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145</w:t>
            </w:r>
          </w:p>
        </w:tc>
        <w:tc>
          <w:tcPr>
            <w:tcW w:w="1417" w:type="dxa"/>
            <w:hideMark/>
          </w:tcPr>
          <w:p w14:paraId="002B7B4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1F24786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552CEB8D" w14:textId="0953D26C"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593 - 594</w:t>
            </w:r>
          </w:p>
        </w:tc>
        <w:tc>
          <w:tcPr>
            <w:tcW w:w="2269" w:type="dxa"/>
            <w:hideMark/>
          </w:tcPr>
          <w:p w14:paraId="37557569"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64861A47" w14:textId="0698656F" w:rsidR="000369FE" w:rsidRPr="00687FBF" w:rsidRDefault="000369FE" w:rsidP="002C6E3A">
            <w:pPr>
              <w:spacing w:beforeLines="60" w:before="144" w:afterLines="60" w:after="144"/>
              <w:rPr>
                <w:rFonts w:ascii="Calibri" w:eastAsia="Times New Roman" w:hAnsi="Calibri" w:cs="Calibri"/>
                <w:sz w:val="18"/>
                <w:lang w:eastAsia="en-AU"/>
              </w:rPr>
            </w:pPr>
            <w:proofErr w:type="gramStart"/>
            <w:r w:rsidRPr="00687FBF">
              <w:rPr>
                <w:rFonts w:ascii="Calibri" w:eastAsia="Times New Roman" w:hAnsi="Calibri" w:cs="Calibri"/>
                <w:sz w:val="18"/>
                <w:lang w:eastAsia="en-AU"/>
              </w:rPr>
              <w:t>The are</w:t>
            </w:r>
            <w:proofErr w:type="gramEnd"/>
            <w:r w:rsidRPr="00687FBF">
              <w:rPr>
                <w:rFonts w:ascii="Calibri" w:eastAsia="Times New Roman" w:hAnsi="Calibri" w:cs="Calibri"/>
                <w:sz w:val="18"/>
                <w:lang w:eastAsia="en-AU"/>
              </w:rPr>
              <w:t xml:space="preserve"> many types of radiation practice that must comply with relevant codes. </w:t>
            </w:r>
            <w:r w:rsidRPr="00687FBF">
              <w:rPr>
                <w:rFonts w:ascii="Calibri" w:eastAsia="Times New Roman" w:hAnsi="Calibri" w:cs="Calibri"/>
                <w:sz w:val="18"/>
                <w:lang w:eastAsia="en-AU"/>
              </w:rPr>
              <w:lastRenderedPageBreak/>
              <w:t>It is not clear why the Medical Exposure Code has been picked out here – I think the Planned Exposure Code is sufficient.</w:t>
            </w:r>
          </w:p>
        </w:tc>
        <w:tc>
          <w:tcPr>
            <w:tcW w:w="1836" w:type="dxa"/>
          </w:tcPr>
          <w:p w14:paraId="07AB0D88"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lastRenderedPageBreak/>
              <w:t>Accepted</w:t>
            </w:r>
          </w:p>
        </w:tc>
        <w:tc>
          <w:tcPr>
            <w:tcW w:w="4118" w:type="dxa"/>
          </w:tcPr>
          <w:p w14:paraId="4832D7EC"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3AA48627"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46317AA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146</w:t>
            </w:r>
          </w:p>
        </w:tc>
        <w:tc>
          <w:tcPr>
            <w:tcW w:w="1417" w:type="dxa"/>
            <w:hideMark/>
          </w:tcPr>
          <w:p w14:paraId="733BCC2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58150DA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3AB98CC5" w14:textId="6FBC2956"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623 &amp; 628</w:t>
            </w:r>
          </w:p>
        </w:tc>
        <w:tc>
          <w:tcPr>
            <w:tcW w:w="2269" w:type="dxa"/>
            <w:hideMark/>
          </w:tcPr>
          <w:p w14:paraId="7B5A37E1"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4F1EBC88" w14:textId="1F77F7E4"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Terminology issue? Is this Public Health as a specialty or government sector?</w:t>
            </w:r>
          </w:p>
        </w:tc>
        <w:tc>
          <w:tcPr>
            <w:tcW w:w="1836" w:type="dxa"/>
          </w:tcPr>
          <w:p w14:paraId="693388BE" w14:textId="107F9708"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7911CAF8" w14:textId="0E10207D" w:rsidR="000369FE" w:rsidRPr="00687FBF" w:rsidRDefault="00766453" w:rsidP="002C6E3A">
            <w:pPr>
              <w:spacing w:beforeLines="60" w:before="144" w:afterLines="60" w:after="144"/>
              <w:rPr>
                <w:rFonts w:ascii="Calibri" w:hAnsi="Calibri" w:cs="Calibri"/>
                <w:sz w:val="18"/>
              </w:rPr>
            </w:pPr>
            <w:r w:rsidRPr="00687FBF">
              <w:rPr>
                <w:rFonts w:ascii="Calibri" w:hAnsi="Calibri" w:cs="Calibri"/>
                <w:sz w:val="18"/>
              </w:rPr>
              <w:t>Terminology has been</w:t>
            </w:r>
            <w:r w:rsidR="000369FE" w:rsidRPr="00687FBF">
              <w:rPr>
                <w:rFonts w:ascii="Calibri" w:hAnsi="Calibri" w:cs="Calibri"/>
                <w:sz w:val="18"/>
              </w:rPr>
              <w:t xml:space="preserve"> reviewed</w:t>
            </w:r>
            <w:r w:rsidRPr="00687FBF">
              <w:rPr>
                <w:rFonts w:ascii="Calibri" w:hAnsi="Calibri" w:cs="Calibri"/>
                <w:sz w:val="18"/>
              </w:rPr>
              <w:t>.</w:t>
            </w:r>
          </w:p>
        </w:tc>
      </w:tr>
      <w:tr w:rsidR="000369FE" w:rsidRPr="00E64147" w14:paraId="4BFD5C99" w14:textId="77777777" w:rsidTr="002C6E3A">
        <w:tblPrEx>
          <w:tblLook w:val="04A0" w:firstRow="1" w:lastRow="0" w:firstColumn="1" w:lastColumn="0" w:noHBand="0" w:noVBand="1"/>
        </w:tblPrEx>
        <w:trPr>
          <w:trHeight w:val="900"/>
        </w:trPr>
        <w:tc>
          <w:tcPr>
            <w:tcW w:w="561" w:type="dxa"/>
            <w:hideMark/>
          </w:tcPr>
          <w:p w14:paraId="54BB5BF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147</w:t>
            </w:r>
          </w:p>
        </w:tc>
        <w:tc>
          <w:tcPr>
            <w:tcW w:w="1417" w:type="dxa"/>
            <w:hideMark/>
          </w:tcPr>
          <w:p w14:paraId="32C3C56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1B78125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6864C0B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644</w:t>
            </w:r>
          </w:p>
        </w:tc>
        <w:tc>
          <w:tcPr>
            <w:tcW w:w="2269" w:type="dxa"/>
            <w:hideMark/>
          </w:tcPr>
          <w:p w14:paraId="7C411067"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671F31E8" w14:textId="586DB1E1"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is a highly specialised medical field and would likely to be completely unfamiliar to most clinicians. Access to high quality, experienced and timely specialist advice would be vital if these patients are to be well managed.</w:t>
            </w:r>
          </w:p>
        </w:tc>
        <w:tc>
          <w:tcPr>
            <w:tcW w:w="1836" w:type="dxa"/>
          </w:tcPr>
          <w:p w14:paraId="32CA801A"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1DA131BA"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Comment Only</w:t>
            </w:r>
          </w:p>
        </w:tc>
      </w:tr>
      <w:tr w:rsidR="000369FE" w:rsidRPr="00E64147" w14:paraId="1DE29CAB"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800"/>
        </w:trPr>
        <w:tc>
          <w:tcPr>
            <w:tcW w:w="561" w:type="dxa"/>
            <w:hideMark/>
          </w:tcPr>
          <w:p w14:paraId="51D643F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148</w:t>
            </w:r>
          </w:p>
        </w:tc>
        <w:tc>
          <w:tcPr>
            <w:tcW w:w="1417" w:type="dxa"/>
            <w:hideMark/>
          </w:tcPr>
          <w:p w14:paraId="23FACB5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67571281"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126DD986" w14:textId="208AB99C"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649 - 653</w:t>
            </w:r>
          </w:p>
        </w:tc>
        <w:tc>
          <w:tcPr>
            <w:tcW w:w="2269" w:type="dxa"/>
            <w:hideMark/>
          </w:tcPr>
          <w:p w14:paraId="1B3EAA6C"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4E1CA250" w14:textId="034DEC98"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Although the IAEA 2005 generic procedures use the term “threat categories” they are now “emergency preparedness categories”.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 xml:space="preserve">In lines 649, 651 and 652, change “threat” to “emergency preparedness”.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The 2005 IAEA document is not listed in the References (page 49-50)</w:t>
            </w:r>
          </w:p>
        </w:tc>
        <w:tc>
          <w:tcPr>
            <w:tcW w:w="1836" w:type="dxa"/>
          </w:tcPr>
          <w:p w14:paraId="3B8BAFEE"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78E90145"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resolution 142</w:t>
            </w:r>
          </w:p>
        </w:tc>
      </w:tr>
      <w:tr w:rsidR="000369FE" w:rsidRPr="00E64147" w14:paraId="6DAB6C43" w14:textId="77777777" w:rsidTr="002C6E3A">
        <w:tblPrEx>
          <w:tblLook w:val="04A0" w:firstRow="1" w:lastRow="0" w:firstColumn="1" w:lastColumn="0" w:noHBand="0" w:noVBand="1"/>
        </w:tblPrEx>
        <w:trPr>
          <w:trHeight w:val="600"/>
        </w:trPr>
        <w:tc>
          <w:tcPr>
            <w:tcW w:w="561" w:type="dxa"/>
            <w:hideMark/>
          </w:tcPr>
          <w:p w14:paraId="19A1157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149</w:t>
            </w:r>
          </w:p>
        </w:tc>
        <w:tc>
          <w:tcPr>
            <w:tcW w:w="1417" w:type="dxa"/>
            <w:hideMark/>
          </w:tcPr>
          <w:p w14:paraId="53C1BC7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4A68F91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38283CC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663</w:t>
            </w:r>
          </w:p>
        </w:tc>
        <w:tc>
          <w:tcPr>
            <w:tcW w:w="2269" w:type="dxa"/>
            <w:hideMark/>
          </w:tcPr>
          <w:p w14:paraId="7AB1315A"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7ABF4254" w14:textId="5F7A2D40"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Should this not also include Public Health, or is that a given?</w:t>
            </w:r>
          </w:p>
        </w:tc>
        <w:tc>
          <w:tcPr>
            <w:tcW w:w="1836" w:type="dxa"/>
          </w:tcPr>
          <w:p w14:paraId="16607B71" w14:textId="769E905A"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0E6C5953" w14:textId="705F7EE7" w:rsidR="000369FE" w:rsidRPr="00687FBF" w:rsidRDefault="00766453" w:rsidP="002C6E3A">
            <w:pPr>
              <w:spacing w:beforeLines="60" w:before="144" w:afterLines="60" w:after="144"/>
              <w:rPr>
                <w:rFonts w:ascii="Calibri" w:hAnsi="Calibri" w:cs="Calibri"/>
                <w:sz w:val="18"/>
              </w:rPr>
            </w:pPr>
            <w:r w:rsidRPr="00687FBF">
              <w:rPr>
                <w:rFonts w:ascii="Calibri" w:hAnsi="Calibri" w:cs="Calibri"/>
                <w:sz w:val="18"/>
              </w:rPr>
              <w:t>Addressed in t</w:t>
            </w:r>
            <w:r w:rsidR="000369FE" w:rsidRPr="00687FBF">
              <w:rPr>
                <w:rFonts w:ascii="Calibri" w:hAnsi="Calibri" w:cs="Calibri"/>
                <w:sz w:val="18"/>
              </w:rPr>
              <w:t xml:space="preserve">he goals of medical response </w:t>
            </w:r>
            <w:r w:rsidRPr="00687FBF">
              <w:rPr>
                <w:rFonts w:ascii="Calibri" w:hAnsi="Calibri" w:cs="Calibri"/>
                <w:sz w:val="18"/>
              </w:rPr>
              <w:t>within Part 2, section 8.</w:t>
            </w:r>
          </w:p>
        </w:tc>
      </w:tr>
      <w:tr w:rsidR="000369FE" w:rsidRPr="00E64147" w14:paraId="3987B5C5"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64653F7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150</w:t>
            </w:r>
          </w:p>
        </w:tc>
        <w:tc>
          <w:tcPr>
            <w:tcW w:w="1417" w:type="dxa"/>
            <w:hideMark/>
          </w:tcPr>
          <w:p w14:paraId="1B41E06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494A8D2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4C162B2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820</w:t>
            </w:r>
          </w:p>
        </w:tc>
        <w:tc>
          <w:tcPr>
            <w:tcW w:w="2269" w:type="dxa"/>
            <w:hideMark/>
          </w:tcPr>
          <w:p w14:paraId="09820EB3"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D7A9DDA" w14:textId="6D26ECA2"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In the headings of Table A.5 change “threat” to “emergency preparedness”.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Please repeat the tables heading on each page of the table.</w:t>
            </w:r>
          </w:p>
        </w:tc>
        <w:tc>
          <w:tcPr>
            <w:tcW w:w="1836" w:type="dxa"/>
          </w:tcPr>
          <w:p w14:paraId="44069035"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4AD71D31"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resolution 142</w:t>
            </w:r>
          </w:p>
        </w:tc>
      </w:tr>
      <w:tr w:rsidR="000369FE" w:rsidRPr="00E64147" w14:paraId="4575CBCC" w14:textId="77777777" w:rsidTr="002C6E3A">
        <w:tblPrEx>
          <w:tblLook w:val="04A0" w:firstRow="1" w:lastRow="0" w:firstColumn="1" w:lastColumn="0" w:noHBand="0" w:noVBand="1"/>
        </w:tblPrEx>
        <w:trPr>
          <w:trHeight w:val="300"/>
        </w:trPr>
        <w:tc>
          <w:tcPr>
            <w:tcW w:w="561" w:type="dxa"/>
            <w:hideMark/>
          </w:tcPr>
          <w:p w14:paraId="26551FA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151</w:t>
            </w:r>
          </w:p>
        </w:tc>
        <w:tc>
          <w:tcPr>
            <w:tcW w:w="1417" w:type="dxa"/>
            <w:hideMark/>
          </w:tcPr>
          <w:p w14:paraId="2AAC48B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2E6FA3A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0BE4FB9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855</w:t>
            </w:r>
          </w:p>
        </w:tc>
        <w:tc>
          <w:tcPr>
            <w:tcW w:w="2269" w:type="dxa"/>
            <w:hideMark/>
          </w:tcPr>
          <w:p w14:paraId="6A9531E9"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78A8B838" w14:textId="0950E16A"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Delete “threat”</w:t>
            </w:r>
          </w:p>
        </w:tc>
        <w:tc>
          <w:tcPr>
            <w:tcW w:w="1836" w:type="dxa"/>
          </w:tcPr>
          <w:p w14:paraId="7BB030DB"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314F2CC8"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resolution 142</w:t>
            </w:r>
          </w:p>
        </w:tc>
      </w:tr>
      <w:tr w:rsidR="000369FE" w:rsidRPr="00E64147" w14:paraId="060BCFA7"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00"/>
        </w:trPr>
        <w:tc>
          <w:tcPr>
            <w:tcW w:w="561" w:type="dxa"/>
            <w:hideMark/>
          </w:tcPr>
          <w:p w14:paraId="5318347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152</w:t>
            </w:r>
          </w:p>
        </w:tc>
        <w:tc>
          <w:tcPr>
            <w:tcW w:w="1417" w:type="dxa"/>
            <w:hideMark/>
          </w:tcPr>
          <w:p w14:paraId="62A18D8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6ABF34C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4458B41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883</w:t>
            </w:r>
          </w:p>
        </w:tc>
        <w:tc>
          <w:tcPr>
            <w:tcW w:w="2269" w:type="dxa"/>
            <w:hideMark/>
          </w:tcPr>
          <w:p w14:paraId="1A01FBF3"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592B5D16" w14:textId="7EE45BF9"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I can’t find these default actions.</w:t>
            </w:r>
          </w:p>
        </w:tc>
        <w:tc>
          <w:tcPr>
            <w:tcW w:w="1836" w:type="dxa"/>
          </w:tcPr>
          <w:p w14:paraId="6F9EFD97"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41737993"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resolution 67</w:t>
            </w:r>
          </w:p>
        </w:tc>
      </w:tr>
      <w:tr w:rsidR="000369FE" w:rsidRPr="00E64147" w14:paraId="06B6771E" w14:textId="77777777" w:rsidTr="002C6E3A">
        <w:tblPrEx>
          <w:tblLook w:val="04A0" w:firstRow="1" w:lastRow="0" w:firstColumn="1" w:lastColumn="0" w:noHBand="0" w:noVBand="1"/>
        </w:tblPrEx>
        <w:trPr>
          <w:trHeight w:val="900"/>
        </w:trPr>
        <w:tc>
          <w:tcPr>
            <w:tcW w:w="561" w:type="dxa"/>
            <w:hideMark/>
          </w:tcPr>
          <w:p w14:paraId="0E29E59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153</w:t>
            </w:r>
          </w:p>
        </w:tc>
        <w:tc>
          <w:tcPr>
            <w:tcW w:w="1417" w:type="dxa"/>
            <w:hideMark/>
          </w:tcPr>
          <w:p w14:paraId="7859232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0EA748F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42A720D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886</w:t>
            </w:r>
          </w:p>
        </w:tc>
        <w:tc>
          <w:tcPr>
            <w:tcW w:w="2269" w:type="dxa"/>
            <w:hideMark/>
          </w:tcPr>
          <w:p w14:paraId="20A3D4A3"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482146B5" w14:textId="19A94FB4"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Since this Part 2 of the Guide is meant to be used in conjunction with RPS G-3 Part 1, which already has a Glossary, is there any need (other than making Part 2 more of a stand-alone document) to include it in Part 2?</w:t>
            </w:r>
          </w:p>
        </w:tc>
        <w:tc>
          <w:tcPr>
            <w:tcW w:w="1836" w:type="dxa"/>
          </w:tcPr>
          <w:p w14:paraId="3FA27142"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55DFD335"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Structuring each part of the guide in this manner allows the reader to be given an holistic overview of EPR</w:t>
            </w:r>
          </w:p>
        </w:tc>
      </w:tr>
      <w:tr w:rsidR="000369FE" w:rsidRPr="00E64147" w14:paraId="7C80CE3E"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00"/>
        </w:trPr>
        <w:tc>
          <w:tcPr>
            <w:tcW w:w="561" w:type="dxa"/>
            <w:hideMark/>
          </w:tcPr>
          <w:p w14:paraId="21046BB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154</w:t>
            </w:r>
          </w:p>
        </w:tc>
        <w:tc>
          <w:tcPr>
            <w:tcW w:w="1417" w:type="dxa"/>
            <w:hideMark/>
          </w:tcPr>
          <w:p w14:paraId="41A5906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Queensland Health</w:t>
            </w:r>
          </w:p>
        </w:tc>
        <w:tc>
          <w:tcPr>
            <w:tcW w:w="852" w:type="dxa"/>
            <w:hideMark/>
          </w:tcPr>
          <w:p w14:paraId="07A133A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4E477A0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965</w:t>
            </w:r>
          </w:p>
        </w:tc>
        <w:tc>
          <w:tcPr>
            <w:tcW w:w="2269" w:type="dxa"/>
            <w:hideMark/>
          </w:tcPr>
          <w:p w14:paraId="2720B7F5"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2D3DF6F0" w14:textId="0F6363C4"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“Fission based accident” is not in the Glossaries of RPS G-3 Part 2 or Part 3</w:t>
            </w:r>
          </w:p>
        </w:tc>
        <w:tc>
          <w:tcPr>
            <w:tcW w:w="1836" w:type="dxa"/>
          </w:tcPr>
          <w:p w14:paraId="3D373339"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09B4E9FA"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Reworded to nuclear emergency consistent with guides scope</w:t>
            </w:r>
          </w:p>
        </w:tc>
      </w:tr>
      <w:tr w:rsidR="000369FE" w:rsidRPr="00E64147" w14:paraId="49B88E7D" w14:textId="77777777" w:rsidTr="002C6E3A">
        <w:tblPrEx>
          <w:tblLook w:val="04A0" w:firstRow="1" w:lastRow="0" w:firstColumn="1" w:lastColumn="0" w:noHBand="0" w:noVBand="1"/>
        </w:tblPrEx>
        <w:trPr>
          <w:trHeight w:val="5505"/>
        </w:trPr>
        <w:tc>
          <w:tcPr>
            <w:tcW w:w="561" w:type="dxa"/>
            <w:hideMark/>
          </w:tcPr>
          <w:p w14:paraId="74752A1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155</w:t>
            </w:r>
          </w:p>
        </w:tc>
        <w:tc>
          <w:tcPr>
            <w:tcW w:w="1417" w:type="dxa"/>
            <w:hideMark/>
          </w:tcPr>
          <w:p w14:paraId="4DDCA11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SA EPA</w:t>
            </w:r>
          </w:p>
        </w:tc>
        <w:tc>
          <w:tcPr>
            <w:tcW w:w="852" w:type="dxa"/>
            <w:hideMark/>
          </w:tcPr>
          <w:p w14:paraId="241C455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General</w:t>
            </w:r>
          </w:p>
        </w:tc>
        <w:tc>
          <w:tcPr>
            <w:tcW w:w="1137" w:type="dxa"/>
            <w:hideMark/>
          </w:tcPr>
          <w:p w14:paraId="6B9C3872" w14:textId="04FF68C5"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General</w:t>
            </w:r>
          </w:p>
        </w:tc>
        <w:tc>
          <w:tcPr>
            <w:tcW w:w="2269" w:type="dxa"/>
            <w:hideMark/>
          </w:tcPr>
          <w:p w14:paraId="632E6F90"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Overall, the guides are written well and follow an “all hazards” approach.  It should be noted that there would be times when this guide will be used during incidents and accidents, and which have not triggered declaration of emergency requirements. There is also considerable content that applies for nuclear emergencies, which is not relevant to a number of jurisdictions and areas such as cross country/border actions that are not relevant to the Australian context. In some areas of the guides, it refers to the USA and it is unclear whether the US situation with respect to resources is similar to Australia’s. Other points to note in Australia, is that emergency responders are classed as members of public (1 </w:t>
            </w:r>
            <w:proofErr w:type="spellStart"/>
            <w:r w:rsidRPr="00687FBF">
              <w:rPr>
                <w:rFonts w:ascii="Calibri" w:eastAsia="Times New Roman" w:hAnsi="Calibri" w:cs="Calibri"/>
                <w:sz w:val="18"/>
                <w:lang w:eastAsia="en-AU"/>
              </w:rPr>
              <w:t>mSv</w:t>
            </w:r>
            <w:proofErr w:type="spellEnd"/>
            <w:r w:rsidRPr="00687FBF">
              <w:rPr>
                <w:rFonts w:ascii="Calibri" w:eastAsia="Times New Roman" w:hAnsi="Calibri" w:cs="Calibri"/>
                <w:sz w:val="18"/>
                <w:lang w:eastAsia="en-AU"/>
              </w:rPr>
              <w:t>) and this must be addressed if these guides are to be workable.</w:t>
            </w:r>
          </w:p>
        </w:tc>
        <w:tc>
          <w:tcPr>
            <w:tcW w:w="2406" w:type="dxa"/>
          </w:tcPr>
          <w:p w14:paraId="077AD4C9"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1836" w:type="dxa"/>
          </w:tcPr>
          <w:p w14:paraId="0E41E4F6"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Noted</w:t>
            </w:r>
          </w:p>
        </w:tc>
        <w:tc>
          <w:tcPr>
            <w:tcW w:w="4118" w:type="dxa"/>
          </w:tcPr>
          <w:p w14:paraId="10F95EDA"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Comment Only</w:t>
            </w:r>
          </w:p>
        </w:tc>
      </w:tr>
      <w:tr w:rsidR="000369FE" w:rsidRPr="00E64147" w14:paraId="19272F25"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725"/>
        </w:trPr>
        <w:tc>
          <w:tcPr>
            <w:tcW w:w="561" w:type="dxa"/>
            <w:hideMark/>
          </w:tcPr>
          <w:p w14:paraId="483F1B3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156</w:t>
            </w:r>
          </w:p>
        </w:tc>
        <w:tc>
          <w:tcPr>
            <w:tcW w:w="1417" w:type="dxa"/>
            <w:hideMark/>
          </w:tcPr>
          <w:p w14:paraId="3803E39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SA EPA</w:t>
            </w:r>
          </w:p>
        </w:tc>
        <w:tc>
          <w:tcPr>
            <w:tcW w:w="852" w:type="dxa"/>
            <w:hideMark/>
          </w:tcPr>
          <w:p w14:paraId="083F3D8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1,2,3</w:t>
            </w:r>
          </w:p>
        </w:tc>
        <w:tc>
          <w:tcPr>
            <w:tcW w:w="1137" w:type="dxa"/>
            <w:hideMark/>
          </w:tcPr>
          <w:p w14:paraId="7D28087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throughout</w:t>
            </w:r>
          </w:p>
        </w:tc>
        <w:tc>
          <w:tcPr>
            <w:tcW w:w="2269" w:type="dxa"/>
            <w:hideMark/>
          </w:tcPr>
          <w:p w14:paraId="03D954FD" w14:textId="72F71298"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Change “nuclear and radiological emergency” used throughout document to just “radiological emergency”</w:t>
            </w:r>
          </w:p>
        </w:tc>
        <w:tc>
          <w:tcPr>
            <w:tcW w:w="2406" w:type="dxa"/>
          </w:tcPr>
          <w:p w14:paraId="439E115A"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Radiation release or escape from control is the prime hazard. It does not matter if it is from a nuclear facility or any other facility.  The continual use of “nuclear and radiological facility” throughout the all guides just becomes cumbersome to the reader and does not add anything. If need a definition, then add to glossary</w:t>
            </w:r>
          </w:p>
        </w:tc>
        <w:tc>
          <w:tcPr>
            <w:tcW w:w="1836" w:type="dxa"/>
          </w:tcPr>
          <w:p w14:paraId="220C8051" w14:textId="4EC6A058"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Accepted with modifications</w:t>
            </w:r>
          </w:p>
        </w:tc>
        <w:tc>
          <w:tcPr>
            <w:tcW w:w="4118" w:type="dxa"/>
          </w:tcPr>
          <w:p w14:paraId="54A35600" w14:textId="17438504" w:rsidR="000369FE" w:rsidRPr="00687FBF" w:rsidRDefault="00280693" w:rsidP="002C6E3A">
            <w:pPr>
              <w:spacing w:beforeLines="60" w:before="144" w:afterLines="60" w:after="144"/>
              <w:rPr>
                <w:rFonts w:ascii="Calibri" w:hAnsi="Calibri" w:cs="Calibri"/>
                <w:sz w:val="18"/>
              </w:rPr>
            </w:pPr>
            <w:r w:rsidRPr="00687FBF">
              <w:rPr>
                <w:rFonts w:ascii="Calibri" w:hAnsi="Calibri" w:cs="Calibri"/>
                <w:sz w:val="18"/>
              </w:rPr>
              <w:t>See comment resolution 27, 115 and 116.</w:t>
            </w:r>
          </w:p>
        </w:tc>
      </w:tr>
      <w:tr w:rsidR="000369FE" w:rsidRPr="00E64147" w14:paraId="062B58B7" w14:textId="77777777" w:rsidTr="002C6E3A">
        <w:tblPrEx>
          <w:tblLook w:val="04A0" w:firstRow="1" w:lastRow="0" w:firstColumn="1" w:lastColumn="0" w:noHBand="0" w:noVBand="1"/>
        </w:tblPrEx>
        <w:trPr>
          <w:trHeight w:val="1440"/>
        </w:trPr>
        <w:tc>
          <w:tcPr>
            <w:tcW w:w="561" w:type="dxa"/>
            <w:hideMark/>
          </w:tcPr>
          <w:p w14:paraId="0F485C8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157</w:t>
            </w:r>
          </w:p>
        </w:tc>
        <w:tc>
          <w:tcPr>
            <w:tcW w:w="1417" w:type="dxa"/>
            <w:hideMark/>
          </w:tcPr>
          <w:p w14:paraId="6613A3A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SA EPA</w:t>
            </w:r>
          </w:p>
        </w:tc>
        <w:tc>
          <w:tcPr>
            <w:tcW w:w="852" w:type="dxa"/>
            <w:hideMark/>
          </w:tcPr>
          <w:p w14:paraId="1A7B19D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7F9BE9FB"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25</w:t>
            </w:r>
          </w:p>
        </w:tc>
        <w:tc>
          <w:tcPr>
            <w:tcW w:w="2269" w:type="dxa"/>
            <w:hideMark/>
          </w:tcPr>
          <w:p w14:paraId="1B6C32F4"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Remove the words “expected to be</w:t>
            </w:r>
            <w:proofErr w:type="gramStart"/>
            <w:r w:rsidRPr="00687FBF">
              <w:rPr>
                <w:rFonts w:ascii="Calibri" w:eastAsia="Times New Roman" w:hAnsi="Calibri" w:cs="Calibri"/>
                <w:sz w:val="18"/>
                <w:lang w:eastAsia="en-AU"/>
              </w:rPr>
              <w:t>..”</w:t>
            </w:r>
            <w:proofErr w:type="gramEnd"/>
            <w:r w:rsidRPr="00687FBF">
              <w:rPr>
                <w:rFonts w:ascii="Calibri" w:eastAsia="Times New Roman" w:hAnsi="Calibri" w:cs="Calibri"/>
                <w:sz w:val="18"/>
                <w:lang w:eastAsia="en-AU"/>
              </w:rPr>
              <w:t xml:space="preserve">   </w:t>
            </w:r>
            <w:proofErr w:type="gramStart"/>
            <w:r w:rsidRPr="00687FBF">
              <w:rPr>
                <w:rFonts w:ascii="Calibri" w:eastAsia="Times New Roman" w:hAnsi="Calibri" w:cs="Calibri"/>
                <w:sz w:val="18"/>
                <w:lang w:eastAsia="en-AU"/>
              </w:rPr>
              <w:t>so</w:t>
            </w:r>
            <w:proofErr w:type="gramEnd"/>
            <w:r w:rsidRPr="00687FBF">
              <w:rPr>
                <w:rFonts w:ascii="Calibri" w:eastAsia="Times New Roman" w:hAnsi="Calibri" w:cs="Calibri"/>
                <w:sz w:val="18"/>
                <w:lang w:eastAsia="en-AU"/>
              </w:rPr>
              <w:t xml:space="preserve"> that it reads “These 24 exposure situations are dealt with by other publications in the RPS..”</w:t>
            </w:r>
          </w:p>
        </w:tc>
        <w:tc>
          <w:tcPr>
            <w:tcW w:w="2406" w:type="dxa"/>
          </w:tcPr>
          <w:p w14:paraId="20EB7C5B"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Need to be more certain in the language that these matters “are” dealt with.</w:t>
            </w:r>
          </w:p>
        </w:tc>
        <w:tc>
          <w:tcPr>
            <w:tcW w:w="1836" w:type="dxa"/>
          </w:tcPr>
          <w:p w14:paraId="050E6E01"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Accepted</w:t>
            </w:r>
          </w:p>
        </w:tc>
        <w:tc>
          <w:tcPr>
            <w:tcW w:w="4118" w:type="dxa"/>
          </w:tcPr>
          <w:p w14:paraId="159EBFA8" w14:textId="77777777" w:rsidR="000369FE" w:rsidRPr="00687FBF" w:rsidRDefault="000369FE" w:rsidP="002C6E3A">
            <w:pPr>
              <w:spacing w:beforeLines="60" w:before="144" w:afterLines="60" w:after="144"/>
              <w:rPr>
                <w:rFonts w:ascii="Calibri" w:hAnsi="Calibri" w:cs="Calibri"/>
                <w:sz w:val="18"/>
              </w:rPr>
            </w:pPr>
          </w:p>
        </w:tc>
      </w:tr>
      <w:tr w:rsidR="000369FE" w:rsidRPr="00E64147" w14:paraId="47CAC89A"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685"/>
        </w:trPr>
        <w:tc>
          <w:tcPr>
            <w:tcW w:w="561" w:type="dxa"/>
            <w:hideMark/>
          </w:tcPr>
          <w:p w14:paraId="47F71F4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158</w:t>
            </w:r>
          </w:p>
        </w:tc>
        <w:tc>
          <w:tcPr>
            <w:tcW w:w="1417" w:type="dxa"/>
            <w:hideMark/>
          </w:tcPr>
          <w:p w14:paraId="6E78970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SA EPA</w:t>
            </w:r>
          </w:p>
        </w:tc>
        <w:tc>
          <w:tcPr>
            <w:tcW w:w="852" w:type="dxa"/>
            <w:hideMark/>
          </w:tcPr>
          <w:p w14:paraId="2345C686"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46DDCF55" w14:textId="556311E6"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523 and throughout</w:t>
            </w:r>
          </w:p>
        </w:tc>
        <w:tc>
          <w:tcPr>
            <w:tcW w:w="2269" w:type="dxa"/>
            <w:hideMark/>
          </w:tcPr>
          <w:p w14:paraId="4667C2C0"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Change “declaration of emergency” to “determination of radiological emergency” or words to that effect</w:t>
            </w:r>
          </w:p>
        </w:tc>
        <w:tc>
          <w:tcPr>
            <w:tcW w:w="2406" w:type="dxa"/>
          </w:tcPr>
          <w:p w14:paraId="15A7158C" w14:textId="0B913A7F"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The use of a “declaration of emergency” is made throughout the guides and I am not sure this is the appropriate language. The declaration of an emergency is done under the powers of the Emergency Management Act and takes into account a number of factors. It is quite possible that a radiological emergency may not trigger a “declaration of an emergency” under the powers of the EM Act even if reference levels, and </w:t>
            </w:r>
            <w:r w:rsidRPr="00687FBF">
              <w:rPr>
                <w:rFonts w:ascii="Calibri" w:eastAsia="Times New Roman" w:hAnsi="Calibri" w:cs="Calibri"/>
                <w:sz w:val="18"/>
                <w:lang w:eastAsia="en-AU"/>
              </w:rPr>
              <w:lastRenderedPageBreak/>
              <w:t>operational criteria are exceeded.</w:t>
            </w:r>
          </w:p>
        </w:tc>
        <w:tc>
          <w:tcPr>
            <w:tcW w:w="1836" w:type="dxa"/>
          </w:tcPr>
          <w:p w14:paraId="45F24E83" w14:textId="0419AFE9"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lastRenderedPageBreak/>
              <w:t>Not accepted</w:t>
            </w:r>
          </w:p>
        </w:tc>
        <w:tc>
          <w:tcPr>
            <w:tcW w:w="4118" w:type="dxa"/>
          </w:tcPr>
          <w:p w14:paraId="7BBAC955"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See Comment Resolution 32</w:t>
            </w:r>
          </w:p>
        </w:tc>
      </w:tr>
      <w:tr w:rsidR="000369FE" w:rsidRPr="00E64147" w14:paraId="136ED9E4" w14:textId="77777777" w:rsidTr="002C6E3A">
        <w:tblPrEx>
          <w:tblLook w:val="04A0" w:firstRow="1" w:lastRow="0" w:firstColumn="1" w:lastColumn="0" w:noHBand="0" w:noVBand="1"/>
        </w:tblPrEx>
        <w:trPr>
          <w:trHeight w:val="2265"/>
        </w:trPr>
        <w:tc>
          <w:tcPr>
            <w:tcW w:w="561" w:type="dxa"/>
            <w:hideMark/>
          </w:tcPr>
          <w:p w14:paraId="497E863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159</w:t>
            </w:r>
          </w:p>
        </w:tc>
        <w:tc>
          <w:tcPr>
            <w:tcW w:w="1417" w:type="dxa"/>
            <w:hideMark/>
          </w:tcPr>
          <w:p w14:paraId="15EF2C9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SA EPA</w:t>
            </w:r>
          </w:p>
        </w:tc>
        <w:tc>
          <w:tcPr>
            <w:tcW w:w="852" w:type="dxa"/>
            <w:hideMark/>
          </w:tcPr>
          <w:p w14:paraId="138E836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5D550659"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595</w:t>
            </w:r>
          </w:p>
        </w:tc>
        <w:tc>
          <w:tcPr>
            <w:tcW w:w="2269" w:type="dxa"/>
            <w:hideMark/>
          </w:tcPr>
          <w:p w14:paraId="21E17A0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Delete sentence</w:t>
            </w:r>
          </w:p>
        </w:tc>
        <w:tc>
          <w:tcPr>
            <w:tcW w:w="2406" w:type="dxa"/>
          </w:tcPr>
          <w:p w14:paraId="6213DF8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In reference to the text </w:t>
            </w:r>
            <w:proofErr w:type="gramStart"/>
            <w:r w:rsidRPr="00687FBF">
              <w:rPr>
                <w:rFonts w:ascii="Calibri" w:eastAsia="Times New Roman" w:hAnsi="Calibri" w:cs="Calibri"/>
                <w:sz w:val="18"/>
                <w:lang w:eastAsia="en-AU"/>
              </w:rPr>
              <w:t>“ 3.1.6</w:t>
            </w:r>
            <w:proofErr w:type="gramEnd"/>
            <w:r w:rsidRPr="00687FBF">
              <w:rPr>
                <w:rFonts w:ascii="Calibri" w:eastAsia="Times New Roman" w:hAnsi="Calibri" w:cs="Calibri"/>
                <w:sz w:val="18"/>
                <w:lang w:eastAsia="en-AU"/>
              </w:rPr>
              <w:t>. Arrangements should be in place for effectively governing the provision of prompt and adequate compensation of victims for damage due to a nuclear or radiological emergency”.</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Although I understand the intent of this clause, I am not sure that it can be mandated and I think not in the scope of this document. I am not sure who would be responsible for mandating this in SA.</w:t>
            </w:r>
          </w:p>
        </w:tc>
        <w:tc>
          <w:tcPr>
            <w:tcW w:w="1836" w:type="dxa"/>
          </w:tcPr>
          <w:p w14:paraId="2F73D8C0" w14:textId="4C0FA55B" w:rsidR="000369FE" w:rsidRPr="00687FBF" w:rsidRDefault="00FF10B5" w:rsidP="002C6E3A">
            <w:pPr>
              <w:spacing w:beforeLines="60" w:before="144" w:afterLines="60" w:after="144"/>
              <w:rPr>
                <w:rFonts w:ascii="Calibri" w:hAnsi="Calibri" w:cs="Calibri"/>
                <w:sz w:val="18"/>
              </w:rPr>
            </w:pPr>
            <w:r w:rsidRPr="00687FBF">
              <w:rPr>
                <w:rFonts w:ascii="Calibri" w:hAnsi="Calibri" w:cs="Calibri"/>
                <w:sz w:val="18"/>
              </w:rPr>
              <w:t>Not accepted</w:t>
            </w:r>
          </w:p>
        </w:tc>
        <w:tc>
          <w:tcPr>
            <w:tcW w:w="4118" w:type="dxa"/>
          </w:tcPr>
          <w:p w14:paraId="0A4EFDE4" w14:textId="57AC1F39"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 xml:space="preserve">This text has been adapted </w:t>
            </w:r>
            <w:r w:rsidR="00280693" w:rsidRPr="00687FBF">
              <w:rPr>
                <w:rFonts w:ascii="Calibri" w:hAnsi="Calibri" w:cs="Calibri"/>
                <w:sz w:val="18"/>
              </w:rPr>
              <w:t>from GSR Part 7 and was approved</w:t>
            </w:r>
            <w:r w:rsidRPr="00687FBF">
              <w:rPr>
                <w:rFonts w:ascii="Calibri" w:hAnsi="Calibri" w:cs="Calibri"/>
                <w:sz w:val="18"/>
              </w:rPr>
              <w:t xml:space="preserve"> by </w:t>
            </w:r>
            <w:r w:rsidR="00280693" w:rsidRPr="00687FBF">
              <w:rPr>
                <w:rFonts w:ascii="Calibri" w:hAnsi="Calibri" w:cs="Calibri"/>
                <w:sz w:val="18"/>
              </w:rPr>
              <w:t>the Radiation Health Committee</w:t>
            </w:r>
            <w:r w:rsidRPr="00687FBF">
              <w:rPr>
                <w:rFonts w:ascii="Calibri" w:hAnsi="Calibri" w:cs="Calibri"/>
                <w:sz w:val="18"/>
              </w:rPr>
              <w:t>.</w:t>
            </w:r>
          </w:p>
        </w:tc>
      </w:tr>
      <w:tr w:rsidR="000369FE" w:rsidRPr="00E64147" w14:paraId="175422AB"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200"/>
        </w:trPr>
        <w:tc>
          <w:tcPr>
            <w:tcW w:w="561" w:type="dxa"/>
            <w:hideMark/>
          </w:tcPr>
          <w:p w14:paraId="1EA9ACF0"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160</w:t>
            </w:r>
          </w:p>
        </w:tc>
        <w:tc>
          <w:tcPr>
            <w:tcW w:w="1417" w:type="dxa"/>
            <w:hideMark/>
          </w:tcPr>
          <w:p w14:paraId="6E5C33F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SA EPA</w:t>
            </w:r>
          </w:p>
        </w:tc>
        <w:tc>
          <w:tcPr>
            <w:tcW w:w="852" w:type="dxa"/>
            <w:hideMark/>
          </w:tcPr>
          <w:p w14:paraId="6243C26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5C860AE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1238</w:t>
            </w:r>
          </w:p>
        </w:tc>
        <w:tc>
          <w:tcPr>
            <w:tcW w:w="2269" w:type="dxa"/>
            <w:hideMark/>
          </w:tcPr>
          <w:p w14:paraId="1D5C9104"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Comment</w:t>
            </w:r>
          </w:p>
        </w:tc>
        <w:tc>
          <w:tcPr>
            <w:tcW w:w="2406" w:type="dxa"/>
          </w:tcPr>
          <w:p w14:paraId="0334052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From my experience, most clinicians have no idea about the published Australian Clinical Guidelines for Radiological Emergencies or of the procedures required during an emergency. More </w:t>
            </w:r>
            <w:r w:rsidRPr="00687FBF">
              <w:rPr>
                <w:rFonts w:ascii="Calibri" w:eastAsia="Times New Roman" w:hAnsi="Calibri" w:cs="Calibri"/>
                <w:sz w:val="18"/>
                <w:lang w:eastAsia="en-AU"/>
              </w:rPr>
              <w:lastRenderedPageBreak/>
              <w:t>guidance and work needs to happen in this area.</w:t>
            </w:r>
          </w:p>
        </w:tc>
        <w:tc>
          <w:tcPr>
            <w:tcW w:w="1836" w:type="dxa"/>
          </w:tcPr>
          <w:p w14:paraId="7DB71DBB"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lastRenderedPageBreak/>
              <w:t>Noted</w:t>
            </w:r>
          </w:p>
        </w:tc>
        <w:tc>
          <w:tcPr>
            <w:tcW w:w="4118" w:type="dxa"/>
          </w:tcPr>
          <w:p w14:paraId="74FC8A57" w14:textId="77777777" w:rsidR="000369FE" w:rsidRPr="00687FBF" w:rsidRDefault="000369FE" w:rsidP="002C6E3A">
            <w:pPr>
              <w:spacing w:beforeLines="60" w:before="144" w:afterLines="60" w:after="144"/>
              <w:rPr>
                <w:rFonts w:ascii="Calibri" w:hAnsi="Calibri" w:cs="Calibri"/>
                <w:sz w:val="18"/>
              </w:rPr>
            </w:pPr>
            <w:r w:rsidRPr="00687FBF">
              <w:rPr>
                <w:rFonts w:ascii="Calibri" w:hAnsi="Calibri" w:cs="Calibri"/>
                <w:sz w:val="18"/>
              </w:rPr>
              <w:t>Comment Only</w:t>
            </w:r>
          </w:p>
        </w:tc>
      </w:tr>
      <w:tr w:rsidR="000369FE" w:rsidRPr="00E64147" w14:paraId="2A635775" w14:textId="77777777" w:rsidTr="002C6E3A">
        <w:tblPrEx>
          <w:tblLook w:val="04A0" w:firstRow="1" w:lastRow="0" w:firstColumn="1" w:lastColumn="0" w:noHBand="0" w:noVBand="1"/>
        </w:tblPrEx>
        <w:trPr>
          <w:trHeight w:val="1860"/>
        </w:trPr>
        <w:tc>
          <w:tcPr>
            <w:tcW w:w="561" w:type="dxa"/>
            <w:hideMark/>
          </w:tcPr>
          <w:p w14:paraId="11C2C5B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161</w:t>
            </w:r>
          </w:p>
        </w:tc>
        <w:tc>
          <w:tcPr>
            <w:tcW w:w="1417" w:type="dxa"/>
            <w:hideMark/>
          </w:tcPr>
          <w:p w14:paraId="78282E9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SA EPA</w:t>
            </w:r>
          </w:p>
        </w:tc>
        <w:tc>
          <w:tcPr>
            <w:tcW w:w="852" w:type="dxa"/>
            <w:hideMark/>
          </w:tcPr>
          <w:p w14:paraId="3890FFC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w:t>
            </w:r>
          </w:p>
        </w:tc>
        <w:tc>
          <w:tcPr>
            <w:tcW w:w="1137" w:type="dxa"/>
            <w:hideMark/>
          </w:tcPr>
          <w:p w14:paraId="2DB208F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1290</w:t>
            </w:r>
          </w:p>
        </w:tc>
        <w:tc>
          <w:tcPr>
            <w:tcW w:w="2269" w:type="dxa"/>
            <w:hideMark/>
          </w:tcPr>
          <w:p w14:paraId="220E5C4C"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Change “Arrangements should be made so that in an nuclear or radiological emergency information is</w:t>
            </w:r>
            <w:proofErr w:type="gramStart"/>
            <w:r w:rsidRPr="00687FBF">
              <w:rPr>
                <w:rFonts w:ascii="Calibri" w:eastAsia="Times New Roman" w:hAnsi="Calibri" w:cs="Calibri"/>
                <w:sz w:val="18"/>
                <w:lang w:eastAsia="en-AU"/>
              </w:rPr>
              <w:t>..”</w:t>
            </w:r>
            <w:proofErr w:type="gramEnd"/>
            <w:r w:rsidRPr="00687FBF">
              <w:rPr>
                <w:rFonts w:ascii="Calibri" w:eastAsia="Times New Roman" w:hAnsi="Calibri" w:cs="Calibri"/>
                <w:sz w:val="18"/>
                <w:lang w:eastAsia="en-AU"/>
              </w:rPr>
              <w:t xml:space="preserve"> to “Arrangements should be made so that in a nuclear or radiological emergency information is..”</w:t>
            </w:r>
          </w:p>
        </w:tc>
        <w:tc>
          <w:tcPr>
            <w:tcW w:w="2406" w:type="dxa"/>
          </w:tcPr>
          <w:p w14:paraId="1BF7996B" w14:textId="2E6F5134" w:rsidR="000369FE" w:rsidRPr="00687FBF" w:rsidRDefault="00280693"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G</w:t>
            </w:r>
            <w:r w:rsidR="000369FE" w:rsidRPr="00687FBF">
              <w:rPr>
                <w:rFonts w:ascii="Calibri" w:eastAsia="Times New Roman" w:hAnsi="Calibri" w:cs="Calibri"/>
                <w:sz w:val="18"/>
                <w:lang w:eastAsia="en-AU"/>
              </w:rPr>
              <w:t>rammatical</w:t>
            </w:r>
          </w:p>
        </w:tc>
        <w:tc>
          <w:tcPr>
            <w:tcW w:w="1836" w:type="dxa"/>
          </w:tcPr>
          <w:p w14:paraId="04C54E21"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Accepted</w:t>
            </w:r>
          </w:p>
        </w:tc>
        <w:tc>
          <w:tcPr>
            <w:tcW w:w="4118" w:type="dxa"/>
          </w:tcPr>
          <w:p w14:paraId="2052FA91" w14:textId="77777777" w:rsidR="000369FE" w:rsidRPr="00687FBF" w:rsidRDefault="000369FE" w:rsidP="002C6E3A">
            <w:pPr>
              <w:spacing w:beforeLines="60" w:before="144" w:afterLines="60" w:after="144"/>
              <w:rPr>
                <w:rFonts w:ascii="Calibri" w:hAnsi="Calibri" w:cs="Calibri"/>
              </w:rPr>
            </w:pPr>
          </w:p>
        </w:tc>
      </w:tr>
      <w:tr w:rsidR="000369FE" w:rsidRPr="00E64147" w14:paraId="29E384ED"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200"/>
        </w:trPr>
        <w:tc>
          <w:tcPr>
            <w:tcW w:w="561" w:type="dxa"/>
            <w:hideMark/>
          </w:tcPr>
          <w:p w14:paraId="401EE19F"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162</w:t>
            </w:r>
          </w:p>
        </w:tc>
        <w:tc>
          <w:tcPr>
            <w:tcW w:w="1417" w:type="dxa"/>
            <w:hideMark/>
          </w:tcPr>
          <w:p w14:paraId="7BC25A7D"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SA EPA</w:t>
            </w:r>
          </w:p>
        </w:tc>
        <w:tc>
          <w:tcPr>
            <w:tcW w:w="852" w:type="dxa"/>
            <w:hideMark/>
          </w:tcPr>
          <w:p w14:paraId="6A16636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77F1035E"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88</w:t>
            </w:r>
          </w:p>
        </w:tc>
        <w:tc>
          <w:tcPr>
            <w:tcW w:w="2269" w:type="dxa"/>
            <w:hideMark/>
          </w:tcPr>
          <w:p w14:paraId="741B24E2"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comment</w:t>
            </w:r>
          </w:p>
        </w:tc>
        <w:tc>
          <w:tcPr>
            <w:tcW w:w="2406" w:type="dxa"/>
          </w:tcPr>
          <w:p w14:paraId="5062D621"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“This Guide also acknowledges that a graded approach…” There is no guidance on what a graded approach may look like, and therefore will likely be implemented in different ways across the jurisdictions. Guidance should be prepared on graded approaches.</w:t>
            </w:r>
          </w:p>
        </w:tc>
        <w:tc>
          <w:tcPr>
            <w:tcW w:w="1836" w:type="dxa"/>
          </w:tcPr>
          <w:p w14:paraId="7ABD9CB5"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Noted</w:t>
            </w:r>
          </w:p>
        </w:tc>
        <w:tc>
          <w:tcPr>
            <w:tcW w:w="4118" w:type="dxa"/>
          </w:tcPr>
          <w:p w14:paraId="5731BB19"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Comment only</w:t>
            </w:r>
          </w:p>
        </w:tc>
      </w:tr>
      <w:tr w:rsidR="000369FE" w:rsidRPr="00E64147" w14:paraId="7B58B742" w14:textId="77777777" w:rsidTr="002C6E3A">
        <w:tblPrEx>
          <w:tblLook w:val="04A0" w:firstRow="1" w:lastRow="0" w:firstColumn="1" w:lastColumn="0" w:noHBand="0" w:noVBand="1"/>
        </w:tblPrEx>
        <w:trPr>
          <w:trHeight w:val="3075"/>
        </w:trPr>
        <w:tc>
          <w:tcPr>
            <w:tcW w:w="561" w:type="dxa"/>
            <w:hideMark/>
          </w:tcPr>
          <w:p w14:paraId="186F3F95"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lastRenderedPageBreak/>
              <w:t>163</w:t>
            </w:r>
          </w:p>
        </w:tc>
        <w:tc>
          <w:tcPr>
            <w:tcW w:w="1417" w:type="dxa"/>
            <w:hideMark/>
          </w:tcPr>
          <w:p w14:paraId="7EE6F58A"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SA EPA</w:t>
            </w:r>
          </w:p>
        </w:tc>
        <w:tc>
          <w:tcPr>
            <w:tcW w:w="852" w:type="dxa"/>
            <w:hideMark/>
          </w:tcPr>
          <w:p w14:paraId="7D66BB1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6924939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101</w:t>
            </w:r>
          </w:p>
        </w:tc>
        <w:tc>
          <w:tcPr>
            <w:tcW w:w="2269" w:type="dxa"/>
            <w:hideMark/>
          </w:tcPr>
          <w:p w14:paraId="3B3FA64F" w14:textId="77777777" w:rsidR="000369FE" w:rsidRPr="00687FBF" w:rsidRDefault="000369FE" w:rsidP="002C6E3A">
            <w:pPr>
              <w:spacing w:beforeLines="60" w:before="144" w:afterLines="60" w:after="144"/>
              <w:rPr>
                <w:rFonts w:ascii="Calibri" w:eastAsia="Times New Roman" w:hAnsi="Calibri" w:cs="Calibri"/>
                <w:sz w:val="18"/>
                <w:lang w:eastAsia="en-AU"/>
              </w:rPr>
            </w:pPr>
          </w:p>
        </w:tc>
        <w:tc>
          <w:tcPr>
            <w:tcW w:w="2406" w:type="dxa"/>
          </w:tcPr>
          <w:p w14:paraId="13DBE7FD"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“This guide does not cover preparedness for, or response measures that are specific to, nuclear security events, such as response measures for the identification, collection, packaging and transport of evidence contaminated with radionuclides, nuclear forensics and related actions in the context of investigation into the circumstances surrounding a nuclear security event.” </w:t>
            </w:r>
            <w:r w:rsidRPr="00687FBF">
              <w:rPr>
                <w:rFonts w:ascii="Calibri" w:eastAsia="Times New Roman" w:hAnsi="Calibri" w:cs="Calibri"/>
                <w:sz w:val="18"/>
                <w:lang w:eastAsia="en-AU"/>
              </w:rPr>
              <w:br/>
            </w:r>
            <w:r w:rsidRPr="00687FBF">
              <w:rPr>
                <w:rFonts w:ascii="Calibri" w:eastAsia="Times New Roman" w:hAnsi="Calibri" w:cs="Calibri"/>
                <w:sz w:val="18"/>
                <w:lang w:eastAsia="en-AU"/>
              </w:rPr>
              <w:br/>
              <w:t>A separate guide for this should be prepared. This is one aspect of an emergency that rarely tested, and a pity to see it omitted from the scope of this document.</w:t>
            </w:r>
          </w:p>
        </w:tc>
        <w:tc>
          <w:tcPr>
            <w:tcW w:w="1836" w:type="dxa"/>
          </w:tcPr>
          <w:p w14:paraId="765F8CBB"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Noted</w:t>
            </w:r>
          </w:p>
        </w:tc>
        <w:tc>
          <w:tcPr>
            <w:tcW w:w="4118" w:type="dxa"/>
          </w:tcPr>
          <w:p w14:paraId="4AA6C823" w14:textId="5C3285A0"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Outside Scope</w:t>
            </w:r>
            <w:r w:rsidRPr="00687FBF">
              <w:rPr>
                <w:rFonts w:ascii="Calibri" w:eastAsia="Times New Roman" w:hAnsi="Calibri" w:cs="Calibri"/>
                <w:sz w:val="18"/>
                <w:lang w:eastAsia="en-AU"/>
              </w:rPr>
              <w:br/>
              <w:t>The IAEA Nuclear Security Series provides guidance on these aspects.</w:t>
            </w:r>
            <w:r w:rsidR="00280693" w:rsidRPr="00687FBF">
              <w:rPr>
                <w:rFonts w:ascii="Calibri" w:eastAsia="Times New Roman" w:hAnsi="Calibri" w:cs="Calibri"/>
                <w:sz w:val="18"/>
                <w:lang w:eastAsia="en-AU"/>
              </w:rPr>
              <w:br/>
              <w:t>A list of these publications can be found</w:t>
            </w:r>
            <w:r w:rsidRPr="00687FBF">
              <w:rPr>
                <w:rFonts w:ascii="Calibri" w:eastAsia="Times New Roman" w:hAnsi="Calibri" w:cs="Calibri"/>
                <w:sz w:val="18"/>
                <w:lang w:eastAsia="en-AU"/>
              </w:rPr>
              <w:t xml:space="preserve"> on the ARPANSA website https://www.arpansa.gov.au/regulation-and-licensing/regulation/international-best-practice/nuclear-security</w:t>
            </w:r>
          </w:p>
        </w:tc>
      </w:tr>
      <w:tr w:rsidR="000369FE" w:rsidRPr="00E64147" w14:paraId="2110B8A7" w14:textId="77777777" w:rsidTr="002C6E3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00"/>
        </w:trPr>
        <w:tc>
          <w:tcPr>
            <w:tcW w:w="561" w:type="dxa"/>
            <w:hideMark/>
          </w:tcPr>
          <w:p w14:paraId="157B694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164</w:t>
            </w:r>
          </w:p>
        </w:tc>
        <w:tc>
          <w:tcPr>
            <w:tcW w:w="1417" w:type="dxa"/>
            <w:hideMark/>
          </w:tcPr>
          <w:p w14:paraId="3A834813"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SA EPA</w:t>
            </w:r>
          </w:p>
        </w:tc>
        <w:tc>
          <w:tcPr>
            <w:tcW w:w="852" w:type="dxa"/>
            <w:hideMark/>
          </w:tcPr>
          <w:p w14:paraId="5970D4F8"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58A726A7"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445</w:t>
            </w:r>
          </w:p>
        </w:tc>
        <w:tc>
          <w:tcPr>
            <w:tcW w:w="2269" w:type="dxa"/>
            <w:hideMark/>
          </w:tcPr>
          <w:p w14:paraId="1F82B87A"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Figure 5.1 (first text box) should read, “Has an assessment of the non-radiological situation occurred? “</w:t>
            </w:r>
          </w:p>
        </w:tc>
        <w:tc>
          <w:tcPr>
            <w:tcW w:w="2406" w:type="dxa"/>
          </w:tcPr>
          <w:p w14:paraId="74EBD1B2"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Missing word?</w:t>
            </w:r>
          </w:p>
        </w:tc>
        <w:tc>
          <w:tcPr>
            <w:tcW w:w="1836" w:type="dxa"/>
          </w:tcPr>
          <w:p w14:paraId="15D88E68"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Accepted</w:t>
            </w:r>
          </w:p>
        </w:tc>
        <w:tc>
          <w:tcPr>
            <w:tcW w:w="4118" w:type="dxa"/>
          </w:tcPr>
          <w:p w14:paraId="2FDBDF42"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See Comment Resolution 57</w:t>
            </w:r>
          </w:p>
        </w:tc>
      </w:tr>
      <w:tr w:rsidR="000369FE" w:rsidRPr="00E64147" w14:paraId="6FED82E7" w14:textId="77777777" w:rsidTr="002C6E3A">
        <w:tblPrEx>
          <w:tblLook w:val="04A0" w:firstRow="1" w:lastRow="0" w:firstColumn="1" w:lastColumn="0" w:noHBand="0" w:noVBand="1"/>
        </w:tblPrEx>
        <w:trPr>
          <w:trHeight w:val="1500"/>
        </w:trPr>
        <w:tc>
          <w:tcPr>
            <w:tcW w:w="561" w:type="dxa"/>
            <w:hideMark/>
          </w:tcPr>
          <w:p w14:paraId="198891B2"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165</w:t>
            </w:r>
          </w:p>
        </w:tc>
        <w:tc>
          <w:tcPr>
            <w:tcW w:w="1417" w:type="dxa"/>
            <w:hideMark/>
          </w:tcPr>
          <w:p w14:paraId="274A27E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SA EPA</w:t>
            </w:r>
          </w:p>
        </w:tc>
        <w:tc>
          <w:tcPr>
            <w:tcW w:w="852" w:type="dxa"/>
            <w:hideMark/>
          </w:tcPr>
          <w:p w14:paraId="62E92194"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3</w:t>
            </w:r>
          </w:p>
        </w:tc>
        <w:tc>
          <w:tcPr>
            <w:tcW w:w="1137" w:type="dxa"/>
            <w:hideMark/>
          </w:tcPr>
          <w:p w14:paraId="24BA1D1C" w14:textId="77777777" w:rsidR="000369FE" w:rsidRPr="00687FBF" w:rsidRDefault="000369FE" w:rsidP="002C6E3A">
            <w:pPr>
              <w:spacing w:beforeLines="60" w:before="144" w:afterLines="60" w:after="144"/>
              <w:rPr>
                <w:rFonts w:ascii="Calibri" w:eastAsia="Times New Roman" w:hAnsi="Calibri" w:cs="Calibri"/>
                <w:sz w:val="18"/>
                <w:szCs w:val="18"/>
                <w:lang w:eastAsia="en-AU"/>
              </w:rPr>
            </w:pPr>
            <w:r w:rsidRPr="00687FBF">
              <w:rPr>
                <w:rFonts w:ascii="Calibri" w:eastAsia="Times New Roman" w:hAnsi="Calibri" w:cs="Calibri"/>
                <w:sz w:val="18"/>
                <w:szCs w:val="18"/>
                <w:lang w:eastAsia="en-AU"/>
              </w:rPr>
              <w:t>814</w:t>
            </w:r>
          </w:p>
        </w:tc>
        <w:tc>
          <w:tcPr>
            <w:tcW w:w="2269" w:type="dxa"/>
            <w:hideMark/>
          </w:tcPr>
          <w:p w14:paraId="12FB75B2"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Comment</w:t>
            </w:r>
          </w:p>
        </w:tc>
        <w:tc>
          <w:tcPr>
            <w:tcW w:w="2406" w:type="dxa"/>
          </w:tcPr>
          <w:p w14:paraId="53DEDBD2"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 xml:space="preserve">Response time Objectives published referred to US timeframes. I am not sure that these response times are attainable in Australia, especially dependent on where any incident happens. Possibly some consultation </w:t>
            </w:r>
            <w:r w:rsidRPr="00687FBF">
              <w:rPr>
                <w:rFonts w:ascii="Calibri" w:eastAsia="Times New Roman" w:hAnsi="Calibri" w:cs="Calibri"/>
                <w:sz w:val="18"/>
                <w:lang w:eastAsia="en-AU"/>
              </w:rPr>
              <w:lastRenderedPageBreak/>
              <w:t>with emergency services, and radiation subject matter experts, should be undertaken to ensure this table is achievable in the Australian context.</w:t>
            </w:r>
          </w:p>
        </w:tc>
        <w:tc>
          <w:tcPr>
            <w:tcW w:w="1836" w:type="dxa"/>
          </w:tcPr>
          <w:p w14:paraId="27A3DCEF"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lastRenderedPageBreak/>
              <w:t>Noted</w:t>
            </w:r>
          </w:p>
        </w:tc>
        <w:tc>
          <w:tcPr>
            <w:tcW w:w="4118" w:type="dxa"/>
          </w:tcPr>
          <w:p w14:paraId="545F87E7" w14:textId="77777777" w:rsidR="000369FE" w:rsidRPr="00687FBF" w:rsidRDefault="000369FE" w:rsidP="002C6E3A">
            <w:pPr>
              <w:spacing w:beforeLines="60" w:before="144" w:afterLines="60" w:after="144"/>
              <w:rPr>
                <w:rFonts w:ascii="Calibri" w:eastAsia="Times New Roman" w:hAnsi="Calibri" w:cs="Calibri"/>
                <w:sz w:val="18"/>
                <w:lang w:eastAsia="en-AU"/>
              </w:rPr>
            </w:pPr>
            <w:r w:rsidRPr="00687FBF">
              <w:rPr>
                <w:rFonts w:ascii="Calibri" w:eastAsia="Times New Roman" w:hAnsi="Calibri" w:cs="Calibri"/>
                <w:sz w:val="18"/>
                <w:lang w:eastAsia="en-AU"/>
              </w:rPr>
              <w:t>See Comment Resolution 34</w:t>
            </w:r>
          </w:p>
        </w:tc>
      </w:tr>
    </w:tbl>
    <w:p w14:paraId="05C3DDE5" w14:textId="77777777" w:rsidR="005E6663" w:rsidRDefault="005E6663" w:rsidP="005E6663"/>
    <w:sectPr w:rsidR="005E6663" w:rsidSect="00DA3A53">
      <w:headerReference w:type="first" r:id="rId14"/>
      <w:footerReference w:type="first" r:id="rId15"/>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C4F88" w14:textId="77777777" w:rsidR="00342B93" w:rsidRDefault="00342B93" w:rsidP="00037687">
      <w:r>
        <w:separator/>
      </w:r>
    </w:p>
  </w:endnote>
  <w:endnote w:type="continuationSeparator" w:id="0">
    <w:p w14:paraId="2E8263BB" w14:textId="77777777" w:rsidR="00342B93" w:rsidRDefault="00342B93"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ource Sans Pro">
    <w:altName w:val="Corbel"/>
    <w:panose1 w:val="020B0503030403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F23C0" w14:textId="4D6529D5" w:rsidR="00342B93" w:rsidRPr="00C0764F" w:rsidRDefault="00342B93" w:rsidP="00460079">
    <w:pPr>
      <w:pStyle w:val="Title"/>
      <w:tabs>
        <w:tab w:val="right" w:pos="14572"/>
      </w:tabs>
      <w:spacing w:before="120"/>
      <w:jc w:val="left"/>
      <w:rPr>
        <w:sz w:val="16"/>
      </w:rPr>
    </w:pPr>
    <w:r w:rsidRPr="00C0764F">
      <w:rPr>
        <w:b w:val="0"/>
        <w:noProof/>
        <w:color w:val="444444"/>
        <w:sz w:val="18"/>
        <w:szCs w:val="20"/>
        <w:lang w:eastAsia="en-AU"/>
      </w:rPr>
      <w:drawing>
        <wp:anchor distT="0" distB="0" distL="114300" distR="114300" simplePos="0" relativeHeight="251659264" behindDoc="0" locked="0" layoutInCell="1" allowOverlap="1" wp14:anchorId="66DC452F" wp14:editId="2B571AEE">
          <wp:simplePos x="0" y="0"/>
          <wp:positionH relativeFrom="column">
            <wp:posOffset>-3810</wp:posOffset>
          </wp:positionH>
          <wp:positionV relativeFrom="paragraph">
            <wp:posOffset>27485</wp:posOffset>
          </wp:positionV>
          <wp:extent cx="9252000" cy="53975"/>
          <wp:effectExtent l="0" t="0" r="635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Pr>
        <w:b w:val="0"/>
        <w:noProof/>
        <w:color w:val="444444"/>
        <w:sz w:val="18"/>
        <w:szCs w:val="20"/>
        <w:lang w:eastAsia="en-AU"/>
      </w:rPr>
      <w:t>Summary of submissions and responses</w:t>
    </w:r>
    <w:r w:rsidRPr="00C0764F">
      <w:rPr>
        <w:b w:val="0"/>
        <w:color w:val="444444"/>
        <w:sz w:val="18"/>
        <w:szCs w:val="20"/>
      </w:rPr>
      <w:t xml:space="preserve"> </w:t>
    </w:r>
    <w:r>
      <w:rPr>
        <w:b w:val="0"/>
        <w:color w:val="444444"/>
        <w:sz w:val="18"/>
        <w:szCs w:val="20"/>
      </w:rPr>
      <w:t xml:space="preserve">- </w:t>
    </w:r>
    <w:r w:rsidRPr="00460079">
      <w:rPr>
        <w:b w:val="0"/>
        <w:i/>
        <w:color w:val="444444"/>
        <w:sz w:val="18"/>
        <w:szCs w:val="20"/>
      </w:rPr>
      <w:t xml:space="preserve">Guide for </w:t>
    </w:r>
    <w:r>
      <w:rPr>
        <w:b w:val="0"/>
        <w:i/>
        <w:color w:val="444444"/>
        <w:sz w:val="18"/>
        <w:szCs w:val="20"/>
      </w:rPr>
      <w:t>Radiation Protection in Emergency</w:t>
    </w:r>
    <w:r w:rsidRPr="00460079">
      <w:rPr>
        <w:b w:val="0"/>
        <w:i/>
        <w:color w:val="444444"/>
        <w:sz w:val="18"/>
        <w:szCs w:val="20"/>
      </w:rPr>
      <w:t xml:space="preserve"> Exposure Situations (RPS G-</w:t>
    </w:r>
    <w:r>
      <w:rPr>
        <w:b w:val="0"/>
        <w:i/>
        <w:color w:val="444444"/>
        <w:sz w:val="18"/>
        <w:szCs w:val="20"/>
      </w:rPr>
      <w:t>3</w:t>
    </w:r>
    <w:r w:rsidRPr="00460079">
      <w:rPr>
        <w:b w:val="0"/>
        <w:i/>
        <w:color w:val="444444"/>
        <w:sz w:val="18"/>
        <w:szCs w:val="20"/>
      </w:rPr>
      <w:t>)</w:t>
    </w:r>
    <w:r w:rsidRPr="00C0764F">
      <w:rPr>
        <w:b w:val="0"/>
        <w:color w:val="444444"/>
        <w:sz w:val="18"/>
        <w:szCs w:val="20"/>
      </w:rPr>
      <w:tab/>
    </w:r>
    <w:r w:rsidRPr="00C0764F">
      <w:rPr>
        <w:b w:val="0"/>
        <w:color w:val="444444"/>
        <w:sz w:val="18"/>
        <w:szCs w:val="20"/>
      </w:rPr>
      <w:fldChar w:fldCharType="begin"/>
    </w:r>
    <w:r w:rsidRPr="00C0764F">
      <w:rPr>
        <w:b w:val="0"/>
        <w:color w:val="444444"/>
        <w:sz w:val="18"/>
        <w:szCs w:val="20"/>
      </w:rPr>
      <w:instrText xml:space="preserve"> PAGE  \* Arabic  \* MERGEFORMAT </w:instrText>
    </w:r>
    <w:r w:rsidRPr="00C0764F">
      <w:rPr>
        <w:b w:val="0"/>
        <w:color w:val="444444"/>
        <w:sz w:val="18"/>
        <w:szCs w:val="20"/>
      </w:rPr>
      <w:fldChar w:fldCharType="separate"/>
    </w:r>
    <w:r w:rsidR="00587F79">
      <w:rPr>
        <w:b w:val="0"/>
        <w:noProof/>
        <w:color w:val="444444"/>
        <w:sz w:val="18"/>
        <w:szCs w:val="20"/>
      </w:rPr>
      <w:t>18</w:t>
    </w:r>
    <w:r w:rsidRPr="00C0764F">
      <w:rPr>
        <w:b w:val="0"/>
        <w:color w:val="444444"/>
        <w:sz w:val="18"/>
        <w:szCs w:val="20"/>
      </w:rPr>
      <w:fldChar w:fldCharType="end"/>
    </w:r>
    <w:r w:rsidRPr="00C0764F">
      <w:rPr>
        <w:b w:val="0"/>
        <w:color w:val="444444"/>
        <w:sz w:val="18"/>
        <w:szCs w:val="20"/>
      </w:rPr>
      <w:t xml:space="preserve"> of </w:t>
    </w:r>
    <w:r w:rsidRPr="00C0764F">
      <w:rPr>
        <w:b w:val="0"/>
        <w:color w:val="444444"/>
        <w:sz w:val="18"/>
        <w:szCs w:val="20"/>
      </w:rPr>
      <w:fldChar w:fldCharType="begin"/>
    </w:r>
    <w:r w:rsidRPr="00C0764F">
      <w:rPr>
        <w:b w:val="0"/>
        <w:color w:val="444444"/>
        <w:sz w:val="18"/>
        <w:szCs w:val="20"/>
      </w:rPr>
      <w:instrText xml:space="preserve"> NUMPAGES  \* Arabic  \* MERGEFORMAT </w:instrText>
    </w:r>
    <w:r w:rsidRPr="00C0764F">
      <w:rPr>
        <w:b w:val="0"/>
        <w:color w:val="444444"/>
        <w:sz w:val="18"/>
        <w:szCs w:val="20"/>
      </w:rPr>
      <w:fldChar w:fldCharType="separate"/>
    </w:r>
    <w:r w:rsidR="00587F79">
      <w:rPr>
        <w:b w:val="0"/>
        <w:noProof/>
        <w:color w:val="444444"/>
        <w:sz w:val="18"/>
        <w:szCs w:val="20"/>
      </w:rPr>
      <w:t>51</w:t>
    </w:r>
    <w:r w:rsidRPr="00C0764F">
      <w:rPr>
        <w:b w:val="0"/>
        <w:color w:val="444444"/>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97DA" w14:textId="7029E1A4" w:rsidR="00342B93" w:rsidRPr="00C51DF1" w:rsidRDefault="00342B93" w:rsidP="00C51DF1">
    <w:pPr>
      <w:pStyle w:val="Footer"/>
      <w:tabs>
        <w:tab w:val="clear" w:pos="4513"/>
        <w:tab w:val="clear" w:pos="9026"/>
        <w:tab w:val="center" w:pos="4820"/>
        <w:tab w:val="right" w:pos="9639"/>
      </w:tabs>
      <w:spacing w:before="120"/>
      <w:rPr>
        <w:sz w:val="18"/>
        <w:szCs w:val="18"/>
      </w:rPr>
    </w:pPr>
    <w:r w:rsidRPr="00FF6AB9">
      <w:rPr>
        <w:noProof/>
        <w:sz w:val="18"/>
        <w:lang w:eastAsia="en-AU"/>
      </w:rPr>
      <w:drawing>
        <wp:anchor distT="0" distB="0" distL="114300" distR="114300" simplePos="0" relativeHeight="251663360" behindDoc="0" locked="0" layoutInCell="1" allowOverlap="1" wp14:anchorId="1A0770F2" wp14:editId="2A84A3F2">
          <wp:simplePos x="0" y="0"/>
          <wp:positionH relativeFrom="column">
            <wp:posOffset>0</wp:posOffset>
          </wp:positionH>
          <wp:positionV relativeFrom="paragraph">
            <wp:posOffset>175895</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20"/>
        <w:lang w:eastAsia="en-AU"/>
      </w:rPr>
      <w:t>Summary of submissions and responses</w:t>
    </w:r>
    <w:r w:rsidRPr="00C0764F">
      <w:rPr>
        <w:sz w:val="18"/>
        <w:szCs w:val="20"/>
      </w:rPr>
      <w:t xml:space="preserve"> </w:t>
    </w:r>
    <w:r>
      <w:rPr>
        <w:sz w:val="18"/>
        <w:szCs w:val="20"/>
      </w:rPr>
      <w:t xml:space="preserve">- </w:t>
    </w:r>
    <w:r w:rsidRPr="00460079">
      <w:rPr>
        <w:i/>
        <w:sz w:val="18"/>
        <w:szCs w:val="20"/>
      </w:rPr>
      <w:t xml:space="preserve">Guide for </w:t>
    </w:r>
    <w:r>
      <w:rPr>
        <w:i/>
        <w:sz w:val="18"/>
        <w:szCs w:val="20"/>
      </w:rPr>
      <w:t>Radiation Protection in Emergency</w:t>
    </w:r>
    <w:r w:rsidRPr="00460079">
      <w:rPr>
        <w:i/>
        <w:sz w:val="18"/>
        <w:szCs w:val="20"/>
      </w:rPr>
      <w:t xml:space="preserve"> Exposure Situations (RPS G-</w:t>
    </w:r>
    <w:r>
      <w:rPr>
        <w:i/>
        <w:sz w:val="18"/>
        <w:szCs w:val="20"/>
      </w:rPr>
      <w:t>3</w:t>
    </w:r>
    <w:r w:rsidRPr="00460079">
      <w:rPr>
        <w:i/>
        <w:sz w:val="18"/>
        <w:szCs w:val="20"/>
      </w:rPr>
      <w:t>)</w:t>
    </w:r>
    <w:r w:rsidRPr="00203CCE">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sidR="00587F79">
      <w:rPr>
        <w:noProof/>
        <w:sz w:val="18"/>
        <w:szCs w:val="18"/>
      </w:rPr>
      <w:t>1</w:t>
    </w:r>
    <w:r w:rsidRPr="00203CCE">
      <w:rPr>
        <w:sz w:val="18"/>
        <w:szCs w:val="18"/>
      </w:rPr>
      <w:fldChar w:fldCharType="end"/>
    </w:r>
    <w:r w:rsidRPr="00203CCE">
      <w:rPr>
        <w:sz w:val="18"/>
        <w:szCs w:val="18"/>
      </w:rPr>
      <w:t xml:space="preserve"> of </w:t>
    </w:r>
    <w:r w:rsidRPr="00203CCE">
      <w:rPr>
        <w:sz w:val="18"/>
        <w:szCs w:val="18"/>
      </w:rPr>
      <w:fldChar w:fldCharType="begin"/>
    </w:r>
    <w:r w:rsidRPr="00203CCE">
      <w:rPr>
        <w:sz w:val="18"/>
        <w:szCs w:val="18"/>
      </w:rPr>
      <w:instrText xml:space="preserve"> NUMPAGES  \* Arabic  \* MERGEFORMAT </w:instrText>
    </w:r>
    <w:r w:rsidRPr="00203CCE">
      <w:rPr>
        <w:sz w:val="18"/>
        <w:szCs w:val="18"/>
      </w:rPr>
      <w:fldChar w:fldCharType="separate"/>
    </w:r>
    <w:r w:rsidR="00587F79">
      <w:rPr>
        <w:noProof/>
        <w:sz w:val="18"/>
        <w:szCs w:val="18"/>
      </w:rPr>
      <w:t>51</w:t>
    </w:r>
    <w:r w:rsidRPr="00203CC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5DA2B" w14:textId="47A778BA" w:rsidR="00342B93" w:rsidRPr="002356D6" w:rsidRDefault="00342B93" w:rsidP="006D6AB6">
    <w:pPr>
      <w:pStyle w:val="Title"/>
      <w:tabs>
        <w:tab w:val="right" w:pos="14572"/>
      </w:tabs>
      <w:spacing w:before="120"/>
      <w:jc w:val="left"/>
      <w:rPr>
        <w:sz w:val="16"/>
      </w:rPr>
    </w:pPr>
    <w:r w:rsidRPr="00C0764F">
      <w:rPr>
        <w:b w:val="0"/>
        <w:noProof/>
        <w:color w:val="444444"/>
        <w:sz w:val="18"/>
        <w:szCs w:val="20"/>
        <w:lang w:eastAsia="en-AU"/>
      </w:rPr>
      <w:drawing>
        <wp:anchor distT="0" distB="0" distL="114300" distR="114300" simplePos="0" relativeHeight="251665408" behindDoc="0" locked="0" layoutInCell="1" allowOverlap="1" wp14:anchorId="377B0541" wp14:editId="0585726C">
          <wp:simplePos x="0" y="0"/>
          <wp:positionH relativeFrom="column">
            <wp:posOffset>-3810</wp:posOffset>
          </wp:positionH>
          <wp:positionV relativeFrom="paragraph">
            <wp:posOffset>27485</wp:posOffset>
          </wp:positionV>
          <wp:extent cx="9252000" cy="53975"/>
          <wp:effectExtent l="0" t="0" r="635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Pr>
        <w:b w:val="0"/>
        <w:noProof/>
        <w:color w:val="444444"/>
        <w:sz w:val="18"/>
        <w:szCs w:val="20"/>
        <w:lang w:eastAsia="en-AU"/>
      </w:rPr>
      <w:t>Summary of submissions and responses</w:t>
    </w:r>
    <w:r w:rsidRPr="00C0764F">
      <w:rPr>
        <w:b w:val="0"/>
        <w:color w:val="444444"/>
        <w:sz w:val="18"/>
        <w:szCs w:val="20"/>
      </w:rPr>
      <w:t xml:space="preserve"> </w:t>
    </w:r>
    <w:r>
      <w:rPr>
        <w:b w:val="0"/>
        <w:color w:val="444444"/>
        <w:sz w:val="18"/>
        <w:szCs w:val="20"/>
      </w:rPr>
      <w:t xml:space="preserve">- </w:t>
    </w:r>
    <w:r w:rsidRPr="00460079">
      <w:rPr>
        <w:b w:val="0"/>
        <w:i/>
        <w:color w:val="444444"/>
        <w:sz w:val="18"/>
        <w:szCs w:val="20"/>
      </w:rPr>
      <w:t xml:space="preserve">Guide for </w:t>
    </w:r>
    <w:r>
      <w:rPr>
        <w:b w:val="0"/>
        <w:i/>
        <w:color w:val="444444"/>
        <w:sz w:val="18"/>
        <w:szCs w:val="20"/>
      </w:rPr>
      <w:t>Radiation Protection in Emergency</w:t>
    </w:r>
    <w:r w:rsidRPr="00460079">
      <w:rPr>
        <w:b w:val="0"/>
        <w:i/>
        <w:color w:val="444444"/>
        <w:sz w:val="18"/>
        <w:szCs w:val="20"/>
      </w:rPr>
      <w:t xml:space="preserve"> Exposure Situations (RPS G-</w:t>
    </w:r>
    <w:r>
      <w:rPr>
        <w:b w:val="0"/>
        <w:i/>
        <w:color w:val="444444"/>
        <w:sz w:val="18"/>
        <w:szCs w:val="20"/>
      </w:rPr>
      <w:t>3</w:t>
    </w:r>
    <w:r w:rsidRPr="00460079">
      <w:rPr>
        <w:b w:val="0"/>
        <w:i/>
        <w:color w:val="444444"/>
        <w:sz w:val="18"/>
        <w:szCs w:val="20"/>
      </w:rPr>
      <w:t>)</w:t>
    </w:r>
    <w:r w:rsidRPr="00C0764F">
      <w:rPr>
        <w:b w:val="0"/>
        <w:color w:val="444444"/>
        <w:sz w:val="18"/>
        <w:szCs w:val="20"/>
      </w:rPr>
      <w:tab/>
    </w:r>
    <w:r w:rsidRPr="00C0764F">
      <w:rPr>
        <w:b w:val="0"/>
        <w:color w:val="444444"/>
        <w:sz w:val="18"/>
        <w:szCs w:val="20"/>
      </w:rPr>
      <w:fldChar w:fldCharType="begin"/>
    </w:r>
    <w:r w:rsidRPr="00C0764F">
      <w:rPr>
        <w:b w:val="0"/>
        <w:color w:val="444444"/>
        <w:sz w:val="18"/>
        <w:szCs w:val="20"/>
      </w:rPr>
      <w:instrText xml:space="preserve"> PAGE  \* Arabic  \* MERGEFORMAT </w:instrText>
    </w:r>
    <w:r w:rsidRPr="00C0764F">
      <w:rPr>
        <w:b w:val="0"/>
        <w:color w:val="444444"/>
        <w:sz w:val="18"/>
        <w:szCs w:val="20"/>
      </w:rPr>
      <w:fldChar w:fldCharType="separate"/>
    </w:r>
    <w:r w:rsidR="00587F79">
      <w:rPr>
        <w:b w:val="0"/>
        <w:noProof/>
        <w:color w:val="444444"/>
        <w:sz w:val="18"/>
        <w:szCs w:val="20"/>
      </w:rPr>
      <w:t>2</w:t>
    </w:r>
    <w:r w:rsidRPr="00C0764F">
      <w:rPr>
        <w:b w:val="0"/>
        <w:color w:val="444444"/>
        <w:sz w:val="18"/>
        <w:szCs w:val="20"/>
      </w:rPr>
      <w:fldChar w:fldCharType="end"/>
    </w:r>
    <w:r w:rsidRPr="00C0764F">
      <w:rPr>
        <w:b w:val="0"/>
        <w:color w:val="444444"/>
        <w:sz w:val="18"/>
        <w:szCs w:val="20"/>
      </w:rPr>
      <w:t xml:space="preserve"> of </w:t>
    </w:r>
    <w:r w:rsidRPr="00C0764F">
      <w:rPr>
        <w:b w:val="0"/>
        <w:color w:val="444444"/>
        <w:sz w:val="18"/>
        <w:szCs w:val="20"/>
      </w:rPr>
      <w:fldChar w:fldCharType="begin"/>
    </w:r>
    <w:r w:rsidRPr="00C0764F">
      <w:rPr>
        <w:b w:val="0"/>
        <w:color w:val="444444"/>
        <w:sz w:val="18"/>
        <w:szCs w:val="20"/>
      </w:rPr>
      <w:instrText xml:space="preserve"> NUMPAGES  \* Arabic  \* MERGEFORMAT </w:instrText>
    </w:r>
    <w:r w:rsidRPr="00C0764F">
      <w:rPr>
        <w:b w:val="0"/>
        <w:color w:val="444444"/>
        <w:sz w:val="18"/>
        <w:szCs w:val="20"/>
      </w:rPr>
      <w:fldChar w:fldCharType="separate"/>
    </w:r>
    <w:r w:rsidR="00587F79">
      <w:rPr>
        <w:b w:val="0"/>
        <w:noProof/>
        <w:color w:val="444444"/>
        <w:sz w:val="18"/>
        <w:szCs w:val="20"/>
      </w:rPr>
      <w:t>51</w:t>
    </w:r>
    <w:r w:rsidRPr="00C0764F">
      <w:rPr>
        <w:b w:val="0"/>
        <w:color w:val="444444"/>
        <w:sz w:val="18"/>
        <w:szCs w:val="20"/>
      </w:rPr>
      <w:fldChar w:fldCharType="end"/>
    </w:r>
    <w:r w:rsidRPr="002356D6">
      <w:rPr>
        <w:noProof/>
        <w:sz w:val="16"/>
        <w:lang w:eastAsia="en-AU"/>
      </w:rPr>
      <w:drawing>
        <wp:anchor distT="0" distB="0" distL="114300" distR="114300" simplePos="0" relativeHeight="251661312" behindDoc="0" locked="1" layoutInCell="1" allowOverlap="0" wp14:anchorId="59AF83C1" wp14:editId="3D5E5EAD">
          <wp:simplePos x="0" y="0"/>
          <wp:positionH relativeFrom="margin">
            <wp:posOffset>-50165</wp:posOffset>
          </wp:positionH>
          <wp:positionV relativeFrom="page">
            <wp:posOffset>9727565</wp:posOffset>
          </wp:positionV>
          <wp:extent cx="9251950" cy="5397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9251950" cy="539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24C48" w14:textId="77777777" w:rsidR="00342B93" w:rsidRDefault="00342B93" w:rsidP="00037687">
      <w:r>
        <w:separator/>
      </w:r>
    </w:p>
  </w:footnote>
  <w:footnote w:type="continuationSeparator" w:id="0">
    <w:p w14:paraId="33325124" w14:textId="77777777" w:rsidR="00342B93" w:rsidRDefault="00342B93"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D139F" w14:textId="77777777" w:rsidR="00342B93" w:rsidRDefault="00342B93">
    <w:pPr>
      <w:pStyle w:val="Header"/>
    </w:pPr>
  </w:p>
  <w:p w14:paraId="2250501A" w14:textId="6E30B65D" w:rsidR="00342B93" w:rsidRDefault="00342B93">
    <w:pPr>
      <w:pStyle w:val="Header"/>
    </w:pPr>
    <w:r>
      <w:rPr>
        <w:noProof/>
        <w:lang w:eastAsia="en-AU"/>
      </w:rPr>
      <w:drawing>
        <wp:inline distT="0" distB="0" distL="0" distR="0" wp14:anchorId="5DD0F58F" wp14:editId="5D3B9328">
          <wp:extent cx="6120130" cy="731520"/>
          <wp:effectExtent l="0" t="0" r="0" b="0"/>
          <wp:docPr id="3" name="Picture 3"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6418" w14:textId="77777777" w:rsidR="00342B93" w:rsidRDefault="00342B93">
    <w:pPr>
      <w:pStyle w:val="Header"/>
    </w:pPr>
  </w:p>
  <w:p w14:paraId="14E3CC41" w14:textId="323601B8" w:rsidR="00342B93" w:rsidRDefault="00342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75D"/>
    <w:multiLevelType w:val="multilevel"/>
    <w:tmpl w:val="02C49AFB"/>
    <w:lvl w:ilvl="0">
      <w:start w:val="1"/>
      <w:numFmt w:val="bullet"/>
      <w:pStyle w:val="RPSdotpointbodytext"/>
      <w:lvlText w:val=""/>
      <w:lvlJc w:val="left"/>
      <w:pPr>
        <w:ind w:left="360" w:hanging="360"/>
      </w:pPr>
      <w:rPr>
        <w:rFonts w:ascii="Symbol" w:eastAsia="Symbol" w:hAnsi="Symbol"/>
        <w:sz w:val="18"/>
      </w:rPr>
    </w:lvl>
    <w:lvl w:ilvl="1">
      <w:start w:val="1"/>
      <w:numFmt w:val="bullet"/>
      <w:lvlText w:val="o"/>
      <w:lvlJc w:val="left"/>
      <w:pPr>
        <w:ind w:left="873" w:hanging="360"/>
      </w:pPr>
      <w:rPr>
        <w:rFonts w:ascii="Courier New" w:eastAsia="Courier New" w:hAnsi="Courier New"/>
      </w:rPr>
    </w:lvl>
    <w:lvl w:ilvl="2">
      <w:start w:val="1"/>
      <w:numFmt w:val="bullet"/>
      <w:lvlText w:val=""/>
      <w:lvlJc w:val="left"/>
      <w:pPr>
        <w:ind w:left="1593" w:hanging="360"/>
      </w:pPr>
      <w:rPr>
        <w:rFonts w:ascii="Wingdings" w:eastAsia="Wingdings" w:hAnsi="Wingdings"/>
      </w:rPr>
    </w:lvl>
    <w:lvl w:ilvl="3">
      <w:start w:val="1"/>
      <w:numFmt w:val="bullet"/>
      <w:lvlText w:val=""/>
      <w:lvlJc w:val="left"/>
      <w:pPr>
        <w:ind w:left="2313" w:hanging="360"/>
      </w:pPr>
      <w:rPr>
        <w:rFonts w:ascii="Symbol" w:eastAsia="Symbol" w:hAnsi="Symbol"/>
      </w:rPr>
    </w:lvl>
    <w:lvl w:ilvl="4">
      <w:start w:val="1"/>
      <w:numFmt w:val="bullet"/>
      <w:lvlText w:val="o"/>
      <w:lvlJc w:val="left"/>
      <w:pPr>
        <w:ind w:left="3033" w:hanging="360"/>
      </w:pPr>
      <w:rPr>
        <w:rFonts w:ascii="Courier New" w:eastAsia="Courier New" w:hAnsi="Courier New"/>
      </w:rPr>
    </w:lvl>
    <w:lvl w:ilvl="5">
      <w:start w:val="1"/>
      <w:numFmt w:val="bullet"/>
      <w:lvlText w:val=""/>
      <w:lvlJc w:val="left"/>
      <w:pPr>
        <w:ind w:left="3753" w:hanging="360"/>
      </w:pPr>
      <w:rPr>
        <w:rFonts w:ascii="Wingdings" w:eastAsia="Wingdings" w:hAnsi="Wingdings"/>
      </w:rPr>
    </w:lvl>
    <w:lvl w:ilvl="6">
      <w:start w:val="1"/>
      <w:numFmt w:val="bullet"/>
      <w:lvlText w:val=""/>
      <w:lvlJc w:val="left"/>
      <w:pPr>
        <w:ind w:left="4473" w:hanging="360"/>
      </w:pPr>
      <w:rPr>
        <w:rFonts w:ascii="Symbol" w:eastAsia="Symbol" w:hAnsi="Symbol"/>
      </w:rPr>
    </w:lvl>
    <w:lvl w:ilvl="7">
      <w:start w:val="1"/>
      <w:numFmt w:val="bullet"/>
      <w:lvlText w:val="o"/>
      <w:lvlJc w:val="left"/>
      <w:pPr>
        <w:ind w:left="5193" w:hanging="360"/>
      </w:pPr>
      <w:rPr>
        <w:rFonts w:ascii="Courier New" w:eastAsia="Courier New" w:hAnsi="Courier New"/>
      </w:rPr>
    </w:lvl>
    <w:lvl w:ilvl="8">
      <w:start w:val="1"/>
      <w:numFmt w:val="bullet"/>
      <w:lvlText w:val=""/>
      <w:lvlJc w:val="left"/>
      <w:pPr>
        <w:ind w:left="5913" w:hanging="360"/>
      </w:pPr>
      <w:rPr>
        <w:rFonts w:ascii="Wingdings" w:eastAsia="Wingdings" w:hAnsi="Wingdings"/>
      </w:rPr>
    </w:lvl>
  </w:abstractNum>
  <w:abstractNum w:abstractNumId="1" w15:restartNumberingAfterBreak="0">
    <w:nsid w:val="10F25264"/>
    <w:multiLevelType w:val="hybridMultilevel"/>
    <w:tmpl w:val="2ECCA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2F2001"/>
    <w:multiLevelType w:val="hybridMultilevel"/>
    <w:tmpl w:val="02002FA0"/>
    <w:lvl w:ilvl="0" w:tplc="58369874">
      <w:numFmt w:val="bullet"/>
      <w:lvlText w:val="•"/>
      <w:lvlJc w:val="left"/>
      <w:pPr>
        <w:ind w:left="724" w:hanging="690"/>
      </w:pPr>
      <w:rPr>
        <w:rFonts w:ascii="Calibri" w:eastAsia="Calibri" w:hAnsi="Calibri" w:cstheme="minorBidi"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 w15:restartNumberingAfterBreak="0">
    <w:nsid w:val="278A14D0"/>
    <w:multiLevelType w:val="multilevel"/>
    <w:tmpl w:val="03086985"/>
    <w:lvl w:ilvl="0">
      <w:start w:val="1"/>
      <w:numFmt w:val="decimal"/>
      <w:lvlText w:val="%1."/>
      <w:lvlJc w:val="left"/>
      <w:pPr>
        <w:ind w:left="414" w:hanging="360"/>
      </w:pPr>
      <w:rPr>
        <w:rFonts w:ascii="Georgia" w:eastAsia="Georgia" w:hAnsi="Georgia"/>
        <w:b/>
        <w:i w:val="0"/>
        <w:sz w:val="36"/>
      </w:rPr>
    </w:lvl>
    <w:lvl w:ilvl="1">
      <w:start w:val="1"/>
      <w:numFmt w:val="decimal"/>
      <w:pStyle w:val="RPSSectionHeading2"/>
      <w:lvlText w:val="%1.%2"/>
      <w:lvlJc w:val="left"/>
      <w:pPr>
        <w:ind w:left="846" w:hanging="792"/>
      </w:pPr>
      <w:rPr>
        <w:rFonts w:ascii="Georgia" w:eastAsia="Georgia" w:hAnsi="Georgia"/>
        <w:b/>
        <w:i w:val="0"/>
        <w:sz w:val="24"/>
      </w:rPr>
    </w:lvl>
    <w:lvl w:ilvl="2">
      <w:start w:val="1"/>
      <w:numFmt w:val="decimal"/>
      <w:pStyle w:val="RPSBodyText"/>
      <w:lvlText w:val="%1.%2.%3"/>
      <w:lvlJc w:val="left"/>
      <w:pPr>
        <w:ind w:left="848" w:hanging="794"/>
      </w:pPr>
      <w:rPr>
        <w:rFonts w:ascii="Georgia" w:eastAsia="Georgia" w:hAnsi="Georgia"/>
        <w:b w:val="0"/>
        <w:i w:val="0"/>
        <w:sz w:val="24"/>
      </w:rPr>
    </w:lvl>
    <w:lvl w:ilvl="3">
      <w:start w:val="1"/>
      <w:numFmt w:val="lowerLetter"/>
      <w:lvlText w:val="(%4)"/>
      <w:lvlJc w:val="left"/>
      <w:pPr>
        <w:ind w:left="1418" w:hanging="284"/>
      </w:pPr>
      <w:rPr>
        <w:b w:val="0"/>
        <w:i w:val="0"/>
        <w:sz w:val="22"/>
      </w:rPr>
    </w:lvl>
    <w:lvl w:ilvl="4">
      <w:start w:val="1"/>
      <w:numFmt w:val="lowerRoman"/>
      <w:pStyle w:val="RPSBodyTextroman"/>
      <w:lvlText w:val="(%5)"/>
      <w:lvlJc w:val="left"/>
      <w:pPr>
        <w:ind w:left="2286" w:hanging="792"/>
      </w:pPr>
      <w:rPr>
        <w:b w:val="0"/>
        <w:i w:val="0"/>
        <w:sz w:val="22"/>
      </w:rPr>
    </w:lvl>
    <w:lvl w:ilvl="5">
      <w:start w:val="1"/>
      <w:numFmt w:val="decimal"/>
      <w:lvlText w:val="%1.%2.%3.%4.%5.%6."/>
      <w:lvlJc w:val="left"/>
      <w:pPr>
        <w:ind w:left="2790" w:hanging="936"/>
      </w:pPr>
    </w:lvl>
    <w:lvl w:ilvl="6">
      <w:start w:val="1"/>
      <w:numFmt w:val="decimal"/>
      <w:lvlText w:val="%1.%2.%3.%4.%5.%6.%7."/>
      <w:lvlJc w:val="left"/>
      <w:pPr>
        <w:ind w:left="3294" w:hanging="1080"/>
      </w:pPr>
    </w:lvl>
    <w:lvl w:ilvl="7">
      <w:start w:val="1"/>
      <w:numFmt w:val="decimal"/>
      <w:lvlText w:val="%1.%2.%3.%4.%5.%6.%7.%8."/>
      <w:lvlJc w:val="left"/>
      <w:pPr>
        <w:ind w:left="3798" w:hanging="1224"/>
      </w:pPr>
    </w:lvl>
    <w:lvl w:ilvl="8">
      <w:start w:val="1"/>
      <w:numFmt w:val="decimal"/>
      <w:lvlText w:val="%1.%2.%3.%4.%5.%6.%7.%8.%9."/>
      <w:lvlJc w:val="left"/>
      <w:pPr>
        <w:ind w:left="4374" w:hanging="1440"/>
      </w:pPr>
    </w:lvl>
  </w:abstractNum>
  <w:abstractNum w:abstractNumId="4" w15:restartNumberingAfterBreak="0">
    <w:nsid w:val="29BA7B64"/>
    <w:multiLevelType w:val="hybridMultilevel"/>
    <w:tmpl w:val="F1E44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B435C9"/>
    <w:multiLevelType w:val="multilevel"/>
    <w:tmpl w:val="02F47C69"/>
    <w:lvl w:ilvl="0">
      <w:start w:val="1"/>
      <w:numFmt w:val="decimal"/>
      <w:pStyle w:val="RPSSectionHeading"/>
      <w:lvlText w:val="%1."/>
      <w:lvlJc w:val="left"/>
      <w:pPr>
        <w:ind w:left="851" w:hanging="851"/>
      </w:pPr>
      <w:rPr>
        <w:rFonts w:ascii="Georgia" w:eastAsia="Georgia" w:hAnsi="Georgia"/>
        <w:b/>
        <w:i w:val="0"/>
        <w:sz w:val="36"/>
      </w:rPr>
    </w:lvl>
    <w:lvl w:ilvl="1">
      <w:start w:val="1"/>
      <w:numFmt w:val="decimal"/>
      <w:pStyle w:val="CoPRPSSectionHeading2"/>
      <w:lvlText w:val="%1.%2"/>
      <w:lvlJc w:val="left"/>
      <w:pPr>
        <w:ind w:left="851" w:hanging="851"/>
      </w:pPr>
      <w:rPr>
        <w:rFonts w:ascii="Georgia" w:eastAsia="Georgia" w:hAnsi="Georgia"/>
        <w:b/>
        <w:i w:val="0"/>
        <w:sz w:val="28"/>
      </w:rPr>
    </w:lvl>
    <w:lvl w:ilvl="2">
      <w:start w:val="1"/>
      <w:numFmt w:val="decimal"/>
      <w:pStyle w:val="CoPRPSBodyTextnumeric"/>
      <w:lvlText w:val="%1.%2.%3"/>
      <w:lvlJc w:val="left"/>
      <w:pPr>
        <w:ind w:left="851" w:hanging="851"/>
      </w:pPr>
      <w:rPr>
        <w:rFonts w:ascii="Georgia" w:eastAsia="Georgia" w:hAnsi="Georgia"/>
        <w:b w:val="0"/>
        <w:i w:val="0"/>
        <w:caps w:val="0"/>
        <w:vanish w:val="0"/>
        <w:sz w:val="24"/>
      </w:rPr>
    </w:lvl>
    <w:lvl w:ilvl="3">
      <w:start w:val="1"/>
      <w:numFmt w:val="lowerLetter"/>
      <w:pStyle w:val="RPSBodyTextalpha"/>
      <w:lvlText w:val="(%4)"/>
      <w:lvlJc w:val="left"/>
      <w:pPr>
        <w:ind w:left="1418" w:hanging="567"/>
      </w:pPr>
      <w:rPr>
        <w:rFonts w:ascii="Georgia" w:eastAsia="Georgia" w:hAnsi="Georgia"/>
        <w:b w:val="0"/>
        <w:i w:val="0"/>
        <w:sz w:val="24"/>
      </w:rPr>
    </w:lvl>
    <w:lvl w:ilvl="4">
      <w:start w:val="1"/>
      <w:numFmt w:val="lowerRoman"/>
      <w:lvlText w:val="(%5)"/>
      <w:lvlJc w:val="left"/>
      <w:pPr>
        <w:ind w:left="1985" w:hanging="567"/>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8" w15:restartNumberingAfterBreak="0">
    <w:nsid w:val="589E7122"/>
    <w:multiLevelType w:val="multilevel"/>
    <w:tmpl w:val="032CB8A3"/>
    <w:lvl w:ilvl="0">
      <w:start w:val="1"/>
      <w:numFmt w:val="lowerLetter"/>
      <w:lvlText w:val="(%1)"/>
      <w:lvlJc w:val="left"/>
      <w:pPr>
        <w:ind w:left="851" w:hanging="851"/>
      </w:pPr>
      <w:rPr>
        <w:rFonts w:ascii="Georgia" w:eastAsia="Georgia" w:hAnsi="Georgia"/>
        <w:b w:val="0"/>
        <w:i w:val="0"/>
        <w:sz w:val="22"/>
      </w:rPr>
    </w:lvl>
    <w:lvl w:ilvl="1">
      <w:start w:val="1"/>
      <w:numFmt w:val="lowerRoman"/>
      <w:pStyle w:val="RPSAppendixText"/>
      <w:lvlText w:val="(%2)"/>
      <w:lvlJc w:val="left"/>
      <w:pPr>
        <w:ind w:left="851" w:hanging="851"/>
      </w:pPr>
      <w:rPr>
        <w:rFonts w:ascii="Georgia" w:eastAsia="Georgia" w:hAnsi="Georgia"/>
        <w:b w:val="0"/>
        <w:i w:val="0"/>
        <w:sz w:val="22"/>
      </w:rPr>
    </w:lvl>
    <w:lvl w:ilvl="2">
      <w:start w:val="1"/>
      <w:numFmt w:val="lowerLetter"/>
      <w:pStyle w:val="RPSSchedAnnexText"/>
      <w:lvlText w:val="(%3)"/>
      <w:lvlJc w:val="left"/>
      <w:pPr>
        <w:ind w:left="1418" w:hanging="567"/>
      </w:pPr>
      <w:rPr>
        <w:rFonts w:ascii="Georgia" w:eastAsia="Georgia" w:hAnsi="Georgia"/>
        <w:b w:val="0"/>
        <w:i w:val="0"/>
        <w:sz w:val="22"/>
      </w:rPr>
    </w:lvl>
    <w:lvl w:ilvl="3">
      <w:start w:val="1"/>
      <w:numFmt w:val="lowerRoman"/>
      <w:lvlText w:val="(%4)"/>
      <w:lvlJc w:val="left"/>
      <w:pPr>
        <w:ind w:left="1985" w:hanging="567"/>
      </w:pPr>
      <w:rPr>
        <w:rFonts w:ascii="Georgia" w:eastAsia="Georgia" w:hAnsi="Georgia"/>
        <w:b w:val="0"/>
        <w:i w:val="0"/>
        <w:sz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83D2A16"/>
    <w:multiLevelType w:val="multilevel"/>
    <w:tmpl w:val="01B1FE84"/>
    <w:lvl w:ilvl="0">
      <w:start w:val="1"/>
      <w:numFmt w:val="decimal"/>
      <w:lvlText w:val="%1."/>
      <w:lvlJc w:val="left"/>
      <w:pPr>
        <w:ind w:left="680" w:hanging="680"/>
      </w:pPr>
      <w:rPr>
        <w:rFonts w:ascii="Georgia" w:eastAsia="Georgia" w:hAnsi="Georgia"/>
        <w:b/>
        <w:i w:val="0"/>
        <w:sz w:val="32"/>
      </w:rPr>
    </w:lvl>
    <w:lvl w:ilvl="1">
      <w:start w:val="1"/>
      <w:numFmt w:val="decimal"/>
      <w:lvlText w:val="%1.%2"/>
      <w:lvlJc w:val="left"/>
      <w:pPr>
        <w:ind w:left="680" w:hanging="680"/>
      </w:pPr>
      <w:rPr>
        <w:rFonts w:ascii="Georgia" w:eastAsia="Georgia" w:hAnsi="Georgia"/>
        <w:b/>
        <w:i w:val="0"/>
        <w:sz w:val="28"/>
      </w:rPr>
    </w:lvl>
    <w:lvl w:ilvl="2">
      <w:start w:val="1"/>
      <w:numFmt w:val="decimal"/>
      <w:pStyle w:val="RPSBodyTextNumbered"/>
      <w:lvlText w:val="%1.%2.%3"/>
      <w:lvlJc w:val="left"/>
      <w:pPr>
        <w:ind w:left="794" w:hanging="794"/>
      </w:pPr>
      <w:rPr>
        <w:rFonts w:ascii="Georgia" w:eastAsia="Georgia" w:hAnsi="Georgia"/>
        <w:b w:val="0"/>
        <w:i w:val="0"/>
        <w:sz w:val="24"/>
      </w:rPr>
    </w:lvl>
    <w:lvl w:ilvl="3">
      <w:start w:val="1"/>
      <w:numFmt w:val="lowerLetter"/>
      <w:lvlText w:val="(%4)"/>
      <w:lvlJc w:val="left"/>
      <w:pPr>
        <w:ind w:left="1588" w:hanging="794"/>
      </w:pPr>
    </w:lvl>
    <w:lvl w:ilvl="4">
      <w:start w:val="1"/>
      <w:numFmt w:val="lowerRoman"/>
      <w:lvlText w:val="(%5)"/>
      <w:lvlJc w:val="left"/>
      <w:pPr>
        <w:ind w:left="2268" w:hanging="68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DA235FA"/>
    <w:multiLevelType w:val="hybridMultilevel"/>
    <w:tmpl w:val="D036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3"/>
  </w:num>
  <w:num w:numId="5">
    <w:abstractNumId w:val="5"/>
  </w:num>
  <w:num w:numId="6">
    <w:abstractNumId w:val="8"/>
  </w:num>
  <w:num w:numId="7">
    <w:abstractNumId w:val="0"/>
  </w:num>
  <w:num w:numId="8">
    <w:abstractNumId w:val="2"/>
  </w:num>
  <w:num w:numId="9">
    <w:abstractNumId w:val="10"/>
  </w:num>
  <w:num w:numId="10">
    <w:abstractNumId w:val="4"/>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59"/>
    <w:rsid w:val="000369FE"/>
    <w:rsid w:val="00037687"/>
    <w:rsid w:val="00066B27"/>
    <w:rsid w:val="000917AA"/>
    <w:rsid w:val="000A280C"/>
    <w:rsid w:val="000A7DCD"/>
    <w:rsid w:val="000C29FD"/>
    <w:rsid w:val="000D08C0"/>
    <w:rsid w:val="000D27C8"/>
    <w:rsid w:val="000D28EB"/>
    <w:rsid w:val="000F3AB1"/>
    <w:rsid w:val="000F5346"/>
    <w:rsid w:val="000F73FB"/>
    <w:rsid w:val="0010348D"/>
    <w:rsid w:val="00192A8D"/>
    <w:rsid w:val="001A11CB"/>
    <w:rsid w:val="001D1068"/>
    <w:rsid w:val="001D18DC"/>
    <w:rsid w:val="001E0959"/>
    <w:rsid w:val="001E7DE2"/>
    <w:rsid w:val="00211B48"/>
    <w:rsid w:val="002356D6"/>
    <w:rsid w:val="00280693"/>
    <w:rsid w:val="0029272D"/>
    <w:rsid w:val="002946C5"/>
    <w:rsid w:val="002C6E3A"/>
    <w:rsid w:val="003014F6"/>
    <w:rsid w:val="003044B3"/>
    <w:rsid w:val="0031002C"/>
    <w:rsid w:val="00323055"/>
    <w:rsid w:val="00327077"/>
    <w:rsid w:val="00340D8E"/>
    <w:rsid w:val="00342B93"/>
    <w:rsid w:val="003441FA"/>
    <w:rsid w:val="00356BD7"/>
    <w:rsid w:val="00362A36"/>
    <w:rsid w:val="00370113"/>
    <w:rsid w:val="003939E0"/>
    <w:rsid w:val="00395BCC"/>
    <w:rsid w:val="003B0414"/>
    <w:rsid w:val="003B3532"/>
    <w:rsid w:val="003C4F61"/>
    <w:rsid w:val="003D2646"/>
    <w:rsid w:val="003F1D8A"/>
    <w:rsid w:val="00412CF8"/>
    <w:rsid w:val="00434381"/>
    <w:rsid w:val="00452766"/>
    <w:rsid w:val="0045402B"/>
    <w:rsid w:val="004577AE"/>
    <w:rsid w:val="00460079"/>
    <w:rsid w:val="00465213"/>
    <w:rsid w:val="004E27E0"/>
    <w:rsid w:val="004E4746"/>
    <w:rsid w:val="00504EB8"/>
    <w:rsid w:val="0054455D"/>
    <w:rsid w:val="00561136"/>
    <w:rsid w:val="00570B3E"/>
    <w:rsid w:val="00586DAE"/>
    <w:rsid w:val="00587F79"/>
    <w:rsid w:val="005A5CDB"/>
    <w:rsid w:val="005B28E2"/>
    <w:rsid w:val="005B31A8"/>
    <w:rsid w:val="005E02CF"/>
    <w:rsid w:val="005E6663"/>
    <w:rsid w:val="00621F3A"/>
    <w:rsid w:val="00626952"/>
    <w:rsid w:val="00667D88"/>
    <w:rsid w:val="00675E49"/>
    <w:rsid w:val="00687FBF"/>
    <w:rsid w:val="0069639D"/>
    <w:rsid w:val="006A2301"/>
    <w:rsid w:val="006D6AB6"/>
    <w:rsid w:val="006E424B"/>
    <w:rsid w:val="006E59E8"/>
    <w:rsid w:val="006F6560"/>
    <w:rsid w:val="00751131"/>
    <w:rsid w:val="00766453"/>
    <w:rsid w:val="00771EA0"/>
    <w:rsid w:val="00787C08"/>
    <w:rsid w:val="00790BF5"/>
    <w:rsid w:val="007D2D7E"/>
    <w:rsid w:val="00841065"/>
    <w:rsid w:val="00841911"/>
    <w:rsid w:val="008455C6"/>
    <w:rsid w:val="00883AA8"/>
    <w:rsid w:val="00886397"/>
    <w:rsid w:val="008970CA"/>
    <w:rsid w:val="008F1BAD"/>
    <w:rsid w:val="008F4453"/>
    <w:rsid w:val="00900292"/>
    <w:rsid w:val="00903D2C"/>
    <w:rsid w:val="009541A2"/>
    <w:rsid w:val="009550D4"/>
    <w:rsid w:val="0096408E"/>
    <w:rsid w:val="009B6E91"/>
    <w:rsid w:val="009C1D7C"/>
    <w:rsid w:val="00A63727"/>
    <w:rsid w:val="00A82050"/>
    <w:rsid w:val="00A847BC"/>
    <w:rsid w:val="00A8520D"/>
    <w:rsid w:val="00A97CC8"/>
    <w:rsid w:val="00AB6DA9"/>
    <w:rsid w:val="00AC2FEC"/>
    <w:rsid w:val="00AD2D61"/>
    <w:rsid w:val="00AE6A3B"/>
    <w:rsid w:val="00B25D21"/>
    <w:rsid w:val="00B403B5"/>
    <w:rsid w:val="00B54750"/>
    <w:rsid w:val="00BD770E"/>
    <w:rsid w:val="00BE6683"/>
    <w:rsid w:val="00C0356F"/>
    <w:rsid w:val="00C0394A"/>
    <w:rsid w:val="00C0764F"/>
    <w:rsid w:val="00C10F55"/>
    <w:rsid w:val="00C47DA8"/>
    <w:rsid w:val="00C51DF1"/>
    <w:rsid w:val="00C52D7A"/>
    <w:rsid w:val="00C7572F"/>
    <w:rsid w:val="00C90747"/>
    <w:rsid w:val="00CC1541"/>
    <w:rsid w:val="00CC3F14"/>
    <w:rsid w:val="00CE4F44"/>
    <w:rsid w:val="00CF2A36"/>
    <w:rsid w:val="00D22AB8"/>
    <w:rsid w:val="00D22F8B"/>
    <w:rsid w:val="00D24A37"/>
    <w:rsid w:val="00D27467"/>
    <w:rsid w:val="00D402E5"/>
    <w:rsid w:val="00D70D97"/>
    <w:rsid w:val="00D770E7"/>
    <w:rsid w:val="00D87798"/>
    <w:rsid w:val="00D92D09"/>
    <w:rsid w:val="00DA3A53"/>
    <w:rsid w:val="00DA6B49"/>
    <w:rsid w:val="00DF6108"/>
    <w:rsid w:val="00E15FFF"/>
    <w:rsid w:val="00E21EB1"/>
    <w:rsid w:val="00E25BD4"/>
    <w:rsid w:val="00E32A56"/>
    <w:rsid w:val="00E54D3A"/>
    <w:rsid w:val="00E64147"/>
    <w:rsid w:val="00E71AEE"/>
    <w:rsid w:val="00E82C38"/>
    <w:rsid w:val="00E96E7F"/>
    <w:rsid w:val="00EA18DC"/>
    <w:rsid w:val="00EB79CB"/>
    <w:rsid w:val="00ED621A"/>
    <w:rsid w:val="00F2243E"/>
    <w:rsid w:val="00F30B42"/>
    <w:rsid w:val="00F404C1"/>
    <w:rsid w:val="00F45236"/>
    <w:rsid w:val="00F87EA5"/>
    <w:rsid w:val="00FB0F28"/>
    <w:rsid w:val="00FB3CEB"/>
    <w:rsid w:val="00FF10B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6D64CB7"/>
  <w15:docId w15:val="{45A1B6F3-BC2F-46CC-A457-2BDBF4ED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48"/>
  </w:style>
  <w:style w:type="paragraph" w:styleId="Heading1">
    <w:name w:val="heading 1"/>
    <w:basedOn w:val="Normal"/>
    <w:next w:val="Normal"/>
    <w:link w:val="Heading1Char"/>
    <w:uiPriority w:val="9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504EB8"/>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504EB8"/>
    <w:pPr>
      <w:keepNext/>
      <w:keepLines/>
      <w:spacing w:before="200"/>
      <w:outlineLvl w:val="3"/>
    </w:pPr>
    <w:rPr>
      <w:rFonts w:eastAsiaTheme="majorEastAsia" w:cstheme="majorBidi"/>
      <w:b/>
      <w:bCs/>
      <w:i/>
      <w:iCs/>
    </w:rPr>
  </w:style>
  <w:style w:type="paragraph" w:styleId="Heading7">
    <w:name w:val="heading 7"/>
    <w:basedOn w:val="Normal"/>
    <w:next w:val="Normal"/>
    <w:link w:val="Heading7Char"/>
    <w:uiPriority w:val="9"/>
    <w:unhideWhenUsed/>
    <w:qFormat/>
    <w:rsid w:val="00460079"/>
    <w:pPr>
      <w:keepNext/>
      <w:keepLines/>
      <w:spacing w:before="200" w:line="276" w:lineRule="auto"/>
      <w:ind w:left="1296" w:hanging="1296"/>
      <w:outlineLvl w:val="6"/>
    </w:pPr>
    <w:rPr>
      <w:rFonts w:ascii="Cambria" w:eastAsia="Times New Roman" w:hAnsi="Cambria" w:cs="Times New Roman"/>
      <w:i/>
      <w:iCs/>
      <w:color w:val="404040"/>
      <w:lang w:eastAsia="en-AU"/>
    </w:rPr>
  </w:style>
  <w:style w:type="paragraph" w:styleId="Heading8">
    <w:name w:val="heading 8"/>
    <w:basedOn w:val="Normal"/>
    <w:next w:val="Normal"/>
    <w:link w:val="Heading8Char"/>
    <w:uiPriority w:val="9"/>
    <w:unhideWhenUsed/>
    <w:qFormat/>
    <w:rsid w:val="00460079"/>
    <w:pPr>
      <w:keepNext/>
      <w:keepLines/>
      <w:spacing w:before="200" w:line="276" w:lineRule="auto"/>
      <w:ind w:left="1440" w:hanging="1440"/>
      <w:outlineLvl w:val="7"/>
    </w:pPr>
    <w:rPr>
      <w:rFonts w:ascii="Cambria" w:eastAsia="Times New Roman" w:hAnsi="Cambria" w:cs="Times New Roman"/>
      <w:color w:val="404040"/>
      <w:sz w:val="20"/>
      <w:szCs w:val="20"/>
      <w:lang w:eastAsia="en-AU"/>
    </w:rPr>
  </w:style>
  <w:style w:type="paragraph" w:styleId="Heading9">
    <w:name w:val="heading 9"/>
    <w:basedOn w:val="Normal"/>
    <w:next w:val="Normal"/>
    <w:link w:val="Heading9Char"/>
    <w:uiPriority w:val="9"/>
    <w:unhideWhenUsed/>
    <w:qFormat/>
    <w:rsid w:val="00460079"/>
    <w:pPr>
      <w:keepNext/>
      <w:keepLines/>
      <w:spacing w:before="200" w:line="276" w:lineRule="auto"/>
      <w:ind w:left="1584" w:hanging="1584"/>
      <w:outlineLvl w:val="8"/>
    </w:pPr>
    <w:rPr>
      <w:rFonts w:ascii="Cambria" w:eastAsia="Times New Roman" w:hAnsi="Cambria" w:cs="Times New Roman"/>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1"/>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qFormat/>
    <w:rsid w:val="00B54750"/>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54750"/>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unhideWhenUsed/>
    <w:rsid w:val="00D70D97"/>
    <w:rPr>
      <w:color w:val="800080" w:themeColor="followedHyperlink"/>
      <w:u w:val="single"/>
    </w:rPr>
  </w:style>
  <w:style w:type="paragraph" w:styleId="Header">
    <w:name w:val="header"/>
    <w:basedOn w:val="Normal"/>
    <w:link w:val="HeaderChar"/>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504EB8"/>
    <w:rPr>
      <w:rFonts w:ascii="Calibri" w:eastAsiaTheme="majorEastAsia" w:hAnsi="Calibri" w:cstheme="majorBidi"/>
      <w:b/>
      <w:bCs/>
      <w:i/>
      <w:color w:val="4E1A74"/>
      <w:sz w:val="24"/>
    </w:rPr>
  </w:style>
  <w:style w:type="paragraph" w:styleId="BalloonText">
    <w:name w:val="Balloon Text"/>
    <w:basedOn w:val="Normal"/>
    <w:link w:val="BalloonTextChar"/>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504EB8"/>
    <w:rPr>
      <w:rFonts w:eastAsiaTheme="majorEastAsia"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nhideWhenUsed/>
    <w:rsid w:val="00066B27"/>
    <w:pPr>
      <w:tabs>
        <w:tab w:val="right" w:leader="dot" w:pos="9628"/>
      </w:tabs>
    </w:pPr>
    <w:rPr>
      <w:b/>
      <w:color w:val="4E1A74"/>
    </w:rPr>
  </w:style>
  <w:style w:type="paragraph" w:styleId="TOC2">
    <w:name w:val="toc 2"/>
    <w:basedOn w:val="Normal"/>
    <w:next w:val="Normal"/>
    <w:autoRedefine/>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2"/>
      </w:numPr>
    </w:pPr>
  </w:style>
  <w:style w:type="table" w:styleId="TableSimple1">
    <w:name w:val="Table Simple 1"/>
    <w:basedOn w:val="TableNormal"/>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Heading13">
    <w:name w:val="Heading 13"/>
    <w:basedOn w:val="Normal"/>
    <w:next w:val="Normal"/>
    <w:uiPriority w:val="99"/>
    <w:qFormat/>
    <w:rsid w:val="00460079"/>
    <w:pPr>
      <w:keepNext/>
      <w:spacing w:before="0" w:line="240" w:lineRule="atLeast"/>
      <w:ind w:left="318" w:hanging="284"/>
      <w:outlineLvl w:val="1"/>
    </w:pPr>
    <w:rPr>
      <w:rFonts w:ascii="Verdana" w:eastAsia="Verdana" w:hAnsi="Verdana" w:cs="Times New Roman"/>
      <w:b/>
      <w:color w:val="auto"/>
      <w:sz w:val="16"/>
      <w:szCs w:val="20"/>
      <w:lang w:eastAsia="en-AU"/>
    </w:rPr>
  </w:style>
  <w:style w:type="paragraph" w:customStyle="1" w:styleId="Heading12">
    <w:name w:val="Heading 12"/>
    <w:basedOn w:val="Normal"/>
    <w:next w:val="Normal"/>
    <w:qFormat/>
    <w:rsid w:val="00460079"/>
    <w:pPr>
      <w:keepNext/>
      <w:spacing w:after="60" w:line="240" w:lineRule="auto"/>
      <w:ind w:left="318" w:hanging="284"/>
      <w:outlineLvl w:val="2"/>
    </w:pPr>
    <w:rPr>
      <w:rFonts w:ascii="Arial" w:eastAsia="Arial" w:hAnsi="Arial" w:cs="Times New Roman"/>
      <w:b/>
      <w:color w:val="auto"/>
      <w:sz w:val="26"/>
      <w:szCs w:val="20"/>
      <w:lang w:eastAsia="en-AU"/>
    </w:rPr>
  </w:style>
  <w:style w:type="paragraph" w:customStyle="1" w:styleId="Heading11">
    <w:name w:val="Heading 11"/>
    <w:basedOn w:val="Normal"/>
    <w:next w:val="Normal"/>
    <w:qFormat/>
    <w:rsid w:val="00460079"/>
    <w:pPr>
      <w:keepNext/>
      <w:spacing w:after="60" w:line="240" w:lineRule="auto"/>
      <w:ind w:left="318" w:hanging="284"/>
      <w:outlineLvl w:val="3"/>
    </w:pPr>
    <w:rPr>
      <w:rFonts w:ascii="Times New Roman" w:eastAsia="Times New Roman" w:hAnsi="Times New Roman" w:cs="Times New Roman"/>
      <w:b/>
      <w:color w:val="auto"/>
      <w:sz w:val="28"/>
      <w:szCs w:val="20"/>
      <w:lang w:eastAsia="en-AU"/>
    </w:rPr>
  </w:style>
  <w:style w:type="character" w:customStyle="1" w:styleId="Heading7Char">
    <w:name w:val="Heading 7 Char"/>
    <w:basedOn w:val="DefaultParagraphFont"/>
    <w:link w:val="Heading7"/>
    <w:uiPriority w:val="9"/>
    <w:rsid w:val="00460079"/>
    <w:rPr>
      <w:rFonts w:ascii="Cambria" w:eastAsia="Times New Roman" w:hAnsi="Cambria" w:cs="Times New Roman"/>
      <w:i/>
      <w:iCs/>
      <w:color w:val="404040"/>
      <w:lang w:eastAsia="en-AU"/>
    </w:rPr>
  </w:style>
  <w:style w:type="character" w:customStyle="1" w:styleId="Heading8Char">
    <w:name w:val="Heading 8 Char"/>
    <w:basedOn w:val="DefaultParagraphFont"/>
    <w:link w:val="Heading8"/>
    <w:uiPriority w:val="9"/>
    <w:rsid w:val="00460079"/>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rsid w:val="00460079"/>
    <w:rPr>
      <w:rFonts w:ascii="Cambria" w:eastAsia="Times New Roman" w:hAnsi="Cambria" w:cs="Times New Roman"/>
      <w:i/>
      <w:iCs/>
      <w:color w:val="404040"/>
      <w:sz w:val="20"/>
      <w:szCs w:val="20"/>
      <w:lang w:eastAsia="en-AU"/>
    </w:rPr>
  </w:style>
  <w:style w:type="paragraph" w:customStyle="1" w:styleId="Default">
    <w:name w:val="Default"/>
    <w:rsid w:val="00460079"/>
    <w:pPr>
      <w:widowControl w:val="0"/>
      <w:spacing w:before="0" w:line="240" w:lineRule="auto"/>
      <w:ind w:left="318" w:hanging="284"/>
    </w:pPr>
    <w:rPr>
      <w:rFonts w:ascii="Times New Roman" w:eastAsia="Times New Roman" w:hAnsi="Times New Roman" w:cs="Times New Roman"/>
      <w:color w:val="000000"/>
      <w:sz w:val="24"/>
      <w:szCs w:val="20"/>
      <w:lang w:eastAsia="en-AU"/>
    </w:rPr>
  </w:style>
  <w:style w:type="paragraph" w:customStyle="1" w:styleId="HTMLBody">
    <w:name w:val="HTML Body"/>
    <w:rsid w:val="00460079"/>
    <w:pPr>
      <w:spacing w:before="0" w:line="240" w:lineRule="auto"/>
      <w:ind w:left="318" w:hanging="284"/>
    </w:pPr>
    <w:rPr>
      <w:rFonts w:ascii="Arial" w:eastAsia="Arial" w:hAnsi="Arial" w:cs="Times New Roman"/>
      <w:color w:val="auto"/>
      <w:sz w:val="24"/>
      <w:szCs w:val="20"/>
      <w:lang w:eastAsia="en-AU"/>
    </w:rPr>
  </w:style>
  <w:style w:type="paragraph" w:customStyle="1" w:styleId="TableHeading">
    <w:name w:val="_TableHeading"/>
    <w:basedOn w:val="Normal"/>
    <w:rsid w:val="00460079"/>
    <w:pPr>
      <w:keepNext/>
      <w:tabs>
        <w:tab w:val="left" w:pos="284"/>
      </w:tabs>
      <w:spacing w:before="60" w:after="60" w:line="260" w:lineRule="atLeast"/>
    </w:pPr>
    <w:rPr>
      <w:rFonts w:ascii="Arial" w:eastAsia="Arial" w:hAnsi="Arial" w:cs="Times New Roman"/>
      <w:b/>
      <w:color w:val="495F70"/>
      <w:sz w:val="18"/>
      <w:szCs w:val="20"/>
      <w:lang w:eastAsia="en-AU"/>
    </w:rPr>
  </w:style>
  <w:style w:type="paragraph" w:customStyle="1" w:styleId="Footer0">
    <w:name w:val="_Footer"/>
    <w:basedOn w:val="Normal"/>
    <w:rsid w:val="00460079"/>
    <w:pPr>
      <w:spacing w:before="20" w:line="240" w:lineRule="auto"/>
    </w:pPr>
    <w:rPr>
      <w:rFonts w:ascii="Arial" w:eastAsia="Arial" w:hAnsi="Arial" w:cs="Times New Roman"/>
      <w:color w:val="auto"/>
      <w:sz w:val="16"/>
      <w:szCs w:val="20"/>
      <w:lang w:eastAsia="en-AU"/>
    </w:rPr>
  </w:style>
  <w:style w:type="paragraph" w:customStyle="1" w:styleId="section1">
    <w:name w:val="section1"/>
    <w:basedOn w:val="Normal"/>
    <w:rsid w:val="00460079"/>
    <w:pPr>
      <w:spacing w:before="100" w:beforeAutospacing="1" w:after="100" w:afterAutospacing="1" w:line="240" w:lineRule="auto"/>
      <w:ind w:left="318" w:hanging="284"/>
    </w:pPr>
    <w:rPr>
      <w:rFonts w:ascii="Times New Roman" w:eastAsia="Times New Roman" w:hAnsi="Times New Roman" w:cs="Times New Roman"/>
      <w:color w:val="auto"/>
      <w:sz w:val="24"/>
      <w:szCs w:val="20"/>
      <w:lang w:eastAsia="en-AU"/>
    </w:rPr>
  </w:style>
  <w:style w:type="paragraph" w:customStyle="1" w:styleId="h5">
    <w:name w:val="h5"/>
    <w:basedOn w:val="Normal"/>
    <w:rsid w:val="00460079"/>
    <w:pPr>
      <w:spacing w:before="100" w:beforeAutospacing="1" w:after="100" w:afterAutospacing="1" w:line="240" w:lineRule="auto"/>
      <w:ind w:left="318" w:hanging="284"/>
    </w:pPr>
    <w:rPr>
      <w:rFonts w:ascii="Times New Roman" w:eastAsia="Times New Roman" w:hAnsi="Times New Roman" w:cs="Times New Roman"/>
      <w:color w:val="auto"/>
      <w:sz w:val="24"/>
      <w:szCs w:val="20"/>
      <w:lang w:eastAsia="en-AU"/>
    </w:rPr>
  </w:style>
  <w:style w:type="paragraph" w:customStyle="1" w:styleId="RPSdotpointbodytext">
    <w:name w:val="RPS dot point body text"/>
    <w:basedOn w:val="Normal"/>
    <w:rsid w:val="00460079"/>
    <w:pPr>
      <w:numPr>
        <w:numId w:val="7"/>
      </w:numPr>
      <w:spacing w:before="0" w:line="240" w:lineRule="auto"/>
    </w:pPr>
    <w:rPr>
      <w:rFonts w:ascii="Times New Roman" w:eastAsia="Times New Roman" w:hAnsi="Times New Roman" w:cs="Times New Roman"/>
      <w:color w:val="auto"/>
      <w:sz w:val="24"/>
      <w:szCs w:val="20"/>
      <w:lang w:eastAsia="en-AU"/>
    </w:rPr>
  </w:style>
  <w:style w:type="paragraph" w:customStyle="1" w:styleId="CoPRPSBodyTextnumeric">
    <w:name w:val="CoP RPS Body Text numeric"/>
    <w:basedOn w:val="Normal"/>
    <w:rsid w:val="00460079"/>
    <w:pPr>
      <w:numPr>
        <w:ilvl w:val="2"/>
        <w:numId w:val="5"/>
      </w:numPr>
      <w:spacing w:line="240" w:lineRule="auto"/>
      <w:jc w:val="both"/>
    </w:pPr>
    <w:rPr>
      <w:rFonts w:ascii="Georgia" w:eastAsia="Georgia" w:hAnsi="Georgia" w:cs="Times New Roman"/>
      <w:color w:val="auto"/>
      <w:sz w:val="24"/>
      <w:szCs w:val="20"/>
      <w:lang w:eastAsia="en-AU"/>
    </w:rPr>
  </w:style>
  <w:style w:type="paragraph" w:customStyle="1" w:styleId="CoPRPSSectionHeading2">
    <w:name w:val="CoP RPS Section Heading 2"/>
    <w:basedOn w:val="Normal"/>
    <w:rsid w:val="00460079"/>
    <w:pPr>
      <w:numPr>
        <w:ilvl w:val="1"/>
        <w:numId w:val="5"/>
      </w:numPr>
      <w:spacing w:line="240" w:lineRule="auto"/>
    </w:pPr>
    <w:rPr>
      <w:rFonts w:ascii="Georgia" w:eastAsia="Georgia" w:hAnsi="Georgia" w:cs="Times New Roman"/>
      <w:b/>
      <w:color w:val="auto"/>
      <w:sz w:val="28"/>
      <w:szCs w:val="20"/>
      <w:lang w:eastAsia="en-AU"/>
    </w:rPr>
  </w:style>
  <w:style w:type="paragraph" w:styleId="Index1">
    <w:name w:val="index 1"/>
    <w:basedOn w:val="Normal"/>
    <w:next w:val="Normal"/>
    <w:rsid w:val="00460079"/>
    <w:pPr>
      <w:spacing w:before="0" w:line="240" w:lineRule="auto"/>
      <w:ind w:left="240" w:hanging="240"/>
    </w:pPr>
    <w:rPr>
      <w:rFonts w:ascii="Times New Roman" w:eastAsia="Times New Roman" w:hAnsi="Times New Roman" w:cs="Times New Roman"/>
      <w:color w:val="auto"/>
      <w:sz w:val="20"/>
      <w:szCs w:val="20"/>
      <w:lang w:eastAsia="en-AU"/>
    </w:rPr>
  </w:style>
  <w:style w:type="paragraph" w:styleId="IndexHeading">
    <w:name w:val="index heading"/>
    <w:basedOn w:val="Normal"/>
    <w:next w:val="Index1"/>
    <w:rsid w:val="00460079"/>
    <w:pPr>
      <w:spacing w:before="120" w:after="120" w:line="240" w:lineRule="auto"/>
      <w:ind w:left="318" w:hanging="284"/>
    </w:pPr>
    <w:rPr>
      <w:rFonts w:ascii="Times New Roman" w:eastAsia="Times New Roman" w:hAnsi="Times New Roman" w:cs="Times New Roman"/>
      <w:b/>
      <w:i/>
      <w:color w:val="auto"/>
      <w:sz w:val="20"/>
      <w:szCs w:val="20"/>
      <w:lang w:eastAsia="en-AU"/>
    </w:rPr>
  </w:style>
  <w:style w:type="paragraph" w:customStyle="1" w:styleId="RPSAppendixText">
    <w:name w:val="RPS Appendix Text"/>
    <w:basedOn w:val="Normal"/>
    <w:rsid w:val="00460079"/>
    <w:pPr>
      <w:numPr>
        <w:ilvl w:val="1"/>
        <w:numId w:val="6"/>
      </w:numPr>
      <w:spacing w:before="0" w:line="240" w:lineRule="auto"/>
    </w:pPr>
    <w:rPr>
      <w:rFonts w:ascii="Georgia" w:eastAsia="Georgia" w:hAnsi="Georgia" w:cs="Times New Roman"/>
      <w:color w:val="auto"/>
      <w:szCs w:val="20"/>
      <w:lang w:eastAsia="en-AU"/>
    </w:rPr>
  </w:style>
  <w:style w:type="paragraph" w:styleId="CommentText">
    <w:name w:val="annotation text"/>
    <w:basedOn w:val="Normal"/>
    <w:link w:val="CommentTextChar"/>
    <w:rsid w:val="00460079"/>
    <w:pPr>
      <w:spacing w:before="0" w:line="240" w:lineRule="auto"/>
      <w:ind w:left="318" w:hanging="284"/>
    </w:pPr>
    <w:rPr>
      <w:rFonts w:ascii="Georgia" w:eastAsia="Georgia" w:hAnsi="Georgia" w:cs="Times New Roman"/>
      <w:color w:val="auto"/>
      <w:sz w:val="24"/>
      <w:szCs w:val="20"/>
      <w:lang w:eastAsia="en-AU"/>
    </w:rPr>
  </w:style>
  <w:style w:type="character" w:customStyle="1" w:styleId="CommentTextChar">
    <w:name w:val="Comment Text Char"/>
    <w:basedOn w:val="DefaultParagraphFont"/>
    <w:link w:val="CommentText"/>
    <w:rsid w:val="00460079"/>
    <w:rPr>
      <w:rFonts w:ascii="Georgia" w:eastAsia="Georgia" w:hAnsi="Georgia" w:cs="Times New Roman"/>
      <w:color w:val="auto"/>
      <w:sz w:val="24"/>
      <w:szCs w:val="20"/>
      <w:lang w:eastAsia="en-AU"/>
    </w:rPr>
  </w:style>
  <w:style w:type="paragraph" w:customStyle="1" w:styleId="RPSPublications">
    <w:name w:val="RPS Publications"/>
    <w:basedOn w:val="Normal"/>
    <w:rsid w:val="00460079"/>
    <w:pPr>
      <w:spacing w:before="0" w:line="240" w:lineRule="auto"/>
      <w:ind w:left="318" w:hanging="284"/>
    </w:pPr>
    <w:rPr>
      <w:rFonts w:ascii="Georgia" w:eastAsia="Georgia" w:hAnsi="Georgia" w:cs="Times New Roman"/>
      <w:color w:val="auto"/>
      <w:sz w:val="24"/>
      <w:szCs w:val="20"/>
      <w:lang w:eastAsia="en-AU"/>
    </w:rPr>
  </w:style>
  <w:style w:type="paragraph" w:customStyle="1" w:styleId="CM4">
    <w:name w:val="CM4"/>
    <w:basedOn w:val="Normal"/>
    <w:next w:val="Normal"/>
    <w:rsid w:val="00460079"/>
    <w:pPr>
      <w:widowControl w:val="0"/>
      <w:spacing w:before="0" w:line="276" w:lineRule="atLeast"/>
      <w:ind w:left="318" w:hanging="284"/>
    </w:pPr>
    <w:rPr>
      <w:rFonts w:ascii="Arial" w:eastAsia="Arial" w:hAnsi="Arial" w:cs="Times New Roman"/>
      <w:color w:val="auto"/>
      <w:sz w:val="24"/>
      <w:szCs w:val="20"/>
      <w:lang w:eastAsia="en-AU"/>
    </w:rPr>
  </w:style>
  <w:style w:type="paragraph" w:customStyle="1" w:styleId="RPSTitle">
    <w:name w:val="RPS Title"/>
    <w:basedOn w:val="Normal"/>
    <w:next w:val="Title"/>
    <w:rsid w:val="00460079"/>
    <w:pPr>
      <w:spacing w:before="0" w:line="240" w:lineRule="auto"/>
      <w:ind w:left="318" w:hanging="284"/>
      <w:jc w:val="right"/>
    </w:pPr>
    <w:rPr>
      <w:rFonts w:ascii="Arial Black" w:eastAsia="Arial Black" w:hAnsi="Arial Black" w:cs="Times New Roman"/>
      <w:color w:val="auto"/>
      <w:sz w:val="48"/>
      <w:szCs w:val="20"/>
      <w:lang w:eastAsia="en-AU"/>
    </w:rPr>
  </w:style>
  <w:style w:type="paragraph" w:styleId="HTMLPreformatted">
    <w:name w:val="HTML Preformatted"/>
    <w:basedOn w:val="Normal"/>
    <w:link w:val="HTMLPreformattedChar"/>
    <w:rsid w:val="00460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318" w:hanging="284"/>
    </w:pPr>
    <w:rPr>
      <w:rFonts w:ascii="Courier New" w:eastAsia="Courier New" w:hAnsi="Courier New" w:cs="Times New Roman"/>
      <w:color w:val="auto"/>
      <w:sz w:val="20"/>
      <w:szCs w:val="20"/>
      <w:lang w:eastAsia="en-AU"/>
    </w:rPr>
  </w:style>
  <w:style w:type="character" w:customStyle="1" w:styleId="HTMLPreformattedChar">
    <w:name w:val="HTML Preformatted Char"/>
    <w:basedOn w:val="DefaultParagraphFont"/>
    <w:link w:val="HTMLPreformatted"/>
    <w:rsid w:val="00460079"/>
    <w:rPr>
      <w:rFonts w:ascii="Courier New" w:eastAsia="Courier New" w:hAnsi="Courier New" w:cs="Times New Roman"/>
      <w:color w:val="auto"/>
      <w:sz w:val="20"/>
      <w:szCs w:val="20"/>
      <w:lang w:eastAsia="en-AU"/>
    </w:rPr>
  </w:style>
  <w:style w:type="paragraph" w:customStyle="1" w:styleId="CM2">
    <w:name w:val="CM2"/>
    <w:basedOn w:val="Normal"/>
    <w:next w:val="Normal"/>
    <w:rsid w:val="00460079"/>
    <w:pPr>
      <w:widowControl w:val="0"/>
      <w:spacing w:before="0" w:line="240" w:lineRule="atLeast"/>
      <w:ind w:left="318" w:hanging="284"/>
    </w:pPr>
    <w:rPr>
      <w:rFonts w:ascii="Times New Roman" w:eastAsia="Times New Roman" w:hAnsi="Times New Roman" w:cs="Times New Roman"/>
      <w:color w:val="auto"/>
      <w:sz w:val="24"/>
      <w:szCs w:val="20"/>
      <w:lang w:eastAsia="en-AU"/>
    </w:rPr>
  </w:style>
  <w:style w:type="paragraph" w:customStyle="1" w:styleId="CM5">
    <w:name w:val="CM5"/>
    <w:basedOn w:val="Normal"/>
    <w:next w:val="Normal"/>
    <w:rsid w:val="00460079"/>
    <w:pPr>
      <w:widowControl w:val="0"/>
      <w:spacing w:before="0" w:after="245" w:line="240" w:lineRule="auto"/>
      <w:ind w:left="318" w:hanging="284"/>
    </w:pPr>
    <w:rPr>
      <w:rFonts w:ascii="Times New Roman" w:eastAsia="Times New Roman" w:hAnsi="Times New Roman" w:cs="Times New Roman"/>
      <w:color w:val="auto"/>
      <w:sz w:val="24"/>
      <w:szCs w:val="20"/>
      <w:lang w:eastAsia="en-AU"/>
    </w:rPr>
  </w:style>
  <w:style w:type="paragraph" w:styleId="NormalWeb">
    <w:name w:val="Normal (Web)"/>
    <w:basedOn w:val="Normal"/>
    <w:rsid w:val="00460079"/>
    <w:pPr>
      <w:spacing w:before="100" w:beforeAutospacing="1" w:after="100" w:afterAutospacing="1" w:line="240" w:lineRule="auto"/>
      <w:ind w:left="318" w:hanging="284"/>
    </w:pPr>
    <w:rPr>
      <w:rFonts w:ascii="Times New Roman" w:eastAsia="Times New Roman" w:hAnsi="Times New Roman" w:cs="Times New Roman"/>
      <w:color w:val="auto"/>
      <w:sz w:val="24"/>
      <w:szCs w:val="20"/>
      <w:lang w:eastAsia="en-AU"/>
    </w:rPr>
  </w:style>
  <w:style w:type="paragraph" w:styleId="BodyText2">
    <w:name w:val="Body Text 2"/>
    <w:basedOn w:val="Normal"/>
    <w:link w:val="BodyText2Char"/>
    <w:rsid w:val="00460079"/>
    <w:pPr>
      <w:spacing w:before="0" w:line="240" w:lineRule="atLeast"/>
      <w:ind w:left="318" w:hanging="284"/>
    </w:pPr>
    <w:rPr>
      <w:rFonts w:ascii="Courier" w:eastAsia="Courier" w:hAnsi="Courier" w:cs="Times New Roman"/>
      <w:color w:val="000000"/>
      <w:sz w:val="18"/>
      <w:szCs w:val="20"/>
      <w:lang w:eastAsia="en-AU"/>
    </w:rPr>
  </w:style>
  <w:style w:type="character" w:customStyle="1" w:styleId="BodyText2Char">
    <w:name w:val="Body Text 2 Char"/>
    <w:basedOn w:val="DefaultParagraphFont"/>
    <w:link w:val="BodyText2"/>
    <w:rsid w:val="00460079"/>
    <w:rPr>
      <w:rFonts w:ascii="Courier" w:eastAsia="Courier" w:hAnsi="Courier" w:cs="Times New Roman"/>
      <w:color w:val="000000"/>
      <w:sz w:val="18"/>
      <w:szCs w:val="20"/>
      <w:lang w:eastAsia="en-AU"/>
    </w:rPr>
  </w:style>
  <w:style w:type="paragraph" w:styleId="BodyTextIndent3">
    <w:name w:val="Body Text Indent 3"/>
    <w:basedOn w:val="Normal"/>
    <w:link w:val="BodyTextIndent3Char"/>
    <w:rsid w:val="00460079"/>
    <w:pPr>
      <w:tabs>
        <w:tab w:val="left" w:pos="34"/>
        <w:tab w:val="left" w:pos="1026"/>
      </w:tabs>
      <w:spacing w:before="0" w:line="240" w:lineRule="auto"/>
      <w:ind w:left="34" w:hanging="34"/>
    </w:pPr>
    <w:rPr>
      <w:rFonts w:ascii="Times New Roman" w:eastAsia="Times New Roman" w:hAnsi="Times New Roman" w:cs="Times New Roman"/>
      <w:color w:val="auto"/>
      <w:sz w:val="20"/>
      <w:szCs w:val="20"/>
      <w:lang w:eastAsia="en-AU"/>
    </w:rPr>
  </w:style>
  <w:style w:type="character" w:customStyle="1" w:styleId="BodyTextIndent3Char">
    <w:name w:val="Body Text Indent 3 Char"/>
    <w:basedOn w:val="DefaultParagraphFont"/>
    <w:link w:val="BodyTextIndent3"/>
    <w:rsid w:val="00460079"/>
    <w:rPr>
      <w:rFonts w:ascii="Times New Roman" w:eastAsia="Times New Roman" w:hAnsi="Times New Roman" w:cs="Times New Roman"/>
      <w:color w:val="auto"/>
      <w:sz w:val="20"/>
      <w:szCs w:val="20"/>
      <w:lang w:eastAsia="en-AU"/>
    </w:rPr>
  </w:style>
  <w:style w:type="paragraph" w:styleId="BodyTextIndent2">
    <w:name w:val="Body Text Indent 2"/>
    <w:basedOn w:val="Normal"/>
    <w:link w:val="BodyTextIndent2Char"/>
    <w:rsid w:val="00460079"/>
    <w:pPr>
      <w:tabs>
        <w:tab w:val="left" w:pos="1440"/>
      </w:tabs>
      <w:spacing w:before="0" w:line="240" w:lineRule="auto"/>
      <w:ind w:left="601" w:hanging="601"/>
    </w:pPr>
    <w:rPr>
      <w:rFonts w:ascii="Times New Roman" w:eastAsia="Times New Roman" w:hAnsi="Times New Roman" w:cs="Times New Roman"/>
      <w:color w:val="auto"/>
      <w:sz w:val="20"/>
      <w:szCs w:val="20"/>
      <w:lang w:eastAsia="en-AU"/>
    </w:rPr>
  </w:style>
  <w:style w:type="character" w:customStyle="1" w:styleId="BodyTextIndent2Char">
    <w:name w:val="Body Text Indent 2 Char"/>
    <w:basedOn w:val="DefaultParagraphFont"/>
    <w:link w:val="BodyTextIndent2"/>
    <w:rsid w:val="00460079"/>
    <w:rPr>
      <w:rFonts w:ascii="Times New Roman" w:eastAsia="Times New Roman" w:hAnsi="Times New Roman" w:cs="Times New Roman"/>
      <w:color w:val="auto"/>
      <w:sz w:val="20"/>
      <w:szCs w:val="20"/>
      <w:lang w:eastAsia="en-AU"/>
    </w:rPr>
  </w:style>
  <w:style w:type="paragraph" w:styleId="BlockText">
    <w:name w:val="Block Text"/>
    <w:basedOn w:val="Normal"/>
    <w:rsid w:val="00460079"/>
    <w:pPr>
      <w:tabs>
        <w:tab w:val="left" w:pos="1440"/>
      </w:tabs>
      <w:spacing w:before="0" w:line="240" w:lineRule="auto"/>
      <w:ind w:left="720" w:right="2304" w:firstLine="432"/>
    </w:pPr>
    <w:rPr>
      <w:rFonts w:ascii="Times New Roman" w:eastAsia="Times New Roman" w:hAnsi="Times New Roman" w:cs="Times New Roman"/>
      <w:color w:val="auto"/>
      <w:sz w:val="20"/>
      <w:szCs w:val="20"/>
      <w:lang w:eastAsia="en-AU"/>
    </w:rPr>
  </w:style>
  <w:style w:type="paragraph" w:styleId="BodyTextIndent">
    <w:name w:val="Body Text Indent"/>
    <w:basedOn w:val="Normal"/>
    <w:link w:val="BodyTextIndentChar"/>
    <w:rsid w:val="00460079"/>
    <w:pPr>
      <w:spacing w:before="0" w:line="240" w:lineRule="auto"/>
      <w:ind w:left="1418" w:hanging="1418"/>
    </w:pPr>
    <w:rPr>
      <w:rFonts w:ascii="Times New Roman" w:eastAsia="Times New Roman" w:hAnsi="Times New Roman" w:cs="Times New Roman"/>
      <w:color w:val="auto"/>
      <w:sz w:val="20"/>
      <w:szCs w:val="20"/>
      <w:lang w:eastAsia="en-AU"/>
    </w:rPr>
  </w:style>
  <w:style w:type="character" w:customStyle="1" w:styleId="BodyTextIndentChar">
    <w:name w:val="Body Text Indent Char"/>
    <w:basedOn w:val="DefaultParagraphFont"/>
    <w:link w:val="BodyTextIndent"/>
    <w:rsid w:val="00460079"/>
    <w:rPr>
      <w:rFonts w:ascii="Times New Roman" w:eastAsia="Times New Roman" w:hAnsi="Times New Roman" w:cs="Times New Roman"/>
      <w:color w:val="auto"/>
      <w:sz w:val="20"/>
      <w:szCs w:val="20"/>
      <w:lang w:eastAsia="en-AU"/>
    </w:rPr>
  </w:style>
  <w:style w:type="paragraph" w:customStyle="1" w:styleId="OmniPage520">
    <w:name w:val="OmniPage #520"/>
    <w:basedOn w:val="Normal"/>
    <w:rsid w:val="00460079"/>
    <w:pPr>
      <w:tabs>
        <w:tab w:val="right" w:pos="3656"/>
      </w:tabs>
      <w:spacing w:before="0" w:line="240" w:lineRule="auto"/>
      <w:ind w:left="1695" w:hanging="284"/>
    </w:pPr>
    <w:rPr>
      <w:rFonts w:ascii="Arial" w:eastAsia="Arial" w:hAnsi="Arial" w:cs="Times New Roman"/>
      <w:color w:val="auto"/>
      <w:sz w:val="20"/>
      <w:szCs w:val="20"/>
      <w:lang w:eastAsia="en-AU"/>
    </w:rPr>
  </w:style>
  <w:style w:type="paragraph" w:customStyle="1" w:styleId="OmniPage519">
    <w:name w:val="OmniPage #519"/>
    <w:basedOn w:val="Normal"/>
    <w:rsid w:val="00460079"/>
    <w:pPr>
      <w:tabs>
        <w:tab w:val="right" w:pos="2231"/>
      </w:tabs>
      <w:spacing w:before="0" w:line="240" w:lineRule="auto"/>
      <w:ind w:left="1695" w:hanging="284"/>
      <w:jc w:val="center"/>
    </w:pPr>
    <w:rPr>
      <w:rFonts w:ascii="Arial" w:eastAsia="Arial" w:hAnsi="Arial" w:cs="Times New Roman"/>
      <w:color w:val="auto"/>
      <w:sz w:val="20"/>
      <w:szCs w:val="20"/>
      <w:lang w:eastAsia="en-AU"/>
    </w:rPr>
  </w:style>
  <w:style w:type="paragraph" w:customStyle="1" w:styleId="OmniPage518">
    <w:name w:val="OmniPage #518"/>
    <w:basedOn w:val="Normal"/>
    <w:rsid w:val="00460079"/>
    <w:pPr>
      <w:tabs>
        <w:tab w:val="right" w:pos="2321"/>
      </w:tabs>
      <w:spacing w:before="0" w:line="240" w:lineRule="auto"/>
      <w:ind w:left="1695" w:hanging="284"/>
      <w:jc w:val="center"/>
    </w:pPr>
    <w:rPr>
      <w:rFonts w:ascii="Arial" w:eastAsia="Arial" w:hAnsi="Arial" w:cs="Times New Roman"/>
      <w:color w:val="auto"/>
      <w:sz w:val="20"/>
      <w:szCs w:val="20"/>
      <w:lang w:eastAsia="en-AU"/>
    </w:rPr>
  </w:style>
  <w:style w:type="paragraph" w:customStyle="1" w:styleId="OmniPage516">
    <w:name w:val="OmniPage #516"/>
    <w:basedOn w:val="Normal"/>
    <w:rsid w:val="00460079"/>
    <w:pPr>
      <w:tabs>
        <w:tab w:val="right" w:pos="1916"/>
      </w:tabs>
      <w:spacing w:before="0" w:line="240" w:lineRule="auto"/>
      <w:ind w:left="1680" w:hanging="284"/>
      <w:jc w:val="center"/>
    </w:pPr>
    <w:rPr>
      <w:rFonts w:ascii="Arial" w:eastAsia="Arial" w:hAnsi="Arial" w:cs="Times New Roman"/>
      <w:color w:val="auto"/>
      <w:sz w:val="20"/>
      <w:szCs w:val="20"/>
      <w:lang w:eastAsia="en-AU"/>
    </w:rPr>
  </w:style>
  <w:style w:type="paragraph" w:customStyle="1" w:styleId="OmniPage266">
    <w:name w:val="OmniPage #266"/>
    <w:basedOn w:val="Normal"/>
    <w:rsid w:val="00460079"/>
    <w:pPr>
      <w:tabs>
        <w:tab w:val="right" w:pos="1057"/>
      </w:tabs>
      <w:spacing w:before="0" w:line="240" w:lineRule="auto"/>
      <w:ind w:left="1695" w:hanging="284"/>
    </w:pPr>
    <w:rPr>
      <w:rFonts w:ascii="Arial" w:eastAsia="Arial" w:hAnsi="Arial" w:cs="Times New Roman"/>
      <w:color w:val="auto"/>
      <w:sz w:val="20"/>
      <w:szCs w:val="20"/>
      <w:lang w:eastAsia="en-AU"/>
    </w:rPr>
  </w:style>
  <w:style w:type="paragraph" w:customStyle="1" w:styleId="OmniPage257">
    <w:name w:val="OmniPage #257"/>
    <w:basedOn w:val="Normal"/>
    <w:rsid w:val="00460079"/>
    <w:pPr>
      <w:spacing w:before="0" w:line="240" w:lineRule="auto"/>
      <w:ind w:left="1620" w:right="45" w:hanging="284"/>
      <w:jc w:val="both"/>
    </w:pPr>
    <w:rPr>
      <w:rFonts w:ascii="Arial" w:eastAsia="Arial" w:hAnsi="Arial" w:cs="Times New Roman"/>
      <w:color w:val="auto"/>
      <w:sz w:val="20"/>
      <w:szCs w:val="20"/>
      <w:lang w:eastAsia="en-AU"/>
    </w:rPr>
  </w:style>
  <w:style w:type="paragraph" w:customStyle="1" w:styleId="OmniPage12">
    <w:name w:val="OmniPage #12"/>
    <w:basedOn w:val="Normal"/>
    <w:rsid w:val="00460079"/>
    <w:pPr>
      <w:tabs>
        <w:tab w:val="left" w:pos="795"/>
        <w:tab w:val="right" w:pos="8589"/>
      </w:tabs>
      <w:spacing w:before="0" w:line="240" w:lineRule="auto"/>
      <w:ind w:left="2055" w:hanging="284"/>
      <w:jc w:val="both"/>
    </w:pPr>
    <w:rPr>
      <w:rFonts w:ascii="Arial" w:eastAsia="Arial" w:hAnsi="Arial" w:cs="Times New Roman"/>
      <w:color w:val="auto"/>
      <w:sz w:val="20"/>
      <w:szCs w:val="20"/>
      <w:lang w:eastAsia="en-AU"/>
    </w:rPr>
  </w:style>
  <w:style w:type="paragraph" w:customStyle="1" w:styleId="OmniPage11">
    <w:name w:val="OmniPage #11"/>
    <w:basedOn w:val="Normal"/>
    <w:rsid w:val="00460079"/>
    <w:pPr>
      <w:tabs>
        <w:tab w:val="left" w:pos="830"/>
      </w:tabs>
      <w:spacing w:before="0" w:line="240" w:lineRule="auto"/>
      <w:ind w:left="2400" w:right="45" w:hanging="345"/>
      <w:jc w:val="both"/>
    </w:pPr>
    <w:rPr>
      <w:rFonts w:ascii="Arial" w:eastAsia="Arial" w:hAnsi="Arial" w:cs="Times New Roman"/>
      <w:color w:val="auto"/>
      <w:sz w:val="20"/>
      <w:szCs w:val="20"/>
      <w:lang w:eastAsia="en-AU"/>
    </w:rPr>
  </w:style>
  <w:style w:type="paragraph" w:customStyle="1" w:styleId="OmniPage10">
    <w:name w:val="OmniPage #10"/>
    <w:basedOn w:val="Normal"/>
    <w:rsid w:val="00460079"/>
    <w:pPr>
      <w:tabs>
        <w:tab w:val="left" w:pos="780"/>
        <w:tab w:val="right" w:pos="8574"/>
      </w:tabs>
      <w:spacing w:before="0" w:line="240" w:lineRule="auto"/>
      <w:ind w:left="2070" w:hanging="284"/>
      <w:jc w:val="both"/>
    </w:pPr>
    <w:rPr>
      <w:rFonts w:ascii="Arial" w:eastAsia="Arial" w:hAnsi="Arial" w:cs="Times New Roman"/>
      <w:color w:val="auto"/>
      <w:sz w:val="20"/>
      <w:szCs w:val="20"/>
      <w:lang w:eastAsia="en-AU"/>
    </w:rPr>
  </w:style>
  <w:style w:type="paragraph" w:customStyle="1" w:styleId="OmniPage7">
    <w:name w:val="OmniPage #7"/>
    <w:basedOn w:val="Normal"/>
    <w:rsid w:val="00460079"/>
    <w:pPr>
      <w:tabs>
        <w:tab w:val="right" w:pos="3024"/>
      </w:tabs>
      <w:spacing w:before="0" w:line="240" w:lineRule="auto"/>
      <w:ind w:left="1695" w:hanging="284"/>
    </w:pPr>
    <w:rPr>
      <w:rFonts w:ascii="Arial" w:eastAsia="Arial" w:hAnsi="Arial" w:cs="Times New Roman"/>
      <w:color w:val="auto"/>
      <w:sz w:val="20"/>
      <w:szCs w:val="20"/>
      <w:lang w:eastAsia="en-AU"/>
    </w:rPr>
  </w:style>
  <w:style w:type="paragraph" w:customStyle="1" w:styleId="OmniPage5">
    <w:name w:val="OmniPage #5"/>
    <w:basedOn w:val="Normal"/>
    <w:rsid w:val="00460079"/>
    <w:pPr>
      <w:tabs>
        <w:tab w:val="right" w:pos="3024"/>
      </w:tabs>
      <w:spacing w:before="0" w:line="240" w:lineRule="auto"/>
      <w:ind w:left="1680" w:hanging="284"/>
    </w:pPr>
    <w:rPr>
      <w:rFonts w:ascii="Arial" w:eastAsia="Arial" w:hAnsi="Arial" w:cs="Times New Roman"/>
      <w:color w:val="auto"/>
      <w:sz w:val="20"/>
      <w:szCs w:val="20"/>
      <w:lang w:eastAsia="en-AU"/>
    </w:rPr>
  </w:style>
  <w:style w:type="paragraph" w:customStyle="1" w:styleId="OmniPage4">
    <w:name w:val="OmniPage #4"/>
    <w:basedOn w:val="Normal"/>
    <w:rsid w:val="00460079"/>
    <w:pPr>
      <w:spacing w:before="0" w:line="240" w:lineRule="auto"/>
      <w:ind w:left="1620" w:right="45" w:hanging="284"/>
      <w:jc w:val="both"/>
    </w:pPr>
    <w:rPr>
      <w:rFonts w:ascii="Arial" w:eastAsia="Arial" w:hAnsi="Arial" w:cs="Times New Roman"/>
      <w:color w:val="auto"/>
      <w:sz w:val="20"/>
      <w:szCs w:val="20"/>
      <w:lang w:eastAsia="en-AU"/>
    </w:rPr>
  </w:style>
  <w:style w:type="paragraph" w:customStyle="1" w:styleId="OmniPage3">
    <w:name w:val="OmniPage #3"/>
    <w:basedOn w:val="Normal"/>
    <w:rsid w:val="00460079"/>
    <w:pPr>
      <w:spacing w:before="0" w:line="240" w:lineRule="auto"/>
      <w:ind w:left="1620" w:right="180" w:hanging="284"/>
    </w:pPr>
    <w:rPr>
      <w:rFonts w:ascii="Arial" w:eastAsia="Arial" w:hAnsi="Arial" w:cs="Times New Roman"/>
      <w:color w:val="auto"/>
      <w:sz w:val="20"/>
      <w:szCs w:val="20"/>
      <w:lang w:eastAsia="en-AU"/>
    </w:rPr>
  </w:style>
  <w:style w:type="paragraph" w:styleId="BodyText">
    <w:name w:val="Body Text"/>
    <w:basedOn w:val="Normal"/>
    <w:link w:val="BodyTextChar"/>
    <w:rsid w:val="00460079"/>
    <w:pPr>
      <w:spacing w:before="0" w:line="240" w:lineRule="auto"/>
      <w:ind w:left="318" w:hanging="284"/>
      <w:jc w:val="both"/>
    </w:pPr>
    <w:rPr>
      <w:rFonts w:ascii="Times New Roman" w:eastAsia="Times New Roman" w:hAnsi="Times New Roman" w:cs="Times New Roman"/>
      <w:color w:val="auto"/>
      <w:szCs w:val="20"/>
      <w:lang w:eastAsia="en-AU"/>
    </w:rPr>
  </w:style>
  <w:style w:type="character" w:customStyle="1" w:styleId="BodyTextChar">
    <w:name w:val="Body Text Char"/>
    <w:basedOn w:val="DefaultParagraphFont"/>
    <w:link w:val="BodyText"/>
    <w:rsid w:val="00460079"/>
    <w:rPr>
      <w:rFonts w:ascii="Times New Roman" w:eastAsia="Times New Roman" w:hAnsi="Times New Roman" w:cs="Times New Roman"/>
      <w:color w:val="auto"/>
      <w:szCs w:val="20"/>
      <w:lang w:eastAsia="en-AU"/>
    </w:rPr>
  </w:style>
  <w:style w:type="paragraph" w:styleId="PlainText">
    <w:name w:val="Plain Text"/>
    <w:basedOn w:val="Normal"/>
    <w:link w:val="PlainTextChar"/>
    <w:rsid w:val="00460079"/>
    <w:pPr>
      <w:spacing w:before="0" w:line="240" w:lineRule="auto"/>
      <w:ind w:left="318" w:hanging="284"/>
    </w:pPr>
    <w:rPr>
      <w:rFonts w:ascii="Courier New" w:eastAsia="Courier New" w:hAnsi="Courier New" w:cs="Times New Roman"/>
      <w:color w:val="auto"/>
      <w:sz w:val="20"/>
      <w:szCs w:val="20"/>
      <w:lang w:eastAsia="en-AU"/>
    </w:rPr>
  </w:style>
  <w:style w:type="character" w:customStyle="1" w:styleId="PlainTextChar">
    <w:name w:val="Plain Text Char"/>
    <w:basedOn w:val="DefaultParagraphFont"/>
    <w:link w:val="PlainText"/>
    <w:rsid w:val="00460079"/>
    <w:rPr>
      <w:rFonts w:ascii="Courier New" w:eastAsia="Courier New" w:hAnsi="Courier New" w:cs="Times New Roman"/>
      <w:color w:val="auto"/>
      <w:sz w:val="20"/>
      <w:szCs w:val="20"/>
      <w:lang w:eastAsia="en-AU"/>
    </w:rPr>
  </w:style>
  <w:style w:type="paragraph" w:customStyle="1" w:styleId="CM1">
    <w:name w:val="CM1"/>
    <w:basedOn w:val="Default"/>
    <w:next w:val="Default"/>
    <w:rsid w:val="00460079"/>
    <w:pPr>
      <w:spacing w:line="276" w:lineRule="atLeast"/>
    </w:pPr>
    <w:rPr>
      <w:color w:val="auto"/>
    </w:rPr>
  </w:style>
  <w:style w:type="paragraph" w:customStyle="1" w:styleId="CM3">
    <w:name w:val="CM3"/>
    <w:basedOn w:val="Default"/>
    <w:next w:val="Default"/>
    <w:rsid w:val="00460079"/>
    <w:pPr>
      <w:spacing w:after="278"/>
    </w:pPr>
    <w:rPr>
      <w:color w:val="auto"/>
    </w:rPr>
  </w:style>
  <w:style w:type="paragraph" w:styleId="CommentSubject">
    <w:name w:val="annotation subject"/>
    <w:basedOn w:val="CommentText"/>
    <w:next w:val="CommentText"/>
    <w:link w:val="CommentSubjectChar"/>
    <w:rsid w:val="00460079"/>
    <w:rPr>
      <w:rFonts w:ascii="Times New Roman" w:eastAsia="Times New Roman" w:hAnsi="Times New Roman"/>
      <w:b/>
      <w:sz w:val="20"/>
    </w:rPr>
  </w:style>
  <w:style w:type="character" w:customStyle="1" w:styleId="CommentSubjectChar">
    <w:name w:val="Comment Subject Char"/>
    <w:basedOn w:val="CommentTextChar"/>
    <w:link w:val="CommentSubject"/>
    <w:rsid w:val="00460079"/>
    <w:rPr>
      <w:rFonts w:ascii="Times New Roman" w:eastAsia="Times New Roman" w:hAnsi="Times New Roman" w:cs="Times New Roman"/>
      <w:b/>
      <w:color w:val="auto"/>
      <w:sz w:val="20"/>
      <w:szCs w:val="20"/>
      <w:lang w:eastAsia="en-AU"/>
    </w:rPr>
  </w:style>
  <w:style w:type="paragraph" w:customStyle="1" w:styleId="RPSSchedAnnexText">
    <w:name w:val="RPS Sched/Annex Text"/>
    <w:basedOn w:val="RPSPublications"/>
    <w:rsid w:val="00460079"/>
    <w:pPr>
      <w:numPr>
        <w:ilvl w:val="2"/>
        <w:numId w:val="6"/>
      </w:numPr>
      <w:spacing w:before="120"/>
      <w:jc w:val="both"/>
    </w:pPr>
    <w:rPr>
      <w:sz w:val="22"/>
    </w:rPr>
  </w:style>
  <w:style w:type="paragraph" w:customStyle="1" w:styleId="RPSBodyText">
    <w:name w:val="RPS Body Text"/>
    <w:basedOn w:val="RPSPublications"/>
    <w:next w:val="BodyText"/>
    <w:rsid w:val="00460079"/>
    <w:pPr>
      <w:numPr>
        <w:ilvl w:val="2"/>
        <w:numId w:val="4"/>
      </w:numPr>
      <w:spacing w:before="240"/>
      <w:jc w:val="both"/>
    </w:pPr>
  </w:style>
  <w:style w:type="paragraph" w:customStyle="1" w:styleId="RPSSectionHeading2">
    <w:name w:val="RPS Section Heading 2"/>
    <w:basedOn w:val="RPSPublications"/>
    <w:next w:val="TOC2"/>
    <w:rsid w:val="00460079"/>
    <w:pPr>
      <w:keepNext/>
      <w:keepLines/>
      <w:numPr>
        <w:ilvl w:val="1"/>
        <w:numId w:val="4"/>
      </w:numPr>
      <w:spacing w:before="240"/>
      <w:jc w:val="both"/>
    </w:pPr>
    <w:rPr>
      <w:b/>
      <w:sz w:val="28"/>
    </w:rPr>
  </w:style>
  <w:style w:type="paragraph" w:customStyle="1" w:styleId="RPSSectionHeading">
    <w:name w:val="RPS Section Heading"/>
    <w:basedOn w:val="RPSPublications"/>
    <w:next w:val="TOC1"/>
    <w:rsid w:val="00460079"/>
    <w:pPr>
      <w:numPr>
        <w:numId w:val="5"/>
      </w:numPr>
      <w:jc w:val="both"/>
    </w:pPr>
    <w:rPr>
      <w:b/>
      <w:sz w:val="32"/>
    </w:rPr>
  </w:style>
  <w:style w:type="paragraph" w:customStyle="1" w:styleId="RPSForewordHeading">
    <w:name w:val="RPS Foreword Heading"/>
    <w:basedOn w:val="RPSPublications"/>
    <w:rsid w:val="00460079"/>
    <w:rPr>
      <w:b/>
      <w:sz w:val="32"/>
    </w:rPr>
  </w:style>
  <w:style w:type="paragraph" w:customStyle="1" w:styleId="RPSImprintPageText">
    <w:name w:val="RPS Imprint Page Text"/>
    <w:basedOn w:val="RPSPublications"/>
    <w:rsid w:val="00460079"/>
  </w:style>
  <w:style w:type="paragraph" w:customStyle="1" w:styleId="RPSTitlePageText">
    <w:name w:val="RPS Title Page Text"/>
    <w:basedOn w:val="RPSPublications"/>
    <w:rsid w:val="00460079"/>
    <w:pPr>
      <w:jc w:val="right"/>
    </w:pPr>
  </w:style>
  <w:style w:type="paragraph" w:customStyle="1" w:styleId="RPSTitlePubNo">
    <w:name w:val="RPS Title Pub No"/>
    <w:basedOn w:val="RPSPublications"/>
    <w:rsid w:val="00460079"/>
    <w:pPr>
      <w:jc w:val="right"/>
    </w:pPr>
    <w:rPr>
      <w:rFonts w:ascii="Arial Black" w:eastAsia="Arial Black" w:hAnsi="Arial Black"/>
      <w:sz w:val="32"/>
    </w:rPr>
  </w:style>
  <w:style w:type="paragraph" w:customStyle="1" w:styleId="ParaIndent">
    <w:name w:val="_ParaIndent"/>
    <w:basedOn w:val="BodyText"/>
    <w:link w:val="ParaIndentChar"/>
    <w:rsid w:val="00460079"/>
    <w:pPr>
      <w:spacing w:after="240" w:line="260" w:lineRule="atLeast"/>
      <w:ind w:left="1134" w:firstLine="0"/>
      <w:jc w:val="left"/>
    </w:pPr>
    <w:rPr>
      <w:rFonts w:ascii="Arial" w:eastAsia="Arial" w:hAnsi="Arial"/>
      <w:sz w:val="20"/>
    </w:rPr>
  </w:style>
  <w:style w:type="paragraph" w:customStyle="1" w:styleId="RPSBodyTextNumbered">
    <w:name w:val="RPS Body Text Numbered"/>
    <w:basedOn w:val="BodyText"/>
    <w:rsid w:val="00460079"/>
    <w:pPr>
      <w:numPr>
        <w:ilvl w:val="2"/>
        <w:numId w:val="3"/>
      </w:numPr>
      <w:spacing w:after="120"/>
    </w:pPr>
    <w:rPr>
      <w:rFonts w:ascii="Georgia" w:eastAsia="Georgia" w:hAnsi="Georgia"/>
      <w:sz w:val="24"/>
    </w:rPr>
  </w:style>
  <w:style w:type="paragraph" w:customStyle="1" w:styleId="RPSScheduleAnnexTextnonumbering">
    <w:name w:val="RPS Schedule Annex Text no numbering"/>
    <w:basedOn w:val="RPSSchedAnnexText"/>
    <w:rsid w:val="00460079"/>
    <w:pPr>
      <w:spacing w:before="240"/>
    </w:pPr>
    <w:rPr>
      <w:sz w:val="24"/>
    </w:rPr>
  </w:style>
  <w:style w:type="paragraph" w:customStyle="1" w:styleId="RPSBodytext-tables">
    <w:name w:val="RPS Body text  - tables"/>
    <w:basedOn w:val="RPSBodyText"/>
    <w:rsid w:val="00460079"/>
    <w:pPr>
      <w:spacing w:before="0"/>
      <w:jc w:val="left"/>
    </w:pPr>
    <w:rPr>
      <w:sz w:val="22"/>
    </w:rPr>
  </w:style>
  <w:style w:type="paragraph" w:customStyle="1" w:styleId="RPSBodyTextroman">
    <w:name w:val="RPS Body Text roman"/>
    <w:basedOn w:val="RPSBodyText"/>
    <w:rsid w:val="00460079"/>
    <w:pPr>
      <w:numPr>
        <w:ilvl w:val="4"/>
      </w:numPr>
      <w:spacing w:before="60"/>
    </w:pPr>
  </w:style>
  <w:style w:type="paragraph" w:customStyle="1" w:styleId="RPSBodyTextalpha">
    <w:name w:val="RPS Body Text alpha"/>
    <w:basedOn w:val="RPSBodyText"/>
    <w:rsid w:val="00460079"/>
    <w:pPr>
      <w:numPr>
        <w:ilvl w:val="3"/>
        <w:numId w:val="5"/>
      </w:numPr>
      <w:spacing w:before="120"/>
    </w:pPr>
  </w:style>
  <w:style w:type="paragraph" w:customStyle="1" w:styleId="RPSBodyText-nonumber">
    <w:name w:val="RPS Body Text - no number"/>
    <w:basedOn w:val="RPSBodyText"/>
    <w:rsid w:val="00460079"/>
  </w:style>
  <w:style w:type="paragraph" w:customStyle="1" w:styleId="SGHeading2">
    <w:name w:val="SG Heading 2"/>
    <w:basedOn w:val="RPSSectionHeading2"/>
    <w:next w:val="RPSSectionHeading2"/>
    <w:rsid w:val="00460079"/>
    <w:pPr>
      <w:tabs>
        <w:tab w:val="left" w:pos="851"/>
      </w:tabs>
      <w:ind w:left="851" w:hanging="851"/>
      <w:jc w:val="left"/>
    </w:pPr>
    <w:rPr>
      <w:sz w:val="24"/>
    </w:rPr>
  </w:style>
  <w:style w:type="paragraph" w:customStyle="1" w:styleId="SGSectionHeading">
    <w:name w:val="SG Section Heading"/>
    <w:basedOn w:val="RPSSectionHeading"/>
    <w:rsid w:val="00460079"/>
    <w:rPr>
      <w:sz w:val="24"/>
    </w:rPr>
  </w:style>
  <w:style w:type="paragraph" w:customStyle="1" w:styleId="RPSSchedAnnexHeading">
    <w:name w:val="RPS Sched/Annex Heading"/>
    <w:basedOn w:val="RPSForewordHeading"/>
    <w:rsid w:val="00460079"/>
    <w:pPr>
      <w:ind w:left="720" w:hanging="720"/>
      <w:jc w:val="both"/>
    </w:pPr>
    <w:rPr>
      <w:sz w:val="24"/>
    </w:rPr>
  </w:style>
  <w:style w:type="paragraph" w:customStyle="1" w:styleId="RPSContentsHeading">
    <w:name w:val="RPS Contents Heading"/>
    <w:basedOn w:val="RPSForewordHeading"/>
    <w:rsid w:val="00460079"/>
    <w:rPr>
      <w:sz w:val="24"/>
    </w:rPr>
  </w:style>
  <w:style w:type="paragraph" w:customStyle="1" w:styleId="ScheduleHeading2">
    <w:name w:val="Schedule Heading 2"/>
    <w:basedOn w:val="SGHeading2"/>
    <w:rsid w:val="00460079"/>
  </w:style>
  <w:style w:type="paragraph" w:customStyle="1" w:styleId="StyleSGSectionHeading12ptSmallcapsLeft0cmHanging1">
    <w:name w:val="Style SG Section Heading + 12 pt Small caps Left:  0 cm Hanging:...1"/>
    <w:basedOn w:val="SGSectionHeading"/>
    <w:rsid w:val="00460079"/>
    <w:pPr>
      <w:spacing w:before="240"/>
      <w:ind w:left="720" w:hanging="720"/>
    </w:pPr>
  </w:style>
  <w:style w:type="character" w:styleId="LineNumber">
    <w:name w:val="line number"/>
    <w:rsid w:val="00460079"/>
    <w:rPr>
      <w:sz w:val="24"/>
    </w:rPr>
  </w:style>
  <w:style w:type="character" w:styleId="Emphasis">
    <w:name w:val="Emphasis"/>
    <w:qFormat/>
    <w:rsid w:val="00460079"/>
    <w:rPr>
      <w:i/>
      <w:sz w:val="24"/>
    </w:rPr>
  </w:style>
  <w:style w:type="character" w:styleId="Strong">
    <w:name w:val="Strong"/>
    <w:qFormat/>
    <w:rsid w:val="00460079"/>
    <w:rPr>
      <w:b/>
      <w:sz w:val="24"/>
    </w:rPr>
  </w:style>
  <w:style w:type="character" w:styleId="CommentReference">
    <w:name w:val="annotation reference"/>
    <w:rsid w:val="00460079"/>
    <w:rPr>
      <w:sz w:val="16"/>
    </w:rPr>
  </w:style>
  <w:style w:type="character" w:customStyle="1" w:styleId="RPSPublicationsChar">
    <w:name w:val="RPS Publications Char"/>
    <w:rsid w:val="00460079"/>
    <w:rPr>
      <w:rFonts w:ascii="Georgia" w:eastAsia="Georgia" w:hAnsi="Georgia"/>
      <w:sz w:val="24"/>
    </w:rPr>
  </w:style>
  <w:style w:type="character" w:customStyle="1" w:styleId="RPSSchedAnnexTextChar">
    <w:name w:val="RPS Sched/Annex Text Char"/>
    <w:rsid w:val="00460079"/>
    <w:rPr>
      <w:rFonts w:ascii="Georgia" w:eastAsia="Georgia" w:hAnsi="Georgia"/>
      <w:sz w:val="22"/>
    </w:rPr>
  </w:style>
  <w:style w:type="character" w:customStyle="1" w:styleId="ParaIndentChar">
    <w:name w:val="_ParaIndent Char"/>
    <w:link w:val="ParaIndent"/>
    <w:rsid w:val="00460079"/>
    <w:rPr>
      <w:rFonts w:ascii="Arial" w:eastAsia="Arial" w:hAnsi="Arial" w:cs="Times New Roman"/>
      <w:color w:val="auto"/>
      <w:sz w:val="20"/>
      <w:szCs w:val="20"/>
      <w:lang w:eastAsia="en-AU"/>
    </w:rPr>
  </w:style>
  <w:style w:type="character" w:customStyle="1" w:styleId="apple-converted-space">
    <w:name w:val="apple-converted-space"/>
    <w:rsid w:val="00460079"/>
    <w:rPr>
      <w:sz w:val="24"/>
    </w:rPr>
  </w:style>
  <w:style w:type="character" w:styleId="PageNumber">
    <w:name w:val="page number"/>
    <w:rsid w:val="00460079"/>
    <w:rPr>
      <w:sz w:val="24"/>
    </w:rPr>
  </w:style>
  <w:style w:type="table" w:customStyle="1" w:styleId="TableNormal1">
    <w:name w:val="Table Normal1"/>
    <w:rsid w:val="00460079"/>
    <w:pPr>
      <w:spacing w:before="0" w:line="240" w:lineRule="auto"/>
    </w:pPr>
    <w:rPr>
      <w:rFonts w:ascii="Times New Roman" w:eastAsia="Times New Roman" w:hAnsi="Times New Roman" w:cs="Times New Roman"/>
      <w:color w:val="auto"/>
      <w:sz w:val="24"/>
      <w:szCs w:val="20"/>
      <w:lang w:eastAsia="en-AU"/>
    </w:rPr>
    <w:tblPr>
      <w:tblCellMar>
        <w:top w:w="0" w:type="dxa"/>
        <w:left w:w="108" w:type="dxa"/>
        <w:bottom w:w="0" w:type="dxa"/>
        <w:right w:w="108" w:type="dxa"/>
      </w:tblCellMar>
    </w:tblPr>
  </w:style>
  <w:style w:type="paragraph" w:styleId="Revision">
    <w:name w:val="Revision"/>
    <w:hidden/>
    <w:uiPriority w:val="99"/>
    <w:semiHidden/>
    <w:rsid w:val="00460079"/>
    <w:pPr>
      <w:spacing w:before="0" w:line="240" w:lineRule="auto"/>
    </w:pPr>
    <w:rPr>
      <w:rFonts w:ascii="Times New Roman" w:eastAsia="Times New Roman" w:hAnsi="Times New Roman" w:cs="Times New Roman"/>
      <w:color w:val="auto"/>
      <w:sz w:val="24"/>
      <w:szCs w:val="20"/>
      <w:lang w:eastAsia="en-AU"/>
    </w:rPr>
  </w:style>
  <w:style w:type="paragraph" w:customStyle="1" w:styleId="msonormal0">
    <w:name w:val="msonormal"/>
    <w:basedOn w:val="Normal"/>
    <w:rsid w:val="00E6414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font0">
    <w:name w:val="font0"/>
    <w:basedOn w:val="Normal"/>
    <w:rsid w:val="00E64147"/>
    <w:pPr>
      <w:spacing w:before="100" w:beforeAutospacing="1" w:after="100" w:afterAutospacing="1" w:line="240" w:lineRule="auto"/>
    </w:pPr>
    <w:rPr>
      <w:rFonts w:ascii="Calibri" w:eastAsia="Times New Roman" w:hAnsi="Calibri" w:cs="Calibri"/>
      <w:color w:val="000000"/>
      <w:lang w:eastAsia="en-AU"/>
    </w:rPr>
  </w:style>
  <w:style w:type="paragraph" w:customStyle="1" w:styleId="font5">
    <w:name w:val="font5"/>
    <w:basedOn w:val="Normal"/>
    <w:rsid w:val="00E64147"/>
    <w:pPr>
      <w:spacing w:before="100" w:beforeAutospacing="1" w:after="100" w:afterAutospacing="1" w:line="240" w:lineRule="auto"/>
    </w:pPr>
    <w:rPr>
      <w:rFonts w:ascii="Calibri" w:eastAsia="Times New Roman" w:hAnsi="Calibri" w:cs="Calibri"/>
      <w:b/>
      <w:bCs/>
      <w:color w:val="000000"/>
      <w:lang w:eastAsia="en-AU"/>
    </w:rPr>
  </w:style>
  <w:style w:type="paragraph" w:customStyle="1" w:styleId="xl65">
    <w:name w:val="xl65"/>
    <w:basedOn w:val="Normal"/>
    <w:rsid w:val="00E64147"/>
    <w:pPr>
      <w:spacing w:before="100" w:beforeAutospacing="1" w:after="100" w:afterAutospacing="1" w:line="240" w:lineRule="auto"/>
      <w:textAlignment w:val="top"/>
    </w:pPr>
    <w:rPr>
      <w:rFonts w:ascii="Times New Roman" w:eastAsia="Times New Roman" w:hAnsi="Times New Roman" w:cs="Times New Roman"/>
      <w:color w:val="auto"/>
      <w:sz w:val="24"/>
      <w:szCs w:val="24"/>
      <w:lang w:eastAsia="en-AU"/>
    </w:rPr>
  </w:style>
  <w:style w:type="paragraph" w:customStyle="1" w:styleId="xl66">
    <w:name w:val="xl66"/>
    <w:basedOn w:val="Normal"/>
    <w:rsid w:val="00E6414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xl67">
    <w:name w:val="xl67"/>
    <w:basedOn w:val="Normal"/>
    <w:rsid w:val="00E64147"/>
    <w:pPr>
      <w:spacing w:before="100" w:beforeAutospacing="1" w:after="100" w:afterAutospacing="1" w:line="240" w:lineRule="auto"/>
      <w:textAlignment w:val="top"/>
    </w:pPr>
    <w:rPr>
      <w:rFonts w:ascii="Times New Roman" w:eastAsia="Times New Roman" w:hAnsi="Times New Roman" w:cs="Times New Roman"/>
      <w:color w:val="auto"/>
      <w:sz w:val="24"/>
      <w:szCs w:val="24"/>
      <w:lang w:eastAsia="en-AU"/>
    </w:rPr>
  </w:style>
  <w:style w:type="paragraph" w:customStyle="1" w:styleId="xl68">
    <w:name w:val="xl68"/>
    <w:basedOn w:val="Normal"/>
    <w:rsid w:val="00E64147"/>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AU"/>
    </w:rPr>
  </w:style>
  <w:style w:type="paragraph" w:customStyle="1" w:styleId="xl69">
    <w:name w:val="xl69"/>
    <w:basedOn w:val="Normal"/>
    <w:rsid w:val="00E64147"/>
    <w:pP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lang w:eastAsia="en-AU"/>
    </w:rPr>
  </w:style>
  <w:style w:type="paragraph" w:customStyle="1" w:styleId="xl70">
    <w:name w:val="xl70"/>
    <w:basedOn w:val="Normal"/>
    <w:rsid w:val="00E64147"/>
    <w:pP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lang w:eastAsia="en-AU"/>
    </w:rPr>
  </w:style>
  <w:style w:type="paragraph" w:customStyle="1" w:styleId="xl71">
    <w:name w:val="xl71"/>
    <w:basedOn w:val="Normal"/>
    <w:rsid w:val="00E64147"/>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AU"/>
    </w:rPr>
  </w:style>
  <w:style w:type="paragraph" w:customStyle="1" w:styleId="xl72">
    <w:name w:val="xl72"/>
    <w:basedOn w:val="Normal"/>
    <w:rsid w:val="00E64147"/>
    <w:pPr>
      <w:shd w:val="clear" w:color="000000" w:fill="00B0F0"/>
      <w:spacing w:before="100" w:beforeAutospacing="1" w:after="100" w:afterAutospacing="1" w:line="240" w:lineRule="auto"/>
      <w:textAlignment w:val="top"/>
    </w:pPr>
    <w:rPr>
      <w:rFonts w:ascii="Times New Roman" w:eastAsia="Times New Roman" w:hAnsi="Times New Roman" w:cs="Times New Roman"/>
      <w:color w:val="auto"/>
      <w:sz w:val="24"/>
      <w:szCs w:val="24"/>
      <w:lang w:eastAsia="en-AU"/>
    </w:rPr>
  </w:style>
  <w:style w:type="paragraph" w:customStyle="1" w:styleId="xl73">
    <w:name w:val="xl73"/>
    <w:basedOn w:val="Normal"/>
    <w:rsid w:val="00E64147"/>
    <w:pPr>
      <w:shd w:val="clear" w:color="000000" w:fill="00B0F0"/>
      <w:spacing w:before="100" w:beforeAutospacing="1" w:after="100" w:afterAutospacing="1" w:line="240" w:lineRule="auto"/>
      <w:textAlignment w:val="top"/>
    </w:pPr>
    <w:rPr>
      <w:rFonts w:ascii="Times New Roman" w:eastAsia="Times New Roman" w:hAnsi="Times New Roman" w:cs="Times New Roman"/>
      <w:color w:val="auto"/>
      <w:sz w:val="24"/>
      <w:szCs w:val="24"/>
      <w:lang w:eastAsia="en-AU"/>
    </w:rPr>
  </w:style>
  <w:style w:type="paragraph" w:customStyle="1" w:styleId="xl74">
    <w:name w:val="xl74"/>
    <w:basedOn w:val="Normal"/>
    <w:rsid w:val="00E64147"/>
    <w:pPr>
      <w:shd w:val="clear" w:color="000000" w:fill="A9D08E"/>
      <w:spacing w:before="100" w:beforeAutospacing="1" w:after="100" w:afterAutospacing="1" w:line="240" w:lineRule="auto"/>
      <w:textAlignment w:val="top"/>
    </w:pPr>
    <w:rPr>
      <w:rFonts w:ascii="Times New Roman" w:eastAsia="Times New Roman" w:hAnsi="Times New Roman" w:cs="Times New Roman"/>
      <w:color w:val="auto"/>
      <w:sz w:val="24"/>
      <w:szCs w:val="24"/>
      <w:lang w:eastAsia="en-AU"/>
    </w:rPr>
  </w:style>
  <w:style w:type="paragraph" w:customStyle="1" w:styleId="xl75">
    <w:name w:val="xl75"/>
    <w:basedOn w:val="Normal"/>
    <w:rsid w:val="00E64147"/>
    <w:pPr>
      <w:shd w:val="clear" w:color="000000" w:fill="A9D08E"/>
      <w:spacing w:before="100" w:beforeAutospacing="1" w:after="100" w:afterAutospacing="1" w:line="240" w:lineRule="auto"/>
      <w:textAlignment w:val="top"/>
    </w:pPr>
    <w:rPr>
      <w:rFonts w:ascii="Times New Roman" w:eastAsia="Times New Roman" w:hAnsi="Times New Roman" w:cs="Times New Roman"/>
      <w:color w:val="auto"/>
      <w:sz w:val="24"/>
      <w:szCs w:val="24"/>
      <w:lang w:eastAsia="en-AU"/>
    </w:rPr>
  </w:style>
  <w:style w:type="paragraph" w:customStyle="1" w:styleId="xl76">
    <w:name w:val="xl76"/>
    <w:basedOn w:val="Normal"/>
    <w:rsid w:val="00E64147"/>
    <w:pPr>
      <w:shd w:val="clear" w:color="000000" w:fill="A9D08E"/>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AU"/>
    </w:rPr>
  </w:style>
  <w:style w:type="paragraph" w:customStyle="1" w:styleId="xl77">
    <w:name w:val="xl77"/>
    <w:basedOn w:val="Normal"/>
    <w:rsid w:val="00E64147"/>
    <w:pPr>
      <w:shd w:val="clear" w:color="000000" w:fill="A9D08E"/>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83573">
      <w:bodyDiv w:val="1"/>
      <w:marLeft w:val="0"/>
      <w:marRight w:val="0"/>
      <w:marTop w:val="0"/>
      <w:marBottom w:val="0"/>
      <w:divBdr>
        <w:top w:val="none" w:sz="0" w:space="0" w:color="auto"/>
        <w:left w:val="none" w:sz="0" w:space="0" w:color="auto"/>
        <w:bottom w:val="none" w:sz="0" w:space="0" w:color="auto"/>
        <w:right w:val="none" w:sz="0" w:space="0" w:color="auto"/>
      </w:divBdr>
    </w:div>
    <w:div w:id="679939208">
      <w:bodyDiv w:val="1"/>
      <w:marLeft w:val="0"/>
      <w:marRight w:val="0"/>
      <w:marTop w:val="0"/>
      <w:marBottom w:val="0"/>
      <w:divBdr>
        <w:top w:val="none" w:sz="0" w:space="0" w:color="auto"/>
        <w:left w:val="none" w:sz="0" w:space="0" w:color="auto"/>
        <w:bottom w:val="none" w:sz="0" w:space="0" w:color="auto"/>
        <w:right w:val="none" w:sz="0" w:space="0" w:color="auto"/>
      </w:divBdr>
    </w:div>
    <w:div w:id="872614133">
      <w:bodyDiv w:val="1"/>
      <w:marLeft w:val="0"/>
      <w:marRight w:val="0"/>
      <w:marTop w:val="0"/>
      <w:marBottom w:val="0"/>
      <w:divBdr>
        <w:top w:val="none" w:sz="0" w:space="0" w:color="auto"/>
        <w:left w:val="none" w:sz="0" w:space="0" w:color="auto"/>
        <w:bottom w:val="none" w:sz="0" w:space="0" w:color="auto"/>
        <w:right w:val="none" w:sz="0" w:space="0" w:color="auto"/>
      </w:divBdr>
    </w:div>
    <w:div w:id="1149402849">
      <w:bodyDiv w:val="1"/>
      <w:marLeft w:val="0"/>
      <w:marRight w:val="0"/>
      <w:marTop w:val="0"/>
      <w:marBottom w:val="0"/>
      <w:divBdr>
        <w:top w:val="none" w:sz="0" w:space="0" w:color="auto"/>
        <w:left w:val="none" w:sz="0" w:space="0" w:color="auto"/>
        <w:bottom w:val="none" w:sz="0" w:space="0" w:color="auto"/>
        <w:right w:val="none" w:sz="0" w:space="0" w:color="auto"/>
      </w:divBdr>
    </w:div>
    <w:div w:id="1361317684">
      <w:bodyDiv w:val="1"/>
      <w:marLeft w:val="0"/>
      <w:marRight w:val="0"/>
      <w:marTop w:val="0"/>
      <w:marBottom w:val="0"/>
      <w:divBdr>
        <w:top w:val="none" w:sz="0" w:space="0" w:color="auto"/>
        <w:left w:val="none" w:sz="0" w:space="0" w:color="auto"/>
        <w:bottom w:val="none" w:sz="0" w:space="0" w:color="auto"/>
        <w:right w:val="none" w:sz="0" w:space="0" w:color="auto"/>
      </w:divBdr>
    </w:div>
    <w:div w:id="1794245224">
      <w:bodyDiv w:val="1"/>
      <w:marLeft w:val="0"/>
      <w:marRight w:val="0"/>
      <w:marTop w:val="0"/>
      <w:marBottom w:val="0"/>
      <w:divBdr>
        <w:top w:val="none" w:sz="0" w:space="0" w:color="auto"/>
        <w:left w:val="none" w:sz="0" w:space="0" w:color="auto"/>
        <w:bottom w:val="none" w:sz="0" w:space="0" w:color="auto"/>
        <w:right w:val="none" w:sz="0" w:space="0" w:color="auto"/>
      </w:divBdr>
    </w:div>
    <w:div w:id="196623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A42D5B842AE4C892DA739655598A6" ma:contentTypeVersion="1" ma:contentTypeDescription="Create a new document." ma:contentTypeScope="" ma:versionID="e6d364a8dffbf82cc9bb214211b1627e">
  <xsd:schema xmlns:xsd="http://www.w3.org/2001/XMLSchema" xmlns:xs="http://www.w3.org/2001/XMLSchema" xmlns:p="http://schemas.microsoft.com/office/2006/metadata/properties" targetNamespace="http://schemas.microsoft.com/office/2006/metadata/properties" ma:root="true" ma:fieldsID="9e00cc5c0c78d02c72efbde02a14fc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7FC232E-9E33-4B87-AC2E-F662D1F43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142430-D138-487E-876B-79E8F150325D}">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96B73A-09D5-434C-8CE8-7F3CB8EA99FD}">
  <ds:schemaRefs>
    <ds:schemaRef ds:uri="http://schemas.microsoft.com/sharepoint/v3/contenttype/forms"/>
  </ds:schemaRefs>
</ds:datastoreItem>
</file>

<file path=customXml/itemProps4.xml><?xml version="1.0" encoding="utf-8"?>
<ds:datastoreItem xmlns:ds="http://schemas.openxmlformats.org/officeDocument/2006/customXml" ds:itemID="{51C27D58-68EE-41E9-BE07-3BB22B37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51</Pages>
  <Words>9129</Words>
  <Characters>52038</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Resolution of comments from stakeholder submissions</vt:lpstr>
    </vt:vector>
  </TitlesOfParts>
  <Company>ARPANSA</Company>
  <LinksUpToDate>false</LinksUpToDate>
  <CharactersWithSpaces>61045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from stakeholder submissions</dc:title>
  <dc:subject>Guide for Radiation Protection in Existing Exposure Situations (RPS G-2_</dc:subject>
  <dc:creator>ARPANSA</dc:creator>
  <cp:lastModifiedBy>Thomas Sammut</cp:lastModifiedBy>
  <cp:revision>23</cp:revision>
  <cp:lastPrinted>2017-07-06T01:41:00Z</cp:lastPrinted>
  <dcterms:created xsi:type="dcterms:W3CDTF">2019-05-22T07:01:00Z</dcterms:created>
  <dcterms:modified xsi:type="dcterms:W3CDTF">2019-05-23T05:11:00Z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0x0101000C9A42D5B842AE4C892DA739655598A6</vt:lpwstr>
  </property>
</Properties>
</file>