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F6ADF" w14:textId="77777777" w:rsidR="00E47D18" w:rsidRDefault="00E47D18" w:rsidP="009F3703">
      <w:pPr>
        <w:pStyle w:val="TOCHeading"/>
        <w:numPr>
          <w:ilvl w:val="0"/>
          <w:numId w:val="0"/>
        </w:numPr>
        <w:ind w:left="432" w:hanging="432"/>
        <w:rPr>
          <w:b/>
        </w:rPr>
        <w:sectPr w:rsidR="00E47D18" w:rsidSect="002356D6">
          <w:headerReference w:type="even" r:id="rId8"/>
          <w:headerReference w:type="default" r:id="rId9"/>
          <w:footerReference w:type="default" r:id="rId10"/>
          <w:headerReference w:type="first" r:id="rId11"/>
          <w:footerReference w:type="first" r:id="rId12"/>
          <w:pgSz w:w="11906" w:h="16838" w:code="9"/>
          <w:pgMar w:top="1134" w:right="1134" w:bottom="1134" w:left="1134" w:header="567" w:footer="567" w:gutter="0"/>
          <w:cols w:space="708"/>
          <w:titlePg/>
          <w:docGrid w:linePitch="360"/>
        </w:sectPr>
      </w:pPr>
    </w:p>
    <w:p w14:paraId="4FF6D8A8" w14:textId="765AB56F" w:rsidR="009F3703" w:rsidRPr="009F3703" w:rsidRDefault="00811D28" w:rsidP="009F3703">
      <w:pPr>
        <w:pStyle w:val="TOCHeading"/>
        <w:numPr>
          <w:ilvl w:val="0"/>
          <w:numId w:val="0"/>
        </w:numPr>
        <w:ind w:left="432" w:hanging="432"/>
        <w:rPr>
          <w:b/>
        </w:rPr>
      </w:pPr>
      <w:r w:rsidRPr="009F3703">
        <w:rPr>
          <w:b/>
        </w:rPr>
        <w:lastRenderedPageBreak/>
        <w:t>Contents</w:t>
      </w:r>
    </w:p>
    <w:p w14:paraId="4C949E2E" w14:textId="56F33DBF" w:rsidR="00B90361" w:rsidRDefault="009F3703">
      <w:pPr>
        <w:pStyle w:val="TOC1"/>
        <w:rPr>
          <w:rFonts w:eastAsiaTheme="minorEastAsia"/>
          <w:b w:val="0"/>
          <w:noProof/>
          <w:color w:val="auto"/>
          <w:lang w:eastAsia="en-AU"/>
        </w:rPr>
      </w:pPr>
      <w:r>
        <w:fldChar w:fldCharType="begin"/>
      </w:r>
      <w:r>
        <w:instrText xml:space="preserve"> TOC \o "1-2" \h \z \u </w:instrText>
      </w:r>
      <w:r>
        <w:fldChar w:fldCharType="separate"/>
      </w:r>
      <w:hyperlink w:anchor="_Toc492467942" w:history="1">
        <w:r w:rsidR="00B90361" w:rsidRPr="00BC08C6">
          <w:rPr>
            <w:rStyle w:val="Hyperlink"/>
            <w:noProof/>
          </w:rPr>
          <w:t>Executive Summary</w:t>
        </w:r>
        <w:r w:rsidR="00B90361">
          <w:rPr>
            <w:noProof/>
            <w:webHidden/>
          </w:rPr>
          <w:tab/>
        </w:r>
        <w:r w:rsidR="00B90361">
          <w:rPr>
            <w:noProof/>
            <w:webHidden/>
          </w:rPr>
          <w:fldChar w:fldCharType="begin"/>
        </w:r>
        <w:r w:rsidR="00B90361">
          <w:rPr>
            <w:noProof/>
            <w:webHidden/>
          </w:rPr>
          <w:instrText xml:space="preserve"> PAGEREF _Toc492467942 \h </w:instrText>
        </w:r>
        <w:r w:rsidR="00B90361">
          <w:rPr>
            <w:noProof/>
            <w:webHidden/>
          </w:rPr>
        </w:r>
        <w:r w:rsidR="00B90361">
          <w:rPr>
            <w:noProof/>
            <w:webHidden/>
          </w:rPr>
          <w:fldChar w:fldCharType="separate"/>
        </w:r>
        <w:r w:rsidR="00CD4715">
          <w:rPr>
            <w:noProof/>
            <w:webHidden/>
          </w:rPr>
          <w:t>3</w:t>
        </w:r>
        <w:r w:rsidR="00B90361">
          <w:rPr>
            <w:noProof/>
            <w:webHidden/>
          </w:rPr>
          <w:fldChar w:fldCharType="end"/>
        </w:r>
      </w:hyperlink>
    </w:p>
    <w:p w14:paraId="7C8523B9" w14:textId="5E386F21" w:rsidR="00B90361" w:rsidRDefault="00017917">
      <w:pPr>
        <w:pStyle w:val="TOC2"/>
        <w:rPr>
          <w:rFonts w:eastAsiaTheme="minorEastAsia"/>
          <w:color w:val="auto"/>
          <w:lang w:eastAsia="en-AU"/>
        </w:rPr>
      </w:pPr>
      <w:hyperlink w:anchor="_Toc492467943" w:history="1">
        <w:r w:rsidR="00B90361" w:rsidRPr="00BC08C6">
          <w:rPr>
            <w:rStyle w:val="Hyperlink"/>
          </w:rPr>
          <w:t>Summary of assessment</w:t>
        </w:r>
        <w:r w:rsidR="00B90361">
          <w:rPr>
            <w:webHidden/>
          </w:rPr>
          <w:tab/>
        </w:r>
        <w:r w:rsidR="00B90361">
          <w:rPr>
            <w:webHidden/>
          </w:rPr>
          <w:fldChar w:fldCharType="begin"/>
        </w:r>
        <w:r w:rsidR="00B90361">
          <w:rPr>
            <w:webHidden/>
          </w:rPr>
          <w:instrText xml:space="preserve"> PAGEREF _Toc492467943 \h </w:instrText>
        </w:r>
        <w:r w:rsidR="00B90361">
          <w:rPr>
            <w:webHidden/>
          </w:rPr>
        </w:r>
        <w:r w:rsidR="00B90361">
          <w:rPr>
            <w:webHidden/>
          </w:rPr>
          <w:fldChar w:fldCharType="separate"/>
        </w:r>
        <w:r w:rsidR="00CD4715">
          <w:rPr>
            <w:webHidden/>
          </w:rPr>
          <w:t>3</w:t>
        </w:r>
        <w:r w:rsidR="00B90361">
          <w:rPr>
            <w:webHidden/>
          </w:rPr>
          <w:fldChar w:fldCharType="end"/>
        </w:r>
      </w:hyperlink>
    </w:p>
    <w:p w14:paraId="1AB86852" w14:textId="0D5A5669" w:rsidR="00B90361" w:rsidRDefault="00017917">
      <w:pPr>
        <w:pStyle w:val="TOC2"/>
        <w:rPr>
          <w:rFonts w:eastAsiaTheme="minorEastAsia"/>
          <w:color w:val="auto"/>
          <w:lang w:eastAsia="en-AU"/>
        </w:rPr>
      </w:pPr>
      <w:hyperlink w:anchor="_Toc492467944" w:history="1">
        <w:r w:rsidR="00B90361" w:rsidRPr="00BC08C6">
          <w:rPr>
            <w:rStyle w:val="Hyperlink"/>
          </w:rPr>
          <w:t>Performance Improvement Actions Identified</w:t>
        </w:r>
        <w:r w:rsidR="00B90361">
          <w:rPr>
            <w:webHidden/>
          </w:rPr>
          <w:tab/>
        </w:r>
        <w:r w:rsidR="00B90361">
          <w:rPr>
            <w:webHidden/>
          </w:rPr>
          <w:fldChar w:fldCharType="begin"/>
        </w:r>
        <w:r w:rsidR="00B90361">
          <w:rPr>
            <w:webHidden/>
          </w:rPr>
          <w:instrText xml:space="preserve"> PAGEREF _Toc492467944 \h </w:instrText>
        </w:r>
        <w:r w:rsidR="00B90361">
          <w:rPr>
            <w:webHidden/>
          </w:rPr>
        </w:r>
        <w:r w:rsidR="00B90361">
          <w:rPr>
            <w:webHidden/>
          </w:rPr>
          <w:fldChar w:fldCharType="separate"/>
        </w:r>
        <w:r w:rsidR="00CD4715">
          <w:rPr>
            <w:webHidden/>
          </w:rPr>
          <w:t>4</w:t>
        </w:r>
        <w:r w:rsidR="00B90361">
          <w:rPr>
            <w:webHidden/>
          </w:rPr>
          <w:fldChar w:fldCharType="end"/>
        </w:r>
      </w:hyperlink>
    </w:p>
    <w:p w14:paraId="2F86CBDC" w14:textId="057831C3" w:rsidR="00B90361" w:rsidRDefault="00017917">
      <w:pPr>
        <w:pStyle w:val="TOC1"/>
        <w:tabs>
          <w:tab w:val="left" w:pos="567"/>
        </w:tabs>
        <w:rPr>
          <w:rFonts w:eastAsiaTheme="minorEastAsia"/>
          <w:b w:val="0"/>
          <w:noProof/>
          <w:color w:val="auto"/>
          <w:lang w:eastAsia="en-AU"/>
        </w:rPr>
      </w:pPr>
      <w:hyperlink w:anchor="_Toc492467945" w:history="1">
        <w:r w:rsidR="00B90361" w:rsidRPr="00BC08C6">
          <w:rPr>
            <w:rStyle w:val="Hyperlink"/>
            <w:noProof/>
          </w:rPr>
          <w:t>1</w:t>
        </w:r>
        <w:r w:rsidR="00B90361">
          <w:rPr>
            <w:rFonts w:eastAsiaTheme="minorEastAsia"/>
            <w:b w:val="0"/>
            <w:noProof/>
            <w:color w:val="auto"/>
            <w:lang w:eastAsia="en-AU"/>
          </w:rPr>
          <w:tab/>
        </w:r>
        <w:r w:rsidR="00B90361" w:rsidRPr="00BC08C6">
          <w:rPr>
            <w:rStyle w:val="Hyperlink"/>
            <w:noProof/>
          </w:rPr>
          <w:t>Introduction</w:t>
        </w:r>
        <w:r w:rsidR="00B90361">
          <w:rPr>
            <w:noProof/>
            <w:webHidden/>
          </w:rPr>
          <w:tab/>
        </w:r>
        <w:r w:rsidR="00B90361">
          <w:rPr>
            <w:noProof/>
            <w:webHidden/>
          </w:rPr>
          <w:fldChar w:fldCharType="begin"/>
        </w:r>
        <w:r w:rsidR="00B90361">
          <w:rPr>
            <w:noProof/>
            <w:webHidden/>
          </w:rPr>
          <w:instrText xml:space="preserve"> PAGEREF _Toc492467945 \h </w:instrText>
        </w:r>
        <w:r w:rsidR="00B90361">
          <w:rPr>
            <w:noProof/>
            <w:webHidden/>
          </w:rPr>
        </w:r>
        <w:r w:rsidR="00B90361">
          <w:rPr>
            <w:noProof/>
            <w:webHidden/>
          </w:rPr>
          <w:fldChar w:fldCharType="separate"/>
        </w:r>
        <w:r w:rsidR="00CD4715">
          <w:rPr>
            <w:noProof/>
            <w:webHidden/>
          </w:rPr>
          <w:t>6</w:t>
        </w:r>
        <w:r w:rsidR="00B90361">
          <w:rPr>
            <w:noProof/>
            <w:webHidden/>
          </w:rPr>
          <w:fldChar w:fldCharType="end"/>
        </w:r>
      </w:hyperlink>
    </w:p>
    <w:p w14:paraId="614787FE" w14:textId="4B8D8B94" w:rsidR="00B90361" w:rsidRDefault="00017917">
      <w:pPr>
        <w:pStyle w:val="TOC2"/>
        <w:rPr>
          <w:rFonts w:eastAsiaTheme="minorEastAsia"/>
          <w:color w:val="auto"/>
          <w:lang w:eastAsia="en-AU"/>
        </w:rPr>
      </w:pPr>
      <w:hyperlink w:anchor="_Toc492467946" w:history="1">
        <w:r w:rsidR="00B90361" w:rsidRPr="00BC08C6">
          <w:rPr>
            <w:rStyle w:val="Hyperlink"/>
          </w:rPr>
          <w:t>1.1</w:t>
        </w:r>
        <w:r w:rsidR="00B90361">
          <w:rPr>
            <w:rFonts w:eastAsiaTheme="minorEastAsia"/>
            <w:color w:val="auto"/>
            <w:lang w:eastAsia="en-AU"/>
          </w:rPr>
          <w:tab/>
        </w:r>
        <w:r w:rsidR="00B90361" w:rsidRPr="00BC08C6">
          <w:rPr>
            <w:rStyle w:val="Hyperlink"/>
          </w:rPr>
          <w:t>The Agency</w:t>
        </w:r>
        <w:r w:rsidR="00B90361">
          <w:rPr>
            <w:webHidden/>
          </w:rPr>
          <w:tab/>
        </w:r>
        <w:r w:rsidR="00B90361">
          <w:rPr>
            <w:webHidden/>
          </w:rPr>
          <w:fldChar w:fldCharType="begin"/>
        </w:r>
        <w:r w:rsidR="00B90361">
          <w:rPr>
            <w:webHidden/>
          </w:rPr>
          <w:instrText xml:space="preserve"> PAGEREF _Toc492467946 \h </w:instrText>
        </w:r>
        <w:r w:rsidR="00B90361">
          <w:rPr>
            <w:webHidden/>
          </w:rPr>
        </w:r>
        <w:r w:rsidR="00B90361">
          <w:rPr>
            <w:webHidden/>
          </w:rPr>
          <w:fldChar w:fldCharType="separate"/>
        </w:r>
        <w:r w:rsidR="00CD4715">
          <w:rPr>
            <w:webHidden/>
          </w:rPr>
          <w:t>6</w:t>
        </w:r>
        <w:r w:rsidR="00B90361">
          <w:rPr>
            <w:webHidden/>
          </w:rPr>
          <w:fldChar w:fldCharType="end"/>
        </w:r>
      </w:hyperlink>
    </w:p>
    <w:p w14:paraId="103909A5" w14:textId="2E97D1C7" w:rsidR="00B90361" w:rsidRDefault="00017917">
      <w:pPr>
        <w:pStyle w:val="TOC2"/>
        <w:rPr>
          <w:rFonts w:eastAsiaTheme="minorEastAsia"/>
          <w:color w:val="auto"/>
          <w:lang w:eastAsia="en-AU"/>
        </w:rPr>
      </w:pPr>
      <w:hyperlink w:anchor="_Toc492467947" w:history="1">
        <w:r w:rsidR="00B90361" w:rsidRPr="00BC08C6">
          <w:rPr>
            <w:rStyle w:val="Hyperlink"/>
          </w:rPr>
          <w:t>1.2</w:t>
        </w:r>
        <w:r w:rsidR="00B90361">
          <w:rPr>
            <w:rFonts w:eastAsiaTheme="minorEastAsia"/>
            <w:color w:val="auto"/>
            <w:lang w:eastAsia="en-AU"/>
          </w:rPr>
          <w:tab/>
        </w:r>
        <w:r w:rsidR="00B90361" w:rsidRPr="00BC08C6">
          <w:rPr>
            <w:rStyle w:val="Hyperlink"/>
          </w:rPr>
          <w:t>The Report</w:t>
        </w:r>
        <w:r w:rsidR="00B90361">
          <w:rPr>
            <w:webHidden/>
          </w:rPr>
          <w:tab/>
        </w:r>
        <w:r w:rsidR="00B90361">
          <w:rPr>
            <w:webHidden/>
          </w:rPr>
          <w:fldChar w:fldCharType="begin"/>
        </w:r>
        <w:r w:rsidR="00B90361">
          <w:rPr>
            <w:webHidden/>
          </w:rPr>
          <w:instrText xml:space="preserve"> PAGEREF _Toc492467947 \h </w:instrText>
        </w:r>
        <w:r w:rsidR="00B90361">
          <w:rPr>
            <w:webHidden/>
          </w:rPr>
        </w:r>
        <w:r w:rsidR="00B90361">
          <w:rPr>
            <w:webHidden/>
          </w:rPr>
          <w:fldChar w:fldCharType="separate"/>
        </w:r>
        <w:r w:rsidR="00CD4715">
          <w:rPr>
            <w:webHidden/>
          </w:rPr>
          <w:t>7</w:t>
        </w:r>
        <w:r w:rsidR="00B90361">
          <w:rPr>
            <w:webHidden/>
          </w:rPr>
          <w:fldChar w:fldCharType="end"/>
        </w:r>
      </w:hyperlink>
    </w:p>
    <w:p w14:paraId="7733C7C5" w14:textId="67304F51" w:rsidR="00B90361" w:rsidRDefault="00017917">
      <w:pPr>
        <w:pStyle w:val="TOC2"/>
        <w:rPr>
          <w:rFonts w:eastAsiaTheme="minorEastAsia"/>
          <w:color w:val="auto"/>
          <w:lang w:eastAsia="en-AU"/>
        </w:rPr>
      </w:pPr>
      <w:hyperlink w:anchor="_Toc492467948" w:history="1">
        <w:r w:rsidR="00B90361" w:rsidRPr="00BC08C6">
          <w:rPr>
            <w:rStyle w:val="Hyperlink"/>
          </w:rPr>
          <w:t>1.3</w:t>
        </w:r>
        <w:r w:rsidR="00B90361">
          <w:rPr>
            <w:rFonts w:eastAsiaTheme="minorEastAsia"/>
            <w:color w:val="auto"/>
            <w:lang w:eastAsia="en-AU"/>
          </w:rPr>
          <w:tab/>
        </w:r>
        <w:r w:rsidR="00B90361" w:rsidRPr="00BC08C6">
          <w:rPr>
            <w:rStyle w:val="Hyperlink"/>
          </w:rPr>
          <w:t>Methodology</w:t>
        </w:r>
        <w:r w:rsidR="00B90361">
          <w:rPr>
            <w:webHidden/>
          </w:rPr>
          <w:tab/>
        </w:r>
        <w:r w:rsidR="00B90361">
          <w:rPr>
            <w:webHidden/>
          </w:rPr>
          <w:fldChar w:fldCharType="begin"/>
        </w:r>
        <w:r w:rsidR="00B90361">
          <w:rPr>
            <w:webHidden/>
          </w:rPr>
          <w:instrText xml:space="preserve"> PAGEREF _Toc492467948 \h </w:instrText>
        </w:r>
        <w:r w:rsidR="00B90361">
          <w:rPr>
            <w:webHidden/>
          </w:rPr>
        </w:r>
        <w:r w:rsidR="00B90361">
          <w:rPr>
            <w:webHidden/>
          </w:rPr>
          <w:fldChar w:fldCharType="separate"/>
        </w:r>
        <w:r w:rsidR="00CD4715">
          <w:rPr>
            <w:webHidden/>
          </w:rPr>
          <w:t>8</w:t>
        </w:r>
        <w:r w:rsidR="00B90361">
          <w:rPr>
            <w:webHidden/>
          </w:rPr>
          <w:fldChar w:fldCharType="end"/>
        </w:r>
      </w:hyperlink>
    </w:p>
    <w:p w14:paraId="1883BFB0" w14:textId="4BFC4FB7" w:rsidR="00B90361" w:rsidRDefault="00017917">
      <w:pPr>
        <w:pStyle w:val="TOC1"/>
        <w:tabs>
          <w:tab w:val="left" w:pos="567"/>
        </w:tabs>
        <w:rPr>
          <w:rFonts w:eastAsiaTheme="minorEastAsia"/>
          <w:b w:val="0"/>
          <w:noProof/>
          <w:color w:val="auto"/>
          <w:lang w:eastAsia="en-AU"/>
        </w:rPr>
      </w:pPr>
      <w:hyperlink w:anchor="_Toc492467949" w:history="1">
        <w:r w:rsidR="00B90361" w:rsidRPr="00BC08C6">
          <w:rPr>
            <w:rStyle w:val="Hyperlink"/>
            <w:noProof/>
          </w:rPr>
          <w:t>2</w:t>
        </w:r>
        <w:r w:rsidR="00B90361">
          <w:rPr>
            <w:rFonts w:eastAsiaTheme="minorEastAsia"/>
            <w:b w:val="0"/>
            <w:noProof/>
            <w:color w:val="auto"/>
            <w:lang w:eastAsia="en-AU"/>
          </w:rPr>
          <w:tab/>
        </w:r>
        <w:r w:rsidR="00B90361" w:rsidRPr="00BC08C6">
          <w:rPr>
            <w:rStyle w:val="Hyperlink"/>
            <w:noProof/>
          </w:rPr>
          <w:t>Performance Assessment</w:t>
        </w:r>
        <w:r w:rsidR="00B90361">
          <w:rPr>
            <w:noProof/>
            <w:webHidden/>
          </w:rPr>
          <w:tab/>
        </w:r>
        <w:r w:rsidR="00B90361">
          <w:rPr>
            <w:noProof/>
            <w:webHidden/>
          </w:rPr>
          <w:fldChar w:fldCharType="begin"/>
        </w:r>
        <w:r w:rsidR="00B90361">
          <w:rPr>
            <w:noProof/>
            <w:webHidden/>
          </w:rPr>
          <w:instrText xml:space="preserve"> PAGEREF _Toc492467949 \h </w:instrText>
        </w:r>
        <w:r w:rsidR="00B90361">
          <w:rPr>
            <w:noProof/>
            <w:webHidden/>
          </w:rPr>
        </w:r>
        <w:r w:rsidR="00B90361">
          <w:rPr>
            <w:noProof/>
            <w:webHidden/>
          </w:rPr>
          <w:fldChar w:fldCharType="separate"/>
        </w:r>
        <w:r w:rsidR="00CD4715">
          <w:rPr>
            <w:noProof/>
            <w:webHidden/>
          </w:rPr>
          <w:t>9</w:t>
        </w:r>
        <w:r w:rsidR="00B90361">
          <w:rPr>
            <w:noProof/>
            <w:webHidden/>
          </w:rPr>
          <w:fldChar w:fldCharType="end"/>
        </w:r>
      </w:hyperlink>
    </w:p>
    <w:p w14:paraId="115D84CD" w14:textId="54B0C345" w:rsidR="00B90361" w:rsidRDefault="00017917">
      <w:pPr>
        <w:pStyle w:val="TOC2"/>
        <w:rPr>
          <w:rFonts w:eastAsiaTheme="minorEastAsia"/>
          <w:color w:val="auto"/>
          <w:lang w:eastAsia="en-AU"/>
        </w:rPr>
      </w:pPr>
      <w:hyperlink w:anchor="_Toc492467950" w:history="1">
        <w:r w:rsidR="00B90361" w:rsidRPr="00BC08C6">
          <w:rPr>
            <w:rStyle w:val="Hyperlink"/>
            <w:lang w:eastAsia="en-AU"/>
          </w:rPr>
          <w:t>2.1</w:t>
        </w:r>
        <w:r w:rsidR="00B90361">
          <w:rPr>
            <w:rFonts w:eastAsiaTheme="minorEastAsia"/>
            <w:color w:val="auto"/>
            <w:lang w:eastAsia="en-AU"/>
          </w:rPr>
          <w:tab/>
        </w:r>
        <w:r w:rsidR="00B90361" w:rsidRPr="00BC08C6">
          <w:rPr>
            <w:rStyle w:val="Hyperlink"/>
            <w:lang w:eastAsia="en-AU"/>
          </w:rPr>
          <w:t>KPI 1 – Regulators do not unnecessarily impede the efficient operation of regulated entities</w:t>
        </w:r>
        <w:r w:rsidR="00B90361">
          <w:rPr>
            <w:webHidden/>
          </w:rPr>
          <w:tab/>
        </w:r>
        <w:r w:rsidR="00B90361">
          <w:rPr>
            <w:webHidden/>
          </w:rPr>
          <w:fldChar w:fldCharType="begin"/>
        </w:r>
        <w:r w:rsidR="00B90361">
          <w:rPr>
            <w:webHidden/>
          </w:rPr>
          <w:instrText xml:space="preserve"> PAGEREF _Toc492467950 \h </w:instrText>
        </w:r>
        <w:r w:rsidR="00B90361">
          <w:rPr>
            <w:webHidden/>
          </w:rPr>
        </w:r>
        <w:r w:rsidR="00B90361">
          <w:rPr>
            <w:webHidden/>
          </w:rPr>
          <w:fldChar w:fldCharType="separate"/>
        </w:r>
        <w:r w:rsidR="00CD4715">
          <w:rPr>
            <w:webHidden/>
          </w:rPr>
          <w:t>9</w:t>
        </w:r>
        <w:r w:rsidR="00B90361">
          <w:rPr>
            <w:webHidden/>
          </w:rPr>
          <w:fldChar w:fldCharType="end"/>
        </w:r>
      </w:hyperlink>
    </w:p>
    <w:p w14:paraId="4BBC7959" w14:textId="5FAA1EE2" w:rsidR="00B90361" w:rsidRDefault="00017917">
      <w:pPr>
        <w:pStyle w:val="TOC2"/>
        <w:rPr>
          <w:rFonts w:eastAsiaTheme="minorEastAsia"/>
          <w:color w:val="auto"/>
          <w:lang w:eastAsia="en-AU"/>
        </w:rPr>
      </w:pPr>
      <w:hyperlink w:anchor="_Toc492467951" w:history="1">
        <w:r w:rsidR="00B90361" w:rsidRPr="00BC08C6">
          <w:rPr>
            <w:rStyle w:val="Hyperlink"/>
            <w:lang w:eastAsia="en-AU"/>
          </w:rPr>
          <w:t>2.2</w:t>
        </w:r>
        <w:r w:rsidR="00B90361">
          <w:rPr>
            <w:rFonts w:eastAsiaTheme="minorEastAsia"/>
            <w:color w:val="auto"/>
            <w:lang w:eastAsia="en-AU"/>
          </w:rPr>
          <w:tab/>
        </w:r>
        <w:r w:rsidR="00B90361" w:rsidRPr="00BC08C6">
          <w:rPr>
            <w:rStyle w:val="Hyperlink"/>
            <w:lang w:eastAsia="en-AU"/>
          </w:rPr>
          <w:t>KPI 2 – Communication with regulated entities is clear, targeted and effective</w:t>
        </w:r>
        <w:r w:rsidR="00B90361">
          <w:rPr>
            <w:webHidden/>
          </w:rPr>
          <w:tab/>
        </w:r>
        <w:r w:rsidR="00B90361">
          <w:rPr>
            <w:webHidden/>
          </w:rPr>
          <w:fldChar w:fldCharType="begin"/>
        </w:r>
        <w:r w:rsidR="00B90361">
          <w:rPr>
            <w:webHidden/>
          </w:rPr>
          <w:instrText xml:space="preserve"> PAGEREF _Toc492467951 \h </w:instrText>
        </w:r>
        <w:r w:rsidR="00B90361">
          <w:rPr>
            <w:webHidden/>
          </w:rPr>
        </w:r>
        <w:r w:rsidR="00B90361">
          <w:rPr>
            <w:webHidden/>
          </w:rPr>
          <w:fldChar w:fldCharType="separate"/>
        </w:r>
        <w:r w:rsidR="00CD4715">
          <w:rPr>
            <w:webHidden/>
          </w:rPr>
          <w:t>14</w:t>
        </w:r>
        <w:r w:rsidR="00B90361">
          <w:rPr>
            <w:webHidden/>
          </w:rPr>
          <w:fldChar w:fldCharType="end"/>
        </w:r>
      </w:hyperlink>
    </w:p>
    <w:p w14:paraId="1888331C" w14:textId="0297A661" w:rsidR="00B90361" w:rsidRDefault="00017917">
      <w:pPr>
        <w:pStyle w:val="TOC2"/>
        <w:rPr>
          <w:rFonts w:eastAsiaTheme="minorEastAsia"/>
          <w:color w:val="auto"/>
          <w:lang w:eastAsia="en-AU"/>
        </w:rPr>
      </w:pPr>
      <w:hyperlink w:anchor="_Toc492467952" w:history="1">
        <w:r w:rsidR="00B90361" w:rsidRPr="00BC08C6">
          <w:rPr>
            <w:rStyle w:val="Hyperlink"/>
            <w:lang w:eastAsia="en-AU"/>
          </w:rPr>
          <w:t>2.3</w:t>
        </w:r>
        <w:r w:rsidR="00B90361">
          <w:rPr>
            <w:rFonts w:eastAsiaTheme="minorEastAsia"/>
            <w:color w:val="auto"/>
            <w:lang w:eastAsia="en-AU"/>
          </w:rPr>
          <w:tab/>
        </w:r>
        <w:r w:rsidR="00B90361" w:rsidRPr="00BC08C6">
          <w:rPr>
            <w:rStyle w:val="Hyperlink"/>
            <w:lang w:eastAsia="en-AU"/>
          </w:rPr>
          <w:t>KPI 3 – Actions undertaken by regulators are proportionate to the regulatory risk being managed</w:t>
        </w:r>
        <w:r w:rsidR="00B90361">
          <w:rPr>
            <w:webHidden/>
          </w:rPr>
          <w:tab/>
        </w:r>
        <w:r w:rsidR="00B90361">
          <w:rPr>
            <w:webHidden/>
          </w:rPr>
          <w:fldChar w:fldCharType="begin"/>
        </w:r>
        <w:r w:rsidR="00B90361">
          <w:rPr>
            <w:webHidden/>
          </w:rPr>
          <w:instrText xml:space="preserve"> PAGEREF _Toc492467952 \h </w:instrText>
        </w:r>
        <w:r w:rsidR="00B90361">
          <w:rPr>
            <w:webHidden/>
          </w:rPr>
        </w:r>
        <w:r w:rsidR="00B90361">
          <w:rPr>
            <w:webHidden/>
          </w:rPr>
          <w:fldChar w:fldCharType="separate"/>
        </w:r>
        <w:r w:rsidR="00CD4715">
          <w:rPr>
            <w:webHidden/>
          </w:rPr>
          <w:t>18</w:t>
        </w:r>
        <w:r w:rsidR="00B90361">
          <w:rPr>
            <w:webHidden/>
          </w:rPr>
          <w:fldChar w:fldCharType="end"/>
        </w:r>
      </w:hyperlink>
    </w:p>
    <w:p w14:paraId="3C1D829A" w14:textId="5885D54A" w:rsidR="00B90361" w:rsidRDefault="00017917">
      <w:pPr>
        <w:pStyle w:val="TOC2"/>
        <w:rPr>
          <w:rFonts w:eastAsiaTheme="minorEastAsia"/>
          <w:color w:val="auto"/>
          <w:lang w:eastAsia="en-AU"/>
        </w:rPr>
      </w:pPr>
      <w:hyperlink w:anchor="_Toc492467953" w:history="1">
        <w:r w:rsidR="00B90361" w:rsidRPr="00BC08C6">
          <w:rPr>
            <w:rStyle w:val="Hyperlink"/>
            <w:lang w:eastAsia="en-AU"/>
          </w:rPr>
          <w:t>2.4</w:t>
        </w:r>
        <w:r w:rsidR="00B90361">
          <w:rPr>
            <w:rFonts w:eastAsiaTheme="minorEastAsia"/>
            <w:color w:val="auto"/>
            <w:lang w:eastAsia="en-AU"/>
          </w:rPr>
          <w:tab/>
        </w:r>
        <w:r w:rsidR="00B90361" w:rsidRPr="00BC08C6">
          <w:rPr>
            <w:rStyle w:val="Hyperlink"/>
            <w:lang w:eastAsia="en-AU"/>
          </w:rPr>
          <w:t>KPI 4 – Compliance and monitoring approaches are streamlined and co-ordinated</w:t>
        </w:r>
        <w:r w:rsidR="00B90361">
          <w:rPr>
            <w:webHidden/>
          </w:rPr>
          <w:tab/>
        </w:r>
        <w:r w:rsidR="00B90361">
          <w:rPr>
            <w:webHidden/>
          </w:rPr>
          <w:fldChar w:fldCharType="begin"/>
        </w:r>
        <w:r w:rsidR="00B90361">
          <w:rPr>
            <w:webHidden/>
          </w:rPr>
          <w:instrText xml:space="preserve"> PAGEREF _Toc492467953 \h </w:instrText>
        </w:r>
        <w:r w:rsidR="00B90361">
          <w:rPr>
            <w:webHidden/>
          </w:rPr>
        </w:r>
        <w:r w:rsidR="00B90361">
          <w:rPr>
            <w:webHidden/>
          </w:rPr>
          <w:fldChar w:fldCharType="separate"/>
        </w:r>
        <w:r w:rsidR="00CD4715">
          <w:rPr>
            <w:webHidden/>
          </w:rPr>
          <w:t>22</w:t>
        </w:r>
        <w:r w:rsidR="00B90361">
          <w:rPr>
            <w:webHidden/>
          </w:rPr>
          <w:fldChar w:fldCharType="end"/>
        </w:r>
      </w:hyperlink>
    </w:p>
    <w:p w14:paraId="53282815" w14:textId="3E0EB281" w:rsidR="00B90361" w:rsidRDefault="00017917">
      <w:pPr>
        <w:pStyle w:val="TOC2"/>
        <w:rPr>
          <w:rFonts w:eastAsiaTheme="minorEastAsia"/>
          <w:color w:val="auto"/>
          <w:lang w:eastAsia="en-AU"/>
        </w:rPr>
      </w:pPr>
      <w:hyperlink w:anchor="_Toc492467954" w:history="1">
        <w:r w:rsidR="00B90361" w:rsidRPr="00BC08C6">
          <w:rPr>
            <w:rStyle w:val="Hyperlink"/>
            <w:lang w:eastAsia="en-AU"/>
          </w:rPr>
          <w:t>2.5</w:t>
        </w:r>
        <w:r w:rsidR="00B90361">
          <w:rPr>
            <w:rFonts w:eastAsiaTheme="minorEastAsia"/>
            <w:color w:val="auto"/>
            <w:lang w:eastAsia="en-AU"/>
          </w:rPr>
          <w:tab/>
        </w:r>
        <w:r w:rsidR="00B90361" w:rsidRPr="00BC08C6">
          <w:rPr>
            <w:rStyle w:val="Hyperlink"/>
            <w:lang w:eastAsia="en-AU"/>
          </w:rPr>
          <w:t>KPI 5 – Regulators are open and transparent in their dealings with regulated entities</w:t>
        </w:r>
        <w:r w:rsidR="00B90361">
          <w:rPr>
            <w:webHidden/>
          </w:rPr>
          <w:tab/>
        </w:r>
        <w:r w:rsidR="00B90361">
          <w:rPr>
            <w:webHidden/>
          </w:rPr>
          <w:fldChar w:fldCharType="begin"/>
        </w:r>
        <w:r w:rsidR="00B90361">
          <w:rPr>
            <w:webHidden/>
          </w:rPr>
          <w:instrText xml:space="preserve"> PAGEREF _Toc492467954 \h </w:instrText>
        </w:r>
        <w:r w:rsidR="00B90361">
          <w:rPr>
            <w:webHidden/>
          </w:rPr>
        </w:r>
        <w:r w:rsidR="00B90361">
          <w:rPr>
            <w:webHidden/>
          </w:rPr>
          <w:fldChar w:fldCharType="separate"/>
        </w:r>
        <w:r w:rsidR="00CD4715">
          <w:rPr>
            <w:webHidden/>
          </w:rPr>
          <w:t>25</w:t>
        </w:r>
        <w:r w:rsidR="00B90361">
          <w:rPr>
            <w:webHidden/>
          </w:rPr>
          <w:fldChar w:fldCharType="end"/>
        </w:r>
      </w:hyperlink>
    </w:p>
    <w:p w14:paraId="46969B2D" w14:textId="1D4CE6D1" w:rsidR="00B90361" w:rsidRDefault="00017917">
      <w:pPr>
        <w:pStyle w:val="TOC2"/>
        <w:rPr>
          <w:rFonts w:eastAsiaTheme="minorEastAsia"/>
          <w:color w:val="auto"/>
          <w:lang w:eastAsia="en-AU"/>
        </w:rPr>
      </w:pPr>
      <w:hyperlink w:anchor="_Toc492467955" w:history="1">
        <w:r w:rsidR="00B90361" w:rsidRPr="00BC08C6">
          <w:rPr>
            <w:rStyle w:val="Hyperlink"/>
            <w:lang w:eastAsia="en-AU"/>
          </w:rPr>
          <w:t>2.6</w:t>
        </w:r>
        <w:r w:rsidR="00B90361">
          <w:rPr>
            <w:rFonts w:eastAsiaTheme="minorEastAsia"/>
            <w:color w:val="auto"/>
            <w:lang w:eastAsia="en-AU"/>
          </w:rPr>
          <w:tab/>
        </w:r>
        <w:r w:rsidR="00B90361" w:rsidRPr="00BC08C6">
          <w:rPr>
            <w:rStyle w:val="Hyperlink"/>
            <w:lang w:eastAsia="en-AU"/>
          </w:rPr>
          <w:t>KPI 6 – Regulators actively contribute to the continuous improvement of regulatory frameworks</w:t>
        </w:r>
        <w:r w:rsidR="00B90361">
          <w:rPr>
            <w:webHidden/>
          </w:rPr>
          <w:tab/>
        </w:r>
        <w:r w:rsidR="00B90361">
          <w:rPr>
            <w:webHidden/>
          </w:rPr>
          <w:fldChar w:fldCharType="begin"/>
        </w:r>
        <w:r w:rsidR="00B90361">
          <w:rPr>
            <w:webHidden/>
          </w:rPr>
          <w:instrText xml:space="preserve"> PAGEREF _Toc492467955 \h </w:instrText>
        </w:r>
        <w:r w:rsidR="00B90361">
          <w:rPr>
            <w:webHidden/>
          </w:rPr>
        </w:r>
        <w:r w:rsidR="00B90361">
          <w:rPr>
            <w:webHidden/>
          </w:rPr>
          <w:fldChar w:fldCharType="separate"/>
        </w:r>
        <w:r w:rsidR="00CD4715">
          <w:rPr>
            <w:webHidden/>
          </w:rPr>
          <w:t>29</w:t>
        </w:r>
        <w:r w:rsidR="00B90361">
          <w:rPr>
            <w:webHidden/>
          </w:rPr>
          <w:fldChar w:fldCharType="end"/>
        </w:r>
      </w:hyperlink>
    </w:p>
    <w:p w14:paraId="1ACBD641" w14:textId="649F013C" w:rsidR="00B90361" w:rsidRDefault="00017917">
      <w:pPr>
        <w:pStyle w:val="TOC1"/>
        <w:tabs>
          <w:tab w:val="left" w:pos="567"/>
        </w:tabs>
        <w:rPr>
          <w:rFonts w:eastAsiaTheme="minorEastAsia"/>
          <w:b w:val="0"/>
          <w:noProof/>
          <w:color w:val="auto"/>
          <w:lang w:eastAsia="en-AU"/>
        </w:rPr>
      </w:pPr>
      <w:hyperlink w:anchor="_Toc492467956" w:history="1">
        <w:r w:rsidR="00B90361" w:rsidRPr="00BC08C6">
          <w:rPr>
            <w:rStyle w:val="Hyperlink"/>
            <w:noProof/>
            <w:lang w:eastAsia="en-AU"/>
          </w:rPr>
          <w:t>3</w:t>
        </w:r>
        <w:r w:rsidR="00B90361">
          <w:rPr>
            <w:rFonts w:eastAsiaTheme="minorEastAsia"/>
            <w:b w:val="0"/>
            <w:noProof/>
            <w:color w:val="auto"/>
            <w:lang w:eastAsia="en-AU"/>
          </w:rPr>
          <w:tab/>
        </w:r>
        <w:r w:rsidR="00B90361" w:rsidRPr="00BC08C6">
          <w:rPr>
            <w:rStyle w:val="Hyperlink"/>
            <w:noProof/>
            <w:lang w:eastAsia="en-AU"/>
          </w:rPr>
          <w:t>Overall Assessment</w:t>
        </w:r>
        <w:r w:rsidR="00B90361">
          <w:rPr>
            <w:noProof/>
            <w:webHidden/>
          </w:rPr>
          <w:tab/>
        </w:r>
        <w:r w:rsidR="00B90361">
          <w:rPr>
            <w:noProof/>
            <w:webHidden/>
          </w:rPr>
          <w:fldChar w:fldCharType="begin"/>
        </w:r>
        <w:r w:rsidR="00B90361">
          <w:rPr>
            <w:noProof/>
            <w:webHidden/>
          </w:rPr>
          <w:instrText xml:space="preserve"> PAGEREF _Toc492467956 \h </w:instrText>
        </w:r>
        <w:r w:rsidR="00B90361">
          <w:rPr>
            <w:noProof/>
            <w:webHidden/>
          </w:rPr>
        </w:r>
        <w:r w:rsidR="00B90361">
          <w:rPr>
            <w:noProof/>
            <w:webHidden/>
          </w:rPr>
          <w:fldChar w:fldCharType="separate"/>
        </w:r>
        <w:r w:rsidR="00CD4715">
          <w:rPr>
            <w:noProof/>
            <w:webHidden/>
          </w:rPr>
          <w:t>32</w:t>
        </w:r>
        <w:r w:rsidR="00B90361">
          <w:rPr>
            <w:noProof/>
            <w:webHidden/>
          </w:rPr>
          <w:fldChar w:fldCharType="end"/>
        </w:r>
      </w:hyperlink>
    </w:p>
    <w:p w14:paraId="18E74B57" w14:textId="55452F5C" w:rsidR="00B90361" w:rsidRDefault="00017917">
      <w:pPr>
        <w:pStyle w:val="TOC2"/>
        <w:rPr>
          <w:rFonts w:eastAsiaTheme="minorEastAsia"/>
          <w:color w:val="auto"/>
          <w:lang w:eastAsia="en-AU"/>
        </w:rPr>
      </w:pPr>
      <w:hyperlink w:anchor="_Toc492467957" w:history="1">
        <w:r w:rsidR="00B90361" w:rsidRPr="00BC08C6">
          <w:rPr>
            <w:rStyle w:val="Hyperlink"/>
            <w:lang w:eastAsia="en-AU"/>
          </w:rPr>
          <w:t>3.1</w:t>
        </w:r>
        <w:r w:rsidR="00B90361">
          <w:rPr>
            <w:rFonts w:eastAsiaTheme="minorEastAsia"/>
            <w:color w:val="auto"/>
            <w:lang w:eastAsia="en-AU"/>
          </w:rPr>
          <w:tab/>
        </w:r>
        <w:r w:rsidR="00B90361" w:rsidRPr="00BC08C6">
          <w:rPr>
            <w:rStyle w:val="Hyperlink"/>
            <w:lang w:eastAsia="en-AU"/>
          </w:rPr>
          <w:t>Analysis of evidence</w:t>
        </w:r>
        <w:r w:rsidR="00B90361">
          <w:rPr>
            <w:webHidden/>
          </w:rPr>
          <w:tab/>
        </w:r>
        <w:r w:rsidR="00B90361">
          <w:rPr>
            <w:webHidden/>
          </w:rPr>
          <w:fldChar w:fldCharType="begin"/>
        </w:r>
        <w:r w:rsidR="00B90361">
          <w:rPr>
            <w:webHidden/>
          </w:rPr>
          <w:instrText xml:space="preserve"> PAGEREF _Toc492467957 \h </w:instrText>
        </w:r>
        <w:r w:rsidR="00B90361">
          <w:rPr>
            <w:webHidden/>
          </w:rPr>
        </w:r>
        <w:r w:rsidR="00B90361">
          <w:rPr>
            <w:webHidden/>
          </w:rPr>
          <w:fldChar w:fldCharType="separate"/>
        </w:r>
        <w:r w:rsidR="00CD4715">
          <w:rPr>
            <w:webHidden/>
          </w:rPr>
          <w:t>32</w:t>
        </w:r>
        <w:r w:rsidR="00B90361">
          <w:rPr>
            <w:webHidden/>
          </w:rPr>
          <w:fldChar w:fldCharType="end"/>
        </w:r>
      </w:hyperlink>
    </w:p>
    <w:p w14:paraId="7C420645" w14:textId="7EA4E966" w:rsidR="00B90361" w:rsidRDefault="00017917">
      <w:pPr>
        <w:pStyle w:val="TOC2"/>
        <w:rPr>
          <w:rFonts w:eastAsiaTheme="minorEastAsia"/>
          <w:color w:val="auto"/>
          <w:lang w:eastAsia="en-AU"/>
        </w:rPr>
      </w:pPr>
      <w:hyperlink w:anchor="_Toc492467958" w:history="1">
        <w:r w:rsidR="00B90361" w:rsidRPr="00BC08C6">
          <w:rPr>
            <w:rStyle w:val="Hyperlink"/>
            <w:lang w:eastAsia="en-AU"/>
          </w:rPr>
          <w:t>3.2</w:t>
        </w:r>
        <w:r w:rsidR="00B90361">
          <w:rPr>
            <w:rFonts w:eastAsiaTheme="minorEastAsia"/>
            <w:color w:val="auto"/>
            <w:lang w:eastAsia="en-AU"/>
          </w:rPr>
          <w:tab/>
        </w:r>
        <w:r w:rsidR="00B90361" w:rsidRPr="00BC08C6">
          <w:rPr>
            <w:rStyle w:val="Hyperlink"/>
            <w:lang w:eastAsia="en-AU"/>
          </w:rPr>
          <w:t>Overall self-assessed rating of performance – 2016-17</w:t>
        </w:r>
        <w:r w:rsidR="00B90361">
          <w:rPr>
            <w:webHidden/>
          </w:rPr>
          <w:tab/>
        </w:r>
        <w:r w:rsidR="00B90361">
          <w:rPr>
            <w:webHidden/>
          </w:rPr>
          <w:fldChar w:fldCharType="begin"/>
        </w:r>
        <w:r w:rsidR="00B90361">
          <w:rPr>
            <w:webHidden/>
          </w:rPr>
          <w:instrText xml:space="preserve"> PAGEREF _Toc492467958 \h </w:instrText>
        </w:r>
        <w:r w:rsidR="00B90361">
          <w:rPr>
            <w:webHidden/>
          </w:rPr>
        </w:r>
        <w:r w:rsidR="00B90361">
          <w:rPr>
            <w:webHidden/>
          </w:rPr>
          <w:fldChar w:fldCharType="separate"/>
        </w:r>
        <w:r w:rsidR="00CD4715">
          <w:rPr>
            <w:webHidden/>
          </w:rPr>
          <w:t>33</w:t>
        </w:r>
        <w:r w:rsidR="00B90361">
          <w:rPr>
            <w:webHidden/>
          </w:rPr>
          <w:fldChar w:fldCharType="end"/>
        </w:r>
      </w:hyperlink>
    </w:p>
    <w:p w14:paraId="0BF771B7" w14:textId="2C62DAEE" w:rsidR="00B90361" w:rsidRDefault="00017917">
      <w:pPr>
        <w:pStyle w:val="TOC2"/>
        <w:rPr>
          <w:rFonts w:eastAsiaTheme="minorEastAsia"/>
          <w:color w:val="auto"/>
          <w:lang w:eastAsia="en-AU"/>
        </w:rPr>
      </w:pPr>
      <w:hyperlink w:anchor="_Toc492467959" w:history="1">
        <w:r w:rsidR="00B90361" w:rsidRPr="00BC08C6">
          <w:rPr>
            <w:rStyle w:val="Hyperlink"/>
            <w:lang w:eastAsia="en-AU"/>
          </w:rPr>
          <w:t>3.3</w:t>
        </w:r>
        <w:r w:rsidR="00B90361">
          <w:rPr>
            <w:rFonts w:eastAsiaTheme="minorEastAsia"/>
            <w:color w:val="auto"/>
            <w:lang w:eastAsia="en-AU"/>
          </w:rPr>
          <w:tab/>
        </w:r>
        <w:r w:rsidR="00B90361" w:rsidRPr="00BC08C6">
          <w:rPr>
            <w:rStyle w:val="Hyperlink"/>
            <w:lang w:eastAsia="en-AU"/>
          </w:rPr>
          <w:t>Performance improvement actions identified</w:t>
        </w:r>
        <w:r w:rsidR="00B90361">
          <w:rPr>
            <w:webHidden/>
          </w:rPr>
          <w:tab/>
        </w:r>
        <w:r w:rsidR="00B90361">
          <w:rPr>
            <w:webHidden/>
          </w:rPr>
          <w:fldChar w:fldCharType="begin"/>
        </w:r>
        <w:r w:rsidR="00B90361">
          <w:rPr>
            <w:webHidden/>
          </w:rPr>
          <w:instrText xml:space="preserve"> PAGEREF _Toc492467959 \h </w:instrText>
        </w:r>
        <w:r w:rsidR="00B90361">
          <w:rPr>
            <w:webHidden/>
          </w:rPr>
        </w:r>
        <w:r w:rsidR="00B90361">
          <w:rPr>
            <w:webHidden/>
          </w:rPr>
          <w:fldChar w:fldCharType="separate"/>
        </w:r>
        <w:r w:rsidR="00CD4715">
          <w:rPr>
            <w:webHidden/>
          </w:rPr>
          <w:t>33</w:t>
        </w:r>
        <w:r w:rsidR="00B90361">
          <w:rPr>
            <w:webHidden/>
          </w:rPr>
          <w:fldChar w:fldCharType="end"/>
        </w:r>
      </w:hyperlink>
    </w:p>
    <w:p w14:paraId="2ED23BA5" w14:textId="29699EF3" w:rsidR="00B90361" w:rsidRDefault="00017917">
      <w:pPr>
        <w:pStyle w:val="TOC1"/>
        <w:tabs>
          <w:tab w:val="left" w:pos="567"/>
        </w:tabs>
        <w:rPr>
          <w:rFonts w:eastAsiaTheme="minorEastAsia"/>
          <w:b w:val="0"/>
          <w:noProof/>
          <w:color w:val="auto"/>
          <w:lang w:eastAsia="en-AU"/>
        </w:rPr>
      </w:pPr>
      <w:hyperlink w:anchor="_Toc492467960" w:history="1">
        <w:r w:rsidR="00B90361" w:rsidRPr="00BC08C6">
          <w:rPr>
            <w:rStyle w:val="Hyperlink"/>
            <w:noProof/>
          </w:rPr>
          <w:t>4</w:t>
        </w:r>
        <w:r w:rsidR="00B90361">
          <w:rPr>
            <w:rFonts w:eastAsiaTheme="minorEastAsia"/>
            <w:b w:val="0"/>
            <w:noProof/>
            <w:color w:val="auto"/>
            <w:lang w:eastAsia="en-AU"/>
          </w:rPr>
          <w:tab/>
        </w:r>
        <w:r w:rsidR="00B90361" w:rsidRPr="00BC08C6">
          <w:rPr>
            <w:rStyle w:val="Hyperlink"/>
            <w:noProof/>
          </w:rPr>
          <w:t>Concluding remarks</w:t>
        </w:r>
        <w:r w:rsidR="00B90361">
          <w:rPr>
            <w:noProof/>
            <w:webHidden/>
          </w:rPr>
          <w:tab/>
        </w:r>
        <w:r w:rsidR="00B90361">
          <w:rPr>
            <w:noProof/>
            <w:webHidden/>
          </w:rPr>
          <w:fldChar w:fldCharType="begin"/>
        </w:r>
        <w:r w:rsidR="00B90361">
          <w:rPr>
            <w:noProof/>
            <w:webHidden/>
          </w:rPr>
          <w:instrText xml:space="preserve"> PAGEREF _Toc492467960 \h </w:instrText>
        </w:r>
        <w:r w:rsidR="00B90361">
          <w:rPr>
            <w:noProof/>
            <w:webHidden/>
          </w:rPr>
        </w:r>
        <w:r w:rsidR="00B90361">
          <w:rPr>
            <w:noProof/>
            <w:webHidden/>
          </w:rPr>
          <w:fldChar w:fldCharType="separate"/>
        </w:r>
        <w:r w:rsidR="00CD4715">
          <w:rPr>
            <w:noProof/>
            <w:webHidden/>
          </w:rPr>
          <w:t>34</w:t>
        </w:r>
        <w:r w:rsidR="00B90361">
          <w:rPr>
            <w:noProof/>
            <w:webHidden/>
          </w:rPr>
          <w:fldChar w:fldCharType="end"/>
        </w:r>
      </w:hyperlink>
    </w:p>
    <w:p w14:paraId="5246EB54" w14:textId="28241ACB" w:rsidR="00B90361" w:rsidRDefault="00017917">
      <w:pPr>
        <w:pStyle w:val="TOC1"/>
        <w:rPr>
          <w:rFonts w:eastAsiaTheme="minorEastAsia"/>
          <w:b w:val="0"/>
          <w:noProof/>
          <w:color w:val="auto"/>
          <w:lang w:eastAsia="en-AU"/>
        </w:rPr>
      </w:pPr>
      <w:hyperlink w:anchor="_Toc492467961" w:history="1">
        <w:r w:rsidR="00B90361" w:rsidRPr="00BC08C6">
          <w:rPr>
            <w:rStyle w:val="Hyperlink"/>
            <w:noProof/>
          </w:rPr>
          <w:t>Appendix A ARPANSA Licenced Entities as at 30 June 2017</w:t>
        </w:r>
        <w:r w:rsidR="00B90361">
          <w:rPr>
            <w:noProof/>
            <w:webHidden/>
          </w:rPr>
          <w:tab/>
        </w:r>
        <w:r w:rsidR="00B90361">
          <w:rPr>
            <w:noProof/>
            <w:webHidden/>
          </w:rPr>
          <w:fldChar w:fldCharType="begin"/>
        </w:r>
        <w:r w:rsidR="00B90361">
          <w:rPr>
            <w:noProof/>
            <w:webHidden/>
          </w:rPr>
          <w:instrText xml:space="preserve"> PAGEREF _Toc492467961 \h </w:instrText>
        </w:r>
        <w:r w:rsidR="00B90361">
          <w:rPr>
            <w:noProof/>
            <w:webHidden/>
          </w:rPr>
        </w:r>
        <w:r w:rsidR="00B90361">
          <w:rPr>
            <w:noProof/>
            <w:webHidden/>
          </w:rPr>
          <w:fldChar w:fldCharType="separate"/>
        </w:r>
        <w:r w:rsidR="00CD4715">
          <w:rPr>
            <w:noProof/>
            <w:webHidden/>
          </w:rPr>
          <w:t>36</w:t>
        </w:r>
        <w:r w:rsidR="00B90361">
          <w:rPr>
            <w:noProof/>
            <w:webHidden/>
          </w:rPr>
          <w:fldChar w:fldCharType="end"/>
        </w:r>
      </w:hyperlink>
    </w:p>
    <w:p w14:paraId="05BECCD0" w14:textId="742B8F1F" w:rsidR="00B90361" w:rsidRDefault="00017917">
      <w:pPr>
        <w:pStyle w:val="TOC2"/>
        <w:rPr>
          <w:rFonts w:eastAsiaTheme="minorEastAsia"/>
          <w:color w:val="auto"/>
          <w:lang w:eastAsia="en-AU"/>
        </w:rPr>
      </w:pPr>
      <w:hyperlink w:anchor="_Toc492467962" w:history="1">
        <w:r w:rsidR="00B90361" w:rsidRPr="00BC08C6">
          <w:rPr>
            <w:rStyle w:val="Hyperlink"/>
          </w:rPr>
          <w:t>Facility licence holders:</w:t>
        </w:r>
        <w:r w:rsidR="00B90361">
          <w:rPr>
            <w:webHidden/>
          </w:rPr>
          <w:tab/>
        </w:r>
        <w:r w:rsidR="00B90361">
          <w:rPr>
            <w:webHidden/>
          </w:rPr>
          <w:fldChar w:fldCharType="begin"/>
        </w:r>
        <w:r w:rsidR="00B90361">
          <w:rPr>
            <w:webHidden/>
          </w:rPr>
          <w:instrText xml:space="preserve"> PAGEREF _Toc492467962 \h </w:instrText>
        </w:r>
        <w:r w:rsidR="00B90361">
          <w:rPr>
            <w:webHidden/>
          </w:rPr>
        </w:r>
        <w:r w:rsidR="00B90361">
          <w:rPr>
            <w:webHidden/>
          </w:rPr>
          <w:fldChar w:fldCharType="separate"/>
        </w:r>
        <w:r w:rsidR="00CD4715">
          <w:rPr>
            <w:webHidden/>
          </w:rPr>
          <w:t>36</w:t>
        </w:r>
        <w:r w:rsidR="00B90361">
          <w:rPr>
            <w:webHidden/>
          </w:rPr>
          <w:fldChar w:fldCharType="end"/>
        </w:r>
      </w:hyperlink>
    </w:p>
    <w:p w14:paraId="03C3EC22" w14:textId="1FD732E1" w:rsidR="00B90361" w:rsidRDefault="00017917">
      <w:pPr>
        <w:pStyle w:val="TOC2"/>
        <w:rPr>
          <w:rFonts w:eastAsiaTheme="minorEastAsia"/>
          <w:color w:val="auto"/>
          <w:lang w:eastAsia="en-AU"/>
        </w:rPr>
      </w:pPr>
      <w:hyperlink w:anchor="_Toc492467963" w:history="1">
        <w:r w:rsidR="00B90361" w:rsidRPr="00BC08C6">
          <w:rPr>
            <w:rStyle w:val="Hyperlink"/>
          </w:rPr>
          <w:t>Source licence holders:</w:t>
        </w:r>
        <w:r w:rsidR="00B90361">
          <w:rPr>
            <w:webHidden/>
          </w:rPr>
          <w:tab/>
        </w:r>
        <w:r w:rsidR="00B90361">
          <w:rPr>
            <w:webHidden/>
          </w:rPr>
          <w:fldChar w:fldCharType="begin"/>
        </w:r>
        <w:r w:rsidR="00B90361">
          <w:rPr>
            <w:webHidden/>
          </w:rPr>
          <w:instrText xml:space="preserve"> PAGEREF _Toc492467963 \h </w:instrText>
        </w:r>
        <w:r w:rsidR="00B90361">
          <w:rPr>
            <w:webHidden/>
          </w:rPr>
        </w:r>
        <w:r w:rsidR="00B90361">
          <w:rPr>
            <w:webHidden/>
          </w:rPr>
          <w:fldChar w:fldCharType="separate"/>
        </w:r>
        <w:r w:rsidR="00CD4715">
          <w:rPr>
            <w:webHidden/>
          </w:rPr>
          <w:t>36</w:t>
        </w:r>
        <w:r w:rsidR="00B90361">
          <w:rPr>
            <w:webHidden/>
          </w:rPr>
          <w:fldChar w:fldCharType="end"/>
        </w:r>
      </w:hyperlink>
    </w:p>
    <w:p w14:paraId="0E467A0B" w14:textId="0CB150C9" w:rsidR="00B90361" w:rsidRDefault="00017917">
      <w:pPr>
        <w:pStyle w:val="TOC1"/>
        <w:rPr>
          <w:rFonts w:eastAsiaTheme="minorEastAsia"/>
          <w:b w:val="0"/>
          <w:noProof/>
          <w:color w:val="auto"/>
          <w:lang w:eastAsia="en-AU"/>
        </w:rPr>
      </w:pPr>
      <w:hyperlink w:anchor="_Toc492467964" w:history="1">
        <w:r w:rsidR="00B90361" w:rsidRPr="00BC08C6">
          <w:rPr>
            <w:rStyle w:val="Hyperlink"/>
            <w:noProof/>
          </w:rPr>
          <w:t>Appendix B Information sources and documents provided to the assessment team</w:t>
        </w:r>
        <w:r w:rsidR="00B90361">
          <w:rPr>
            <w:noProof/>
            <w:webHidden/>
          </w:rPr>
          <w:tab/>
        </w:r>
        <w:r w:rsidR="00B90361">
          <w:rPr>
            <w:noProof/>
            <w:webHidden/>
          </w:rPr>
          <w:fldChar w:fldCharType="begin"/>
        </w:r>
        <w:r w:rsidR="00B90361">
          <w:rPr>
            <w:noProof/>
            <w:webHidden/>
          </w:rPr>
          <w:instrText xml:space="preserve"> PAGEREF _Toc492467964 \h </w:instrText>
        </w:r>
        <w:r w:rsidR="00B90361">
          <w:rPr>
            <w:noProof/>
            <w:webHidden/>
          </w:rPr>
        </w:r>
        <w:r w:rsidR="00B90361">
          <w:rPr>
            <w:noProof/>
            <w:webHidden/>
          </w:rPr>
          <w:fldChar w:fldCharType="separate"/>
        </w:r>
        <w:r w:rsidR="00CD4715">
          <w:rPr>
            <w:noProof/>
            <w:webHidden/>
          </w:rPr>
          <w:t>38</w:t>
        </w:r>
        <w:r w:rsidR="00B90361">
          <w:rPr>
            <w:noProof/>
            <w:webHidden/>
          </w:rPr>
          <w:fldChar w:fldCharType="end"/>
        </w:r>
      </w:hyperlink>
    </w:p>
    <w:p w14:paraId="25AC005D" w14:textId="56F33DBF" w:rsidR="009F3703" w:rsidRDefault="009F3703" w:rsidP="007320ED">
      <w:pPr>
        <w:pStyle w:val="Heading1"/>
        <w:numPr>
          <w:ilvl w:val="0"/>
          <w:numId w:val="0"/>
        </w:numPr>
      </w:pPr>
      <w:r>
        <w:lastRenderedPageBreak/>
        <w:fldChar w:fldCharType="end"/>
      </w:r>
      <w:r w:rsidR="00811D28">
        <w:br w:type="page"/>
      </w:r>
    </w:p>
    <w:p w14:paraId="6105AAFA" w14:textId="77777777" w:rsidR="00B31B13" w:rsidRDefault="00811D28" w:rsidP="007320ED">
      <w:pPr>
        <w:pStyle w:val="Heading1"/>
        <w:numPr>
          <w:ilvl w:val="0"/>
          <w:numId w:val="0"/>
        </w:numPr>
      </w:pPr>
      <w:bookmarkStart w:id="0" w:name="_Toc492467942"/>
      <w:r>
        <w:lastRenderedPageBreak/>
        <w:t>Executive Summary</w:t>
      </w:r>
      <w:bookmarkEnd w:id="0"/>
    </w:p>
    <w:p w14:paraId="31C9FFD6" w14:textId="017FB3F6" w:rsidR="00BD5FD1" w:rsidRDefault="00BD5FD1" w:rsidP="00811D28">
      <w:r w:rsidRPr="00A9092B">
        <w:t xml:space="preserve">The Australian Radiation Protection and Nuclear Safety Agency (ARPANSA) </w:t>
      </w:r>
      <w:r>
        <w:t>is</w:t>
      </w:r>
      <w:r>
        <w:rPr>
          <w:lang w:val="en"/>
        </w:rPr>
        <w:t xml:space="preserve"> the Australian Government’s primary authority on radiation protection and nuclear safety. We protect the Australian people and the environment from the harmful effects of radiation through understanding risks, best practice regulation, research, policy, services, partnerships and engaging with the community.</w:t>
      </w:r>
    </w:p>
    <w:p w14:paraId="317D302F" w14:textId="624C187D" w:rsidR="00811D28" w:rsidRDefault="00BD5FD1" w:rsidP="00811D28">
      <w:r>
        <w:t xml:space="preserve">We </w:t>
      </w:r>
      <w:r w:rsidR="00CA5886" w:rsidRPr="00A9092B">
        <w:t xml:space="preserve">regulate </w:t>
      </w:r>
      <w:r w:rsidR="00CA5886">
        <w:t>safety and security of radiation sources and facilities</w:t>
      </w:r>
      <w:r w:rsidR="00CB4863">
        <w:t>,</w:t>
      </w:r>
      <w:r w:rsidR="00CA5886">
        <w:t xml:space="preserve"> and nuclear installations</w:t>
      </w:r>
      <w:r w:rsidR="00CB4863">
        <w:t>;</w:t>
      </w:r>
      <w:r w:rsidR="00CA5886">
        <w:t xml:space="preserve"> owned or operated </w:t>
      </w:r>
      <w:r w:rsidR="00CA5886" w:rsidRPr="00A9092B">
        <w:t>by Commonwealth entities.</w:t>
      </w:r>
    </w:p>
    <w:p w14:paraId="2AAE3C1D" w14:textId="0F19F245" w:rsidR="00811D28" w:rsidRDefault="00811D28" w:rsidP="007320ED">
      <w:pPr>
        <w:pStyle w:val="Heading2"/>
        <w:numPr>
          <w:ilvl w:val="0"/>
          <w:numId w:val="0"/>
        </w:numPr>
      </w:pPr>
      <w:bookmarkStart w:id="1" w:name="_Toc492467943"/>
      <w:r>
        <w:t xml:space="preserve">Summary of </w:t>
      </w:r>
      <w:r w:rsidR="00BD5FD1">
        <w:t xml:space="preserve">the </w:t>
      </w:r>
      <w:r w:rsidR="00F5478E">
        <w:t>Second A</w:t>
      </w:r>
      <w:r>
        <w:t>ssessment</w:t>
      </w:r>
      <w:bookmarkEnd w:id="1"/>
      <w:r w:rsidR="00BD5FD1">
        <w:t xml:space="preserve"> under the Regulator Performance Framework</w:t>
      </w:r>
    </w:p>
    <w:p w14:paraId="163E3BF1" w14:textId="112067F4" w:rsidR="00CA5886" w:rsidRPr="00A9092B" w:rsidRDefault="00CA5886" w:rsidP="00CA5886">
      <w:r>
        <w:t>This review was the secon</w:t>
      </w:r>
      <w:r w:rsidR="009D3F04">
        <w:t>d</w:t>
      </w:r>
      <w:r>
        <w:t xml:space="preserve"> formal assessment of ARPANSA against the </w:t>
      </w:r>
      <w:r w:rsidRPr="00A9092B">
        <w:t>Key Performance Indicator</w:t>
      </w:r>
      <w:r>
        <w:t>s</w:t>
      </w:r>
      <w:r w:rsidRPr="00A9092B">
        <w:t xml:space="preserve"> (KPI</w:t>
      </w:r>
      <w:r>
        <w:t>s</w:t>
      </w:r>
      <w:r w:rsidRPr="00A9092B">
        <w:t>)</w:t>
      </w:r>
      <w:r>
        <w:t xml:space="preserve"> outlined in the </w:t>
      </w:r>
      <w:r w:rsidRPr="004D7F6A">
        <w:t>Government Regulator Performance Framework</w:t>
      </w:r>
      <w:r>
        <w:t xml:space="preserve"> (RPF). </w:t>
      </w:r>
    </w:p>
    <w:p w14:paraId="64F110CA" w14:textId="38D0A094" w:rsidR="00811D28" w:rsidRPr="007C0C76" w:rsidRDefault="00CA5886" w:rsidP="00CA5886">
      <w:r w:rsidRPr="00A9092B">
        <w:lastRenderedPageBreak/>
        <w:t>The assessment found a high level of commitment to the val</w:t>
      </w:r>
      <w:r>
        <w:t>ues of the R</w:t>
      </w:r>
      <w:r w:rsidRPr="00A9092B">
        <w:t>PF.</w:t>
      </w:r>
      <w:r>
        <w:t xml:space="preserve"> </w:t>
      </w:r>
      <w:r w:rsidR="00BD5FD1">
        <w:t xml:space="preserve">The assessment also indicated a number of improvements since the 2015 – 2016 </w:t>
      </w:r>
      <w:r w:rsidR="00CB4863">
        <w:t>financial year</w:t>
      </w:r>
      <w:r w:rsidR="00F5478E">
        <w:t>. Overall</w:t>
      </w:r>
      <w:r w:rsidR="00BD5FD1">
        <w:t xml:space="preserve">, ARPANSA’s performance </w:t>
      </w:r>
      <w:r w:rsidR="00CB4863">
        <w:t xml:space="preserve">as summarised in the table below </w:t>
      </w:r>
      <w:r w:rsidR="004908D9">
        <w:t>can be rated</w:t>
      </w:r>
      <w:r w:rsidR="00BD5FD1">
        <w:t xml:space="preserve"> as ‘very good’</w:t>
      </w:r>
      <w:r w:rsidR="00CB4863">
        <w:t>.</w:t>
      </w:r>
      <w:r w:rsidR="007C0C76">
        <w:br/>
      </w:r>
    </w:p>
    <w:tbl>
      <w:tblPr>
        <w:tblStyle w:val="GenericARPANSA"/>
        <w:tblW w:w="0" w:type="auto"/>
        <w:tblInd w:w="0" w:type="dxa"/>
        <w:tblLook w:val="04A0" w:firstRow="1" w:lastRow="0" w:firstColumn="1" w:lastColumn="0" w:noHBand="0" w:noVBand="1"/>
      </w:tblPr>
      <w:tblGrid>
        <w:gridCol w:w="2439"/>
        <w:gridCol w:w="1701"/>
        <w:gridCol w:w="3680"/>
        <w:gridCol w:w="1700"/>
      </w:tblGrid>
      <w:tr w:rsidR="003D22E9" w14:paraId="156E73CB" w14:textId="77777777" w:rsidTr="003C23B9">
        <w:trPr>
          <w:cnfStyle w:val="100000000000" w:firstRow="1" w:lastRow="0" w:firstColumn="0" w:lastColumn="0" w:oddVBand="0" w:evenVBand="0" w:oddHBand="0" w:evenHBand="0" w:firstRowFirstColumn="0" w:firstRowLastColumn="0" w:lastRowFirstColumn="0" w:lastRowLastColumn="0"/>
          <w:tblHeader/>
        </w:trPr>
        <w:tc>
          <w:tcPr>
            <w:tcW w:w="2439" w:type="dxa"/>
          </w:tcPr>
          <w:p w14:paraId="0F1E0135" w14:textId="2B3F47D9" w:rsidR="00F5478E" w:rsidRDefault="00F5478E" w:rsidP="00172661">
            <w:r>
              <w:t>KPI</w:t>
            </w:r>
          </w:p>
        </w:tc>
        <w:tc>
          <w:tcPr>
            <w:tcW w:w="1701" w:type="dxa"/>
          </w:tcPr>
          <w:p w14:paraId="21C07B4C" w14:textId="28533C8B" w:rsidR="00F5478E" w:rsidRDefault="00F5478E" w:rsidP="009C1A83">
            <w:r>
              <w:t>Previous Rating of Performance</w:t>
            </w:r>
            <w:r>
              <w:br/>
              <w:t>2015-16</w:t>
            </w:r>
          </w:p>
        </w:tc>
        <w:tc>
          <w:tcPr>
            <w:tcW w:w="3680" w:type="dxa"/>
          </w:tcPr>
          <w:p w14:paraId="487CBB63" w14:textId="1C87D343" w:rsidR="00F5478E" w:rsidRPr="009C1A83" w:rsidRDefault="00F5478E" w:rsidP="009C1A83">
            <w:pPr>
              <w:rPr>
                <w:b w:val="0"/>
              </w:rPr>
            </w:pPr>
            <w:r>
              <w:t>Summary of analysis</w:t>
            </w:r>
          </w:p>
        </w:tc>
        <w:tc>
          <w:tcPr>
            <w:tcW w:w="1700" w:type="dxa"/>
          </w:tcPr>
          <w:p w14:paraId="742DA060" w14:textId="34A34FA1" w:rsidR="00F5478E" w:rsidRDefault="00FC49D1" w:rsidP="009C1A83">
            <w:r>
              <w:t xml:space="preserve">Rating of Performance </w:t>
            </w:r>
            <w:r>
              <w:br/>
              <w:t>2016-</w:t>
            </w:r>
            <w:r w:rsidR="00F5478E">
              <w:t>17</w:t>
            </w:r>
          </w:p>
        </w:tc>
      </w:tr>
      <w:tr w:rsidR="003D22E9" w14:paraId="2EE155AF" w14:textId="77777777" w:rsidTr="003C23B9">
        <w:tc>
          <w:tcPr>
            <w:tcW w:w="2439" w:type="dxa"/>
          </w:tcPr>
          <w:p w14:paraId="0230D2AE" w14:textId="3E9D7FE3" w:rsidR="00F5478E" w:rsidRPr="009C1A83" w:rsidRDefault="00F5478E" w:rsidP="00456E62">
            <w:pPr>
              <w:jc w:val="left"/>
            </w:pPr>
            <w:r>
              <w:t>Overall assessment</w:t>
            </w:r>
          </w:p>
        </w:tc>
        <w:tc>
          <w:tcPr>
            <w:tcW w:w="1701" w:type="dxa"/>
          </w:tcPr>
          <w:p w14:paraId="7BA1943F" w14:textId="2238D6C6" w:rsidR="008A7E6E" w:rsidRDefault="003D22E9">
            <w:r>
              <w:rPr>
                <w:noProof/>
                <w:lang w:eastAsia="en-AU"/>
              </w:rPr>
              <mc:AlternateContent>
                <mc:Choice Requires="wpc">
                  <w:drawing>
                    <wp:inline distT="0" distB="0" distL="0" distR="0" wp14:anchorId="799433A8" wp14:editId="1F41B2B7">
                      <wp:extent cx="840740" cy="247650"/>
                      <wp:effectExtent l="0" t="0" r="0" b="0"/>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Oval 12"/>
                              <wps:cNvSpPr/>
                              <wps:spPr>
                                <a:xfrm>
                                  <a:off x="2759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19142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35525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51908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68291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5F2275E" id="Canvas 17" o:spid="_x0000_s1026" editas="canvas" style="width:66.2pt;height:19.5pt;mso-position-horizontal-relative:char;mso-position-vertical-relative:line" coordsize="840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7FdOQMAAOYVAAAOAAAAZHJzL2Uyb0RvYy54bWzsWFtP2zAUfp+0/2D5feTSppCIFFVFTJMQ&#10;IGDi2XWcNpJjZ7bbtPv1O3YutANtsCEkpPTBtePjc/98Oadn25KjDVO6kCLFwZGPERNUZoVYpvj7&#10;/cWXE4y0ISIjXAqW4h3T+Gz6+dNpXSUslCvJM6YQMBE6qasUr4ypEs/TdMVKoo9kxQRM5lKVxMBQ&#10;Lb1MkRq4l9wLfX/i1VJllZKUaQ1fz5tJPHX885xRc53nmhnEUwy6Gdcq1y5s601PSbJUpFoVtFWD&#10;/IMWJSkECO1ZnRND0FoVT1iVBVVSy9wcUVl6Ms8LypwNYE3g/2bNnIgN0c4YCt7pFITeG/JdLMEH&#10;wDKpIRjM9SEUuuqDov9P2N2KVMzZoBN6tblRqMggU0KMBCkhI643hCMYtpKB5K66Ue1IQ9e6dZur&#10;0v6Dw9A2xeFxFMcY7VI8ieMwaqLItgZRmAxGQRAFGFGYDkZ+7Md23ntkUiltvjJZIttJMeO8qLRV&#10;kSRkc6lNQ91R2c9c2FZLXmQXBeduYDOUzblCoH+KCaVMGGcFSNqjhJFd7dWVThprXM/sOGs437Ic&#10;PGKNchq4zH/K14lckYw14iIffq1Z/QpnJBfA0FLnoGjPO/gT78belt4uZQ44/WL/74v7FU6yFKZf&#10;XBZCqucYcBO0BuQNfeekxjXWSwuZ7SBflGxgqyt6UUDILok2N0QBTgHRsPeYa2hyLusUy7aH0Uqq&#10;n899t/SQ0DCLUQ24T7H+sSaKYcS/CUj1OBiP7UbhBuPoOISB2p9Z7M+IdTmXEH5IN9DOdS294V03&#10;V7J8gC1qZqXCFBEUZKeYGtUN5qbZj2CTo2w2c2SwOVTEXIo7C/UmeDYf77cPRFVt3hpI+CvZwetJ&#10;7ja0Nh5CztZG5oVL7Ee/tv4GqFv8vwfmR4eYH9n4W8kvwnwAkQkH0A+gBxQNoG/O1I8A+vEh6Mev&#10;Av0oisJoAP0A+gH0H+qkjw5B727oLz7poyD2T94T9ELaWz1cRoabvvVB/6B47mkz3PSHm/5ewaV7&#10;frTg7l73k0P8T1516E9OwjgY8D+89IeXflOhesuXPhSiXC3RFYvawqetVu6PXWXgsTw7/QUAAP//&#10;AwBQSwMEFAAGAAgAAAAhAFTL1vHcAAAABAEAAA8AAABkcnMvZG93bnJldi54bWxMj81qwzAQhO+F&#10;voPYQm6NVCekrms5hEIhhELJD/SqWBvbrbUy1iZx3r5KL+llYZhh5tt8PrhWnLAPjScNT2MFAqn0&#10;tqFKw277/piCCGzImtYTarhggHlxf5ebzPozrfG04UrEEgqZ0VAzd5mUoazRmTD2HVL0Dr53hqPs&#10;K2l7c47lrpWJUjPpTENxoTYdvtVY/myOTsNs+bzdfah16lbp5Wuh3Cd/JwetRw/D4hUE48C3MFzx&#10;IzoUkWnvj2SDaDXER/jvXr1JMgWx1zB5USCLXP6HL34BAAD//wMAUEsBAi0AFAAGAAgAAAAhALaD&#10;OJL+AAAA4QEAABMAAAAAAAAAAAAAAAAAAAAAAFtDb250ZW50X1R5cGVzXS54bWxQSwECLQAUAAYA&#10;CAAAACEAOP0h/9YAAACUAQAACwAAAAAAAAAAAAAAAAAvAQAAX3JlbHMvLnJlbHNQSwECLQAUAAYA&#10;CAAAACEAFKOxXTkDAADmFQAADgAAAAAAAAAAAAAAAAAuAgAAZHJzL2Uyb0RvYy54bWxQSwECLQAU&#10;AAYACAAAACEAVMvW8dwAAAAEAQAADwAAAAAAAAAAAAAAAACTBQAAZHJzL2Rvd25yZXYueG1sUEsF&#10;BgAAAAAEAAQA8wAAAJ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407;height:2476;visibility:visible;mso-wrap-style:square">
                        <v:fill o:detectmouseclick="t"/>
                        <v:path o:connecttype="none"/>
                      </v:shape>
                      <v:oval id="Oval 12" o:spid="_x0000_s1028" style="position:absolute;left:275;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ZyAvwAAANsAAAAPAAAAZHJzL2Rvd25yZXYueG1sRE9Ni8Iw&#10;EL0v+B/CCN7W1B5EqlFEFASFZbPF89CMbbGZlCRq/fdmYWFv83ifs9oMthMP8qF1rGA2zUAQV860&#10;XCsofw6fCxAhIhvsHJOCFwXYrEcfKyyMe/I3PXSsRQrhUKCCJsa+kDJUDVkMU9cTJ+7qvMWYoK+l&#10;8fhM4baTeZbNpcWWU0ODPe0aqm76bhVcz1+ZP3blqb+XWud6WOzby1mpyXjYLkFEGuK/+M99NGl+&#10;Dr+/pAPk+g0AAP//AwBQSwECLQAUAAYACAAAACEA2+H2y+4AAACFAQAAEwAAAAAAAAAAAAAAAAAA&#10;AAAAW0NvbnRlbnRfVHlwZXNdLnhtbFBLAQItABQABgAIAAAAIQBa9CxbvwAAABUBAAALAAAAAAAA&#10;AAAAAAAAAB8BAABfcmVscy8ucmVsc1BLAQItABQABgAIAAAAIQDaYZyAvwAAANsAAAAPAAAAAAAA&#10;AAAAAAAAAAcCAABkcnMvZG93bnJldi54bWxQSwUGAAAAAAMAAwC3AAAA8wIAAAAA&#10;" fillcolor="#2b992b [3205]" strokecolor="#2b992b [3205]" strokeweight="2pt"/>
                      <v:oval id="Oval 13" o:spid="_x0000_s1029" style="position:absolute;left:1914;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TkbwQAAANsAAAAPAAAAZHJzL2Rvd25yZXYueG1sRE/fa8Iw&#10;EH4f+D+EE/Y2Ux2MUo0i4qCwwlhW9nw0Z1tsLiWJtvvvl8Fgb/fx/bzdYbaDuJMPvWMF61UGgrhx&#10;pudWQf35+pSDCBHZ4OCYFHxTgMN+8bDDwriJP+iuYytSCIcCFXQxjoWUoenIYli5kThxF+ctxgR9&#10;K43HKYXbQW6y7EVa7Dk1dDjSqaPmqm9WwaV6z3w51G/jrdZ6o+f83H9VSj0u5+MWRKQ5/ov/3KVJ&#10;85/h95d0gNz/AAAA//8DAFBLAQItABQABgAIAAAAIQDb4fbL7gAAAIUBAAATAAAAAAAAAAAAAAAA&#10;AAAAAABbQ29udGVudF9UeXBlc10ueG1sUEsBAi0AFAAGAAgAAAAhAFr0LFu/AAAAFQEAAAsAAAAA&#10;AAAAAAAAAAAAHwEAAF9yZWxzLy5yZWxzUEsBAi0AFAAGAAgAAAAhALUtORvBAAAA2wAAAA8AAAAA&#10;AAAAAAAAAAAABwIAAGRycy9kb3ducmV2LnhtbFBLBQYAAAAAAwADALcAAAD1AgAAAAA=&#10;" fillcolor="#2b992b [3205]" strokecolor="#2b992b [3205]" strokeweight="2pt"/>
                      <v:oval id="Oval 14" o:spid="_x0000_s1030" style="position:absolute;left:3552;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KFvwQAAANsAAAAPAAAAZHJzL2Rvd25yZXYueG1sRE/fa8Iw&#10;EH4f+D+EE/Y2U2WMUo0i4qCwwlhW9nw0Z1tsLiWJtvvvl8Fgb/fx/bzdYbaDuJMPvWMF61UGgrhx&#10;pudWQf35+pSDCBHZ4OCYFHxTgMN+8bDDwriJP+iuYytSCIcCFXQxjoWUoenIYli5kThxF+ctxgR9&#10;K43HKYXbQW6y7EVa7Dk1dDjSqaPmqm9WwaV6z3w51G/jrdZ6o+f83H9VSj0u5+MWRKQ5/ov/3KVJ&#10;85/h95d0gNz/AAAA//8DAFBLAQItABQABgAIAAAAIQDb4fbL7gAAAIUBAAATAAAAAAAAAAAAAAAA&#10;AAAAAABbQ29udGVudF9UeXBlc10ueG1sUEsBAi0AFAAGAAgAAAAhAFr0LFu/AAAAFQEAAAsAAAAA&#10;AAAAAAAAAAAAHwEAAF9yZWxzLy5yZWxzUEsBAi0AFAAGAAgAAAAhADrEoW/BAAAA2wAAAA8AAAAA&#10;AAAAAAAAAAAABwIAAGRycy9kb3ducmV2LnhtbFBLBQYAAAAAAwADALcAAAD1AgAAAAA=&#10;" fillcolor="#2b992b [3205]" strokecolor="#2b992b [3205]" strokeweight="2pt"/>
                      <v:oval id="Oval 15" o:spid="_x0000_s1031" style="position:absolute;left:5190;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CUwgAAANsAAAAPAAAAZHJzL2Rvd25yZXYueG1sRE9NawIx&#10;EL0L/Q9hhN40q6DIahRrEYQeWq2I3obNuFm7mayb1N3+eyMIvc3jfc5s0dpS3Kj2hWMFg34Cgjhz&#10;uuBcwf573ZuA8AFZY+mYFPyRh8X8pTPDVLuGt3TbhVzEEPYpKjAhVKmUPjNk0fddRRy5s6sthgjr&#10;XOoamxhuSzlMkrG0WHBsMFjRylD2s/u1CqoynC6r8eeHfr+c86/11RyOzZtSr912OQURqA3/4qd7&#10;o+P8ETx+iQfI+R0AAP//AwBQSwECLQAUAAYACAAAACEA2+H2y+4AAACFAQAAEwAAAAAAAAAAAAAA&#10;AAAAAAAAW0NvbnRlbnRfVHlwZXNdLnhtbFBLAQItABQABgAIAAAAIQBa9CxbvwAAABUBAAALAAAA&#10;AAAAAAAAAAAAAB8BAABfcmVscy8ucmVsc1BLAQItABQABgAIAAAAIQCYo/CUwgAAANsAAAAPAAAA&#10;AAAAAAAAAAAAAAcCAABkcnMvZG93bnJldi54bWxQSwUGAAAAAAMAAwC3AAAA9gIAAAAA&#10;" filled="f" strokecolor="#2b992b [3205]" strokeweight="2pt"/>
                      <v:oval id="Oval 16" o:spid="_x0000_s1032" style="position:absolute;left:6829;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W7jwgAAANsAAAAPAAAAZHJzL2Rvd25yZXYueG1sRE9La8JA&#10;EL4X+h+WKfSmGz0Eia7iA6HQQ30hehuyYzaanU2zW5P++64g9DYf33Mms85W4k6NLx0rGPQTEMS5&#10;0yUXCg77dW8EwgdkjZVjUvBLHmbT15cJZtq1vKX7LhQihrDPUIEJoc6k9Lkhi77vauLIXVxjMUTY&#10;FFI32MZwW8lhkqTSYsmxwWBNS0P5bfdjFdRVOF+X6denXl0vxWb9bY6ndqHU+1s3H4MI1IV/8dP9&#10;oeP8FB6/xAPk9A8AAP//AwBQSwECLQAUAAYACAAAACEA2+H2y+4AAACFAQAAEwAAAAAAAAAAAAAA&#10;AAAAAAAAW0NvbnRlbnRfVHlwZXNdLnhtbFBLAQItABQABgAIAAAAIQBa9CxbvwAAABUBAAALAAAA&#10;AAAAAAAAAAAAAB8BAABfcmVscy8ucmVsc1BLAQItABQABgAIAAAAIQBocW7jwgAAANsAAAAPAAAA&#10;AAAAAAAAAAAAAAcCAABkcnMvZG93bnJldi54bWxQSwUGAAAAAAMAAwC3AAAA9gIAAAAA&#10;" filled="f" strokecolor="#2b992b [3205]" strokeweight="2pt"/>
                      <w10:anchorlock/>
                    </v:group>
                  </w:pict>
                </mc:Fallback>
              </mc:AlternateContent>
            </w:r>
          </w:p>
          <w:p w14:paraId="67C5192B" w14:textId="0FC109CC" w:rsidR="00F5478E" w:rsidRDefault="005A4C8D">
            <w:r>
              <w:t>Good</w:t>
            </w:r>
          </w:p>
        </w:tc>
        <w:tc>
          <w:tcPr>
            <w:tcW w:w="3680" w:type="dxa"/>
          </w:tcPr>
          <w:p w14:paraId="260F0081" w14:textId="7046D0CC" w:rsidR="00F5478E" w:rsidRPr="00B63BEE" w:rsidRDefault="00F5478E" w:rsidP="00456E62">
            <w:pPr>
              <w:jc w:val="left"/>
            </w:pPr>
            <w:r>
              <w:t>Performance against a majority of the KPIs rates as ‘very good’ or higher.</w:t>
            </w:r>
          </w:p>
        </w:tc>
        <w:tc>
          <w:tcPr>
            <w:tcW w:w="1700" w:type="dxa"/>
          </w:tcPr>
          <w:p w14:paraId="415FD062" w14:textId="15A40D51" w:rsidR="00F5478E" w:rsidRDefault="0074361D" w:rsidP="00CB4863">
            <w:r>
              <w:rPr>
                <w:noProof/>
                <w:lang w:eastAsia="en-AU"/>
              </w:rPr>
              <mc:AlternateContent>
                <mc:Choice Requires="wpc">
                  <w:drawing>
                    <wp:inline distT="0" distB="0" distL="0" distR="0" wp14:anchorId="519F881C" wp14:editId="7035870A">
                      <wp:extent cx="840740" cy="247650"/>
                      <wp:effectExtent l="0" t="0" r="0" b="0"/>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3" name="Oval 83"/>
                              <wps:cNvSpPr/>
                              <wps:spPr>
                                <a:xfrm>
                                  <a:off x="2759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Oval 84"/>
                              <wps:cNvSpPr/>
                              <wps:spPr>
                                <a:xfrm>
                                  <a:off x="19142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Oval 85"/>
                              <wps:cNvSpPr/>
                              <wps:spPr>
                                <a:xfrm>
                                  <a:off x="35525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Oval 86"/>
                              <wps:cNvSpPr/>
                              <wps:spPr>
                                <a:xfrm>
                                  <a:off x="51908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Oval 87"/>
                              <wps:cNvSpPr/>
                              <wps:spPr>
                                <a:xfrm>
                                  <a:off x="68291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6A59AE0" id="Canvas 88" o:spid="_x0000_s1026" editas="canvas" style="width:66.2pt;height:19.5pt;mso-position-horizontal-relative:char;mso-position-vertical-relative:line" coordsize="840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520KwMAANsVAAAOAAAAZHJzL2Uyb0RvYy54bWzsWFtr2zAUfh/sPwi9r74kTmJTp4SUjkFZ&#10;y9rRZ0WWE4MseZISJ/v1O5LtNFm7rd1GIeA8KJLP0bl/EjrnF9uSow1TupAixcGZjxETVGaFWKb4&#10;6/3VhwlG2hCRES4FS/GOaXwxff/uvK4SFsqV5BlTCIQIndRVilfGVInnabpiJdFnsmICiLlUJTGw&#10;VEsvU6QG6SX3Qt8febVUWaUkZVrD18uGiKdOfp4zam7yXDODeIrBNuNG5caFHb3pOUmWilSrgrZm&#10;kL+woiSFAKV7UZfEELRWxRNRZUGV1DI3Z1SWnszzgjLnA3gT+D95MydiQ7RzhkJ0OgNh9h/lLpYQ&#10;AxCZ1JAM5uaQCl3tk6L/TdndilTM+aAT+nlzq1CRpXgywEiQEiriZkM4gmWrGVjuqlvVrjRMbVi3&#10;uSrtPwQMbVMcjqM4xmiX4lEch1GTRbY1iAIxGARBFGBEgRwM/NiPLd17FFIpbT4yWSI7STHjvKi0&#10;NZEkZHOtTcPdcdnPXNhRS15kVwXnbmErlM25QmB/igmlTJiw1XTACXrtbq+udNJ442Zmx1kj+QvL&#10;ISLWKWeBq/yncp3KFclYoy7y4dcp6yxxTnIBAi13DobuZQe/k9342/LbrcwBZ7/Z//Pm/Q6nWQqz&#10;31wWQqrnBHATtA7kDX8XpCY0NkoLme2gXpRsYKsrelVAyq6JNrdEAU4B0XD2mBsYci7rFMt2htFK&#10;qu/Pfbf8UNBAxagG3KdYf1sTxTDinwSUehwMh/agcIthNA5hoQ4pi0OKWJdzCemHcgPr3NTyG95N&#10;cyXLBziiZlYrkIigoDvF1KhuMTfNeQSHHGWzmWODw6Ei5lrcWag3ybP1eL99IKpq69ZAwX+WHbye&#10;1G7Da/Mh5GxtZF64wn6MaxtvgLrF/1tgfniM+aHNv9X8IswHkJmwB30PekBRD/rmTj0F0EfHoHeX&#10;9YtBP4iiMOpB34O+B/1J3fSjY9CPXnXTR0HsT3rQ96DvQX9SoB8fg378KtCPJmEcvCXohbRPeXiB&#10;9M97G4Nf9B2a3kD/vD/t5z10n1wD0XWI2m6nbVEerl074LEnO/0BAAD//wMAUEsDBBQABgAIAAAA&#10;IQBUy9bx3AAAAAQBAAAPAAAAZHJzL2Rvd25yZXYueG1sTI/NasMwEITvhb6D2EJujVQnpK5rOYRC&#10;IYRCyQ/0qlgb2621MtYmcd6+Si/pZWGYYebbfD64VpywD40nDU9jBQKp9LahSsNu+/6YgghsyJrW&#10;E2q4YIB5cX+Xm8z6M63xtOFKxBIKmdFQM3eZlKGs0Zkw9h1S9A6+d4aj7Ctpe3OO5a6ViVIz6UxD&#10;caE2Hb7VWP5sjk7DbPm83X2odepW6eVrodwnfycHrUcPw+IVBOPAtzBc8SM6FJFp749kg2g1xEf4&#10;7169STIFsdcweVEgi1z+hy9+AQAA//8DAFBLAQItABQABgAIAAAAIQC2gziS/gAAAOEBAAATAAAA&#10;AAAAAAAAAAAAAAAAAABbQ29udGVudF9UeXBlc10ueG1sUEsBAi0AFAAGAAgAAAAhADj9If/WAAAA&#10;lAEAAAsAAAAAAAAAAAAAAAAALwEAAF9yZWxzLy5yZWxzUEsBAi0AFAAGAAgAAAAhAC4TnbQrAwAA&#10;2xUAAA4AAAAAAAAAAAAAAAAALgIAAGRycy9lMm9Eb2MueG1sUEsBAi0AFAAGAAgAAAAhAFTL1vHc&#10;AAAABAEAAA8AAAAAAAAAAAAAAAAAhQUAAGRycy9kb3ducmV2LnhtbFBLBQYAAAAABAAEAPMAAACO&#10;BgAAAAA=&#10;">
                      <v:shape id="_x0000_s1027" type="#_x0000_t75" style="position:absolute;width:8407;height:2476;visibility:visible;mso-wrap-style:square">
                        <v:fill o:detectmouseclick="t"/>
                        <v:path o:connecttype="none"/>
                      </v:shape>
                      <v:oval id="Oval 83" o:spid="_x0000_s1028" style="position:absolute;left:275;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6ycwgAAANsAAAAPAAAAZHJzL2Rvd25yZXYueG1sRI9Bi8Iw&#10;FITvC/6H8ARva6qClGoUEReEFRazZc+P5tkWm5eSRO3++82C4HGYmW+Y9XawnbiTD61jBbNpBoK4&#10;cqblWkH5/fGegwgR2WDnmBT8UoDtZvS2xsK4B5/prmMtEoRDgQqaGPtCylA1ZDFMXU+cvIvzFmOS&#10;vpbG4yPBbSfnWbaUFltOCw32tG+ouuqbVXA5fWX+2JWf/a3Ueq6H/ND+nJSajIfdCkSkIb7Cz/bR&#10;KMgX8P8l/QC5+QMAAP//AwBQSwECLQAUAAYACAAAACEA2+H2y+4AAACFAQAAEwAAAAAAAAAAAAAA&#10;AAAAAAAAW0NvbnRlbnRfVHlwZXNdLnhtbFBLAQItABQABgAIAAAAIQBa9CxbvwAAABUBAAALAAAA&#10;AAAAAAAAAAAAAB8BAABfcmVscy8ucmVsc1BLAQItABQABgAIAAAAIQBdJ6ycwgAAANsAAAAPAAAA&#10;AAAAAAAAAAAAAAcCAABkcnMvZG93bnJldi54bWxQSwUGAAAAAAMAAwC3AAAA9gIAAAAA&#10;" fillcolor="#2b992b [3205]" strokecolor="#2b992b [3205]" strokeweight="2pt"/>
                      <v:oval id="Oval 84" o:spid="_x0000_s1029" style="position:absolute;left:1914;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jTowgAAANsAAAAPAAAAZHJzL2Rvd25yZXYueG1sRI9Bi8Iw&#10;FITvC/6H8ARva6qIlGoUEReEFRazZc+P5tkWm5eSRO3++82C4HGYmW+Y9XawnbiTD61jBbNpBoK4&#10;cqblWkH5/fGegwgR2WDnmBT8UoDtZvS2xsK4B5/prmMtEoRDgQqaGPtCylA1ZDFMXU+cvIvzFmOS&#10;vpbG4yPBbSfnWbaUFltOCw32tG+ouuqbVXA5fWX+2JWf/a3Ueq6H/ND+nJSajIfdCkSkIb7Cz/bR&#10;KMgX8P8l/QC5+QMAAP//AwBQSwECLQAUAAYACAAAACEA2+H2y+4AAACFAQAAEwAAAAAAAAAAAAAA&#10;AAAAAAAAW0NvbnRlbnRfVHlwZXNdLnhtbFBLAQItABQABgAIAAAAIQBa9CxbvwAAABUBAAALAAAA&#10;AAAAAAAAAAAAAB8BAABfcmVscy8ucmVsc1BLAQItABQABgAIAAAAIQDSzjTowgAAANsAAAAPAAAA&#10;AAAAAAAAAAAAAAcCAABkcnMvZG93bnJldi54bWxQSwUGAAAAAAMAAwC3AAAA9gIAAAAA&#10;" fillcolor="#2b992b [3205]" strokecolor="#2b992b [3205]" strokeweight="2pt"/>
                      <v:oval id="Oval 85" o:spid="_x0000_s1030" style="position:absolute;left:3552;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pFzwgAAANsAAAAPAAAAZHJzL2Rvd25yZXYueG1sRI9Bi8Iw&#10;FITvC/6H8ARva6qglGoUEReEFRazZc+P5tkWm5eSRO3++82C4HGYmW+Y9XawnbiTD61jBbNpBoK4&#10;cqblWkH5/fGegwgR2WDnmBT8UoDtZvS2xsK4B5/prmMtEoRDgQqaGPtCylA1ZDFMXU+cvIvzFmOS&#10;vpbG4yPBbSfnWbaUFltOCw32tG+ouuqbVXA5fWX+2JWf/a3Ueq6H/ND+nJSajIfdCkSkIb7Cz/bR&#10;KMgX8P8l/QC5+QMAAP//AwBQSwECLQAUAAYACAAAACEA2+H2y+4AAACFAQAAEwAAAAAAAAAAAAAA&#10;AAAAAAAAW0NvbnRlbnRfVHlwZXNdLnhtbFBLAQItABQABgAIAAAAIQBa9CxbvwAAABUBAAALAAAA&#10;AAAAAAAAAAAAAB8BAABfcmVscy8ucmVsc1BLAQItABQABgAIAAAAIQC9gpFzwgAAANsAAAAPAAAA&#10;AAAAAAAAAAAAAAcCAABkcnMvZG93bnJldi54bWxQSwUGAAAAAAMAAwC3AAAA9gIAAAAA&#10;" fillcolor="#2b992b [3205]" strokecolor="#2b992b [3205]" strokeweight="2pt"/>
                      <v:oval id="Oval 86" o:spid="_x0000_s1031" style="position:absolute;left:5190;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A8EwgAAANsAAAAPAAAAZHJzL2Rvd25yZXYueG1sRI9Bi8Iw&#10;FITvgv8hvAVvmq4HKV2jyLKCoCBmy54fzbMtNi8liVr/vRGEPQ4z8w2zXA+2EzfyoXWs4HOWgSCu&#10;nGm5VlD+bqc5iBCRDXaOScGDAqxX49ESC+PufKKbjrVIEA4FKmhi7AspQ9WQxTBzPXHyzs5bjEn6&#10;WhqP9wS3nZxn2UJabDktNNjTd0PVRV+tgvPhmPldV+77a6n1XA/5T/t3UGryMWy+QEQa4n/43d4Z&#10;BfkCXl/SD5CrJwAAAP//AwBQSwECLQAUAAYACAAAACEA2+H2y+4AAACFAQAAEwAAAAAAAAAAAAAA&#10;AAAAAAAAW0NvbnRlbnRfVHlwZXNdLnhtbFBLAQItABQABgAIAAAAIQBa9CxbvwAAABUBAAALAAAA&#10;AAAAAAAAAAAAAB8BAABfcmVscy8ucmVsc1BLAQItABQABgAIAAAAIQBNUA8EwgAAANsAAAAPAAAA&#10;AAAAAAAAAAAAAAcCAABkcnMvZG93bnJldi54bWxQSwUGAAAAAAMAAwC3AAAA9gIAAAAA&#10;" fillcolor="#2b992b [3205]" strokecolor="#2b992b [3205]" strokeweight="2pt"/>
                      <v:oval id="Oval 87" o:spid="_x0000_s1032" style="position:absolute;left:6829;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17/xgAAANsAAAAPAAAAZHJzL2Rvd25yZXYueG1sRI9Pa8JA&#10;FMTvgt9heUJvumkPVlI30lqEggfrH4reHtmXbGz2bZrdmvTbuwXB4zAzv2Hmi97W4kKtrxwreJwk&#10;IIhzpysuFRz2q/EMhA/IGmvHpOCPPCyy4WCOqXYdb+myC6WIEPYpKjAhNKmUPjdk0U9cQxy9wrUW&#10;Q5RtKXWLXYTbWj4lyVRarDguGGxoaSj/3v1aBU0dTufldLPW7+ei/Fz9mK9j96bUw6h/fQERqA/3&#10;8K39oRXMnuH/S/wBMrsCAAD//wMAUEsBAi0AFAAGAAgAAAAhANvh9svuAAAAhQEAABMAAAAAAAAA&#10;AAAAAAAAAAAAAFtDb250ZW50X1R5cGVzXS54bWxQSwECLQAUAAYACAAAACEAWvQsW78AAAAVAQAA&#10;CwAAAAAAAAAAAAAAAAAfAQAAX3JlbHMvLnJlbHNQSwECLQAUAAYACAAAACEA7zde/8YAAADbAAAA&#10;DwAAAAAAAAAAAAAAAAAHAgAAZHJzL2Rvd25yZXYueG1sUEsFBgAAAAADAAMAtwAAAPoCAAAAAA==&#10;" filled="f" strokecolor="#2b992b [3205]" strokeweight="2pt"/>
                      <w10:anchorlock/>
                    </v:group>
                  </w:pict>
                </mc:Fallback>
              </mc:AlternateContent>
            </w:r>
          </w:p>
          <w:p w14:paraId="28931D8C" w14:textId="13CA1B2B" w:rsidR="00F5478E" w:rsidRPr="00486505" w:rsidRDefault="00F5478E" w:rsidP="00CB4863">
            <w:pPr>
              <w:rPr>
                <w:noProof/>
                <w:lang w:eastAsia="en-AU"/>
              </w:rPr>
            </w:pPr>
            <w:r>
              <w:t>Very good</w:t>
            </w:r>
          </w:p>
        </w:tc>
      </w:tr>
      <w:tr w:rsidR="003D22E9" w14:paraId="5DA984F9" w14:textId="77777777" w:rsidTr="003C23B9">
        <w:trPr>
          <w:cnfStyle w:val="000000010000" w:firstRow="0" w:lastRow="0" w:firstColumn="0" w:lastColumn="0" w:oddVBand="0" w:evenVBand="0" w:oddHBand="0" w:evenHBand="1" w:firstRowFirstColumn="0" w:firstRowLastColumn="0" w:lastRowFirstColumn="0" w:lastRowLastColumn="0"/>
        </w:trPr>
        <w:tc>
          <w:tcPr>
            <w:tcW w:w="2439" w:type="dxa"/>
          </w:tcPr>
          <w:p w14:paraId="495D0265" w14:textId="02625214" w:rsidR="00F5478E" w:rsidRDefault="00F5478E" w:rsidP="00CB4863">
            <w:pPr>
              <w:jc w:val="left"/>
            </w:pPr>
            <w:r w:rsidRPr="009C1A83">
              <w:t>KPI 1 – Regulators do not unnecessarily impede the efficient operation of regulated entities</w:t>
            </w:r>
          </w:p>
        </w:tc>
        <w:tc>
          <w:tcPr>
            <w:tcW w:w="1701" w:type="dxa"/>
          </w:tcPr>
          <w:p w14:paraId="3D800521" w14:textId="5D70EE03" w:rsidR="008A7E6E" w:rsidRDefault="0074361D" w:rsidP="003D22E9">
            <w:r>
              <w:rPr>
                <w:noProof/>
                <w:lang w:eastAsia="en-AU"/>
              </w:rPr>
              <mc:AlternateContent>
                <mc:Choice Requires="wpc">
                  <w:drawing>
                    <wp:inline distT="0" distB="0" distL="0" distR="0" wp14:anchorId="5067D848" wp14:editId="3AE13147">
                      <wp:extent cx="840740" cy="247650"/>
                      <wp:effectExtent l="0" t="0" r="0" b="0"/>
                      <wp:docPr id="136" name="Canvas 1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1" name="Oval 131"/>
                              <wps:cNvSpPr/>
                              <wps:spPr>
                                <a:xfrm>
                                  <a:off x="2759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Oval 132"/>
                              <wps:cNvSpPr/>
                              <wps:spPr>
                                <a:xfrm>
                                  <a:off x="19142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Oval 133"/>
                              <wps:cNvSpPr/>
                              <wps:spPr>
                                <a:xfrm>
                                  <a:off x="35525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Oval 134"/>
                              <wps:cNvSpPr/>
                              <wps:spPr>
                                <a:xfrm>
                                  <a:off x="51908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Oval 135"/>
                              <wps:cNvSpPr/>
                              <wps:spPr>
                                <a:xfrm>
                                  <a:off x="68291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757FEBA" id="Canvas 136" o:spid="_x0000_s1026" editas="canvas" style="width:66.2pt;height:19.5pt;mso-position-horizontal-relative:char;mso-position-vertical-relative:line" coordsize="840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znPAMAAPAVAAAOAAAAZHJzL2Uyb0RvYy54bWzsWFtP2zAUfp+0/2D5feTSBkhEiqoipkkI&#10;0GDi2XWcNpJjZ7bbtPv1O7aTUhW2sQ0hIaUPrh0fn/t3Ep+z803N0ZopXUmR4+goxIgJKotKLHL8&#10;7f7y0ylG2hBREC4Fy/GWaXw++fjhrG0yFsul5AVTCJgInbVNjpfGNFkQaLpkNdFHsmECNkupamJg&#10;qRZBoUgL3GsexGF4HLRSFY2SlGkNTy/8Jp44/mXJqLkpS80M4jkG3YwblRvndgwmZyRbKNIsK9qp&#10;Qf5Bi5pUAoTuWF0QQ9BKVU9Y1RVVUsvSHFFZB7IsK8qcDWBNFB5YMyNiTbQzhoJ3egVh9op85wvw&#10;AbDMWggGc3MIhW52QdH/J+xuSRrmbNAZvV7fKlQVkCmjCCNBakiJmzXhyK472UB019yqbqVhah27&#10;KVVt/8FlaJPj+CRJU4y2OT5O0zjxcWQbgyhsArMoAf4UtqNRmIap3Q8emTRKm89M1shOcsw4rxpt&#10;lSQZWV9p46l7KvuYCztqyavisuLcLWyOshlXCAzIMaGUCRN3kvYoQa49HbSNzrw1bma2nHnOX1kJ&#10;PrFGOQ1c7j/l60QuScG8uCSEXy+s18QZyQUwtNQlKLrjHf2Ot7e3o7dHmYPO7nD458O7E06yFGZ3&#10;uK6EVM8x4MbFHPxTevreSd411ktzWWwhY5T0wNUNvawgZFdEm1uiAKmAaag+5gaGkss2x7KbYbSU&#10;6sdzzy09pDTsYtQC8nOsv6+IYhjxLwKSPY3GY1sq3GKcnMSwUPs78/0dsapnEsIP6QbauamlN7yf&#10;lkrWD1CkplYqbBFBQXaOqVH9YmZ8RYIyR9l06sigPDTEXIk7C3YfPJuP95sHopoubw0k/LXsAfYk&#10;dz2tjYeQ05WRZeUS+9Gvnb8B7LYCvAnq4wPUO7xY2S9CfQSxiQfYD7AHHA2w9+/VdwH70QHsRzaF&#10;Xwz7UZLEyQD7AfYD7N/X2358APvxX8E+idLw9C1hL6T9tofKNHzvWx/84iLiLwvD9/7wvb/XeOkv&#10;Id07fXfLTw4qgLupv/jFf3wap9FQAYYb/3Dj952q17zxQ0PKdRVd06hrgdq+5f7adQgeG7WTnwAA&#10;AP//AwBQSwMEFAAGAAgAAAAhAFTL1vHcAAAABAEAAA8AAABkcnMvZG93bnJldi54bWxMj81qwzAQ&#10;hO+FvoPYQm6NVCekrms5hEIhhELJD/SqWBvbrbUy1iZx3r5KL+llYZhh5tt8PrhWnLAPjScNT2MF&#10;Aqn0tqFKw277/piCCGzImtYTarhggHlxf5ebzPozrfG04UrEEgqZ0VAzd5mUoazRmTD2HVL0Dr53&#10;hqPsK2l7c47lrpWJUjPpTENxoTYdvtVY/myOTsNs+bzdfah16lbp5Wuh3Cd/JwetRw/D4hUE48C3&#10;MFzxIzoUkWnvj2SDaDXER/jvXr1JMgWx1zB5USCLXP6HL34BAAD//wMAUEsBAi0AFAAGAAgAAAAh&#10;ALaDOJL+AAAA4QEAABMAAAAAAAAAAAAAAAAAAAAAAFtDb250ZW50X1R5cGVzXS54bWxQSwECLQAU&#10;AAYACAAAACEAOP0h/9YAAACUAQAACwAAAAAAAAAAAAAAAAAvAQAAX3JlbHMvLnJlbHNQSwECLQAU&#10;AAYACAAAACEA384M5zwDAADwFQAADgAAAAAAAAAAAAAAAAAuAgAAZHJzL2Uyb0RvYy54bWxQSwEC&#10;LQAUAAYACAAAACEAVMvW8dwAAAAEAQAADwAAAAAAAAAAAAAAAACWBQAAZHJzL2Rvd25yZXYueG1s&#10;UEsFBgAAAAAEAAQA8wAAAJ8GAAAAAA==&#10;">
                      <v:shape id="_x0000_s1027" type="#_x0000_t75" style="position:absolute;width:8407;height:2476;visibility:visible;mso-wrap-style:square">
                        <v:fill o:detectmouseclick="t"/>
                        <v:path o:connecttype="none"/>
                      </v:shape>
                      <v:oval id="Oval 131" o:spid="_x0000_s1028" style="position:absolute;left:275;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o6iwAAAANwAAAAPAAAAZHJzL2Rvd25yZXYueG1sRE9Ni8Iw&#10;EL0v+B/CCN7WVIVFqlFEFASFxVg8D83YFptJSaJ2//1mYcHbPN7nLNe9bcWTfGgcK5iMMxDEpTMN&#10;VwqKy/5zDiJEZIOtY1LwQwHWq8HHEnPjXnymp46VSCEcclRQx9jlUoayJoth7DrixN2ctxgT9JU0&#10;Hl8p3LZymmVf0mLDqaHGjrY1lXf9sApup+/MH9ri2D0Krae6n++a60mp0bDfLEBE6uNb/O8+mDR/&#10;NoG/Z9IFcvULAAD//wMAUEsBAi0AFAAGAAgAAAAhANvh9svuAAAAhQEAABMAAAAAAAAAAAAAAAAA&#10;AAAAAFtDb250ZW50X1R5cGVzXS54bWxQSwECLQAUAAYACAAAACEAWvQsW78AAAAVAQAACwAAAAAA&#10;AAAAAAAAAAAfAQAAX3JlbHMvLnJlbHNQSwECLQAUAAYACAAAACEA8qqOosAAAADcAAAADwAAAAAA&#10;AAAAAAAAAAAHAgAAZHJzL2Rvd25yZXYueG1sUEsFBgAAAAADAAMAtwAAAPQCAAAAAA==&#10;" fillcolor="#2b992b [3205]" strokecolor="#2b992b [3205]" strokeweight="2pt"/>
                      <v:oval id="Oval 132" o:spid="_x0000_s1029" style="position:absolute;left:1914;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DVwQAAANwAAAAPAAAAZHJzL2Rvd25yZXYueG1sRE/fa8Iw&#10;EH4f+D+EE3ybqRVEqlFEHAgTxrKy56M522JzKUnU+t+bgbC3+/h+3no72E7cyIfWsYLZNANBXDnT&#10;cq2g/Pl4X4IIEdlg55gUPCjAdjN6W2Nh3J2/6aZjLVIIhwIVNDH2hZShashimLqeOHFn5y3GBH0t&#10;jcd7CredzLNsIS22nBoa7GnfUHXRV6vgfPrK/LErP/trqXWuh+Wh/T0pNRkPuxWISEP8F7/cR5Pm&#10;z3P4eyZdIDdPAAAA//8DAFBLAQItABQABgAIAAAAIQDb4fbL7gAAAIUBAAATAAAAAAAAAAAAAAAA&#10;AAAAAABbQ29udGVudF9UeXBlc10ueG1sUEsBAi0AFAAGAAgAAAAhAFr0LFu/AAAAFQEAAAsAAAAA&#10;AAAAAAAAAAAAHwEAAF9yZWxzLy5yZWxzUEsBAi0AFAAGAAgAAAAhAAJ4ENXBAAAA3AAAAA8AAAAA&#10;AAAAAAAAAAAABwIAAGRycy9kb3ducmV2LnhtbFBLBQYAAAAAAwADALcAAAD1AgAAAAA=&#10;" fillcolor="#2b992b [3205]" strokecolor="#2b992b [3205]" strokeweight="2pt"/>
                      <v:oval id="Oval 133" o:spid="_x0000_s1030" style="position:absolute;left:3552;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LVOwAAAANwAAAAPAAAAZHJzL2Rvd25yZXYueG1sRE9Ni8Iw&#10;EL0v+B/CCN7WVIVFqlFEFASFZWPxPDRjW2wmJYla/71ZWNjbPN7nLNe9bcWDfGgcK5iMMxDEpTMN&#10;VwqK8/5zDiJEZIOtY1LwogDr1eBjiblxT/6hh46VSCEcclRQx9jlUoayJoth7DrixF2dtxgT9JU0&#10;Hp8p3LZymmVf0mLDqaHGjrY1lTd9twqup+/MH9ri2N0Lrae6n++ay0mp0bDfLEBE6uO/+M99MGn+&#10;bAa/z6QL5OoNAAD//wMAUEsBAi0AFAAGAAgAAAAhANvh9svuAAAAhQEAABMAAAAAAAAAAAAAAAAA&#10;AAAAAFtDb250ZW50X1R5cGVzXS54bWxQSwECLQAUAAYACAAAACEAWvQsW78AAAAVAQAACwAAAAAA&#10;AAAAAAAAAAAfAQAAX3JlbHMvLnJlbHNQSwECLQAUAAYACAAAACEAbTS1TsAAAADcAAAADwAAAAAA&#10;AAAAAAAAAAAHAgAAZHJzL2Rvd25yZXYueG1sUEsFBgAAAAADAAMAtwAAAPQCAAAAAA==&#10;" fillcolor="#2b992b [3205]" strokecolor="#2b992b [3205]" strokeweight="2pt"/>
                      <v:oval id="Oval 134" o:spid="_x0000_s1031" style="position:absolute;left:5190;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5jfxAAAANwAAAAPAAAAZHJzL2Rvd25yZXYueG1sRE9La8JA&#10;EL4L/Q/LCN7MxgdSoqtURSh4aGtF7G3IjtnY7GzMbk3677uFQm/z8T1nsepsJe7U+NKxglGSgiDO&#10;nS65UHB83w0fQfiArLFyTAq+ycNq+dBbYKZdy290P4RCxBD2GSowIdSZlD43ZNEnriaO3MU1FkOE&#10;TSF1g20Mt5Ucp+lMWiw5NhisaWMo/zx8WQV1FT6um9nLXm+vl+J1dzOnc7tWatDvnuYgAnXhX/zn&#10;ftZx/mQKv8/EC+TyBwAA//8DAFBLAQItABQABgAIAAAAIQDb4fbL7gAAAIUBAAATAAAAAAAAAAAA&#10;AAAAAAAAAABbQ29udGVudF9UeXBlc10ueG1sUEsBAi0AFAAGAAgAAAAhAFr0LFu/AAAAFQEAAAsA&#10;AAAAAAAAAAAAAAAAHwEAAF9yZWxzLy5yZWxzUEsBAi0AFAAGAAgAAAAhAMSXmN/EAAAA3AAAAA8A&#10;AAAAAAAAAAAAAAAABwIAAGRycy9kb3ducmV2LnhtbFBLBQYAAAAAAwADALcAAAD4AgAAAAA=&#10;" filled="f" strokecolor="#2b992b [3205]" strokeweight="2pt"/>
                      <v:oval id="Oval 135" o:spid="_x0000_s1032" style="position:absolute;left:6829;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z1ExAAAANwAAAAPAAAAZHJzL2Rvd25yZXYueG1sRE9Na8JA&#10;EL0L/Q/LCN7MRkUp0VWqIhQ8tLUi9jZkx2xsdjZmtyb9991Cobd5vM9ZrDpbiTs1vnSsYJSkIIhz&#10;p0suFBzfd8NHED4ga6wck4Jv8rBaPvQWmGnX8hvdD6EQMYR9hgpMCHUmpc8NWfSJq4kjd3GNxRBh&#10;U0jdYBvDbSXHaTqTFkuODQZr2hjKPw9fVkFdhY/rZvay19vrpXjd3czp3K6VGvS7pzmIQF34F/+5&#10;n3WcP5nC7zPxArn8AQAA//8DAFBLAQItABQABgAIAAAAIQDb4fbL7gAAAIUBAAATAAAAAAAAAAAA&#10;AAAAAAAAAABbQ29udGVudF9UeXBlc10ueG1sUEsBAi0AFAAGAAgAAAAhAFr0LFu/AAAAFQEAAAsA&#10;AAAAAAAAAAAAAAAAHwEAAF9yZWxzLy5yZWxzUEsBAi0AFAAGAAgAAAAhAKvbPUTEAAAA3AAAAA8A&#10;AAAAAAAAAAAAAAAABwIAAGRycy9kb3ducmV2LnhtbFBLBQYAAAAAAwADALcAAAD4AgAAAAA=&#10;" filled="f" strokecolor="#2b992b [3205]" strokeweight="2pt"/>
                      <w10:anchorlock/>
                    </v:group>
                  </w:pict>
                </mc:Fallback>
              </mc:AlternateContent>
            </w:r>
          </w:p>
          <w:p w14:paraId="7615F6E5" w14:textId="64C6E65A" w:rsidR="00F5478E" w:rsidRPr="00B63BEE" w:rsidRDefault="00456E62" w:rsidP="00CB4863">
            <w:r>
              <w:t>Good</w:t>
            </w:r>
          </w:p>
        </w:tc>
        <w:tc>
          <w:tcPr>
            <w:tcW w:w="3680" w:type="dxa"/>
          </w:tcPr>
          <w:p w14:paraId="5EAFEB84" w14:textId="780209B8" w:rsidR="00F5478E" w:rsidRDefault="00F5478E" w:rsidP="004619C7">
            <w:pPr>
              <w:jc w:val="left"/>
            </w:pPr>
            <w:r w:rsidRPr="00B63BEE">
              <w:t xml:space="preserve">Inspections are scheduled and </w:t>
            </w:r>
            <w:r w:rsidR="004619C7">
              <w:t xml:space="preserve">licence holders are </w:t>
            </w:r>
            <w:r w:rsidRPr="00B63BEE">
              <w:t>notified in advance</w:t>
            </w:r>
            <w:r w:rsidR="004619C7">
              <w:t>. T</w:t>
            </w:r>
            <w:r w:rsidRPr="00B63BEE">
              <w:t>imelines a</w:t>
            </w:r>
            <w:r w:rsidR="00FF044C">
              <w:t>re typically set and adhered to.</w:t>
            </w:r>
            <w:r w:rsidRPr="00B63BEE">
              <w:t xml:space="preserve"> </w:t>
            </w:r>
            <w:r>
              <w:t>ARPANSA consults with licence holders to avoid unnecessarily impeding their operation.</w:t>
            </w:r>
          </w:p>
        </w:tc>
        <w:tc>
          <w:tcPr>
            <w:tcW w:w="1700" w:type="dxa"/>
          </w:tcPr>
          <w:p w14:paraId="30007DBB" w14:textId="5BD85A5F" w:rsidR="00F5478E" w:rsidRDefault="0074361D" w:rsidP="00CB4863">
            <w:r>
              <w:rPr>
                <w:noProof/>
                <w:lang w:eastAsia="en-AU"/>
              </w:rPr>
              <mc:AlternateContent>
                <mc:Choice Requires="wpc">
                  <w:drawing>
                    <wp:inline distT="0" distB="0" distL="0" distR="0" wp14:anchorId="160FCE46" wp14:editId="77690C26">
                      <wp:extent cx="840740" cy="247650"/>
                      <wp:effectExtent l="0" t="0" r="0" b="0"/>
                      <wp:docPr id="94" name="Canvas 9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9" name="Oval 89"/>
                              <wps:cNvSpPr/>
                              <wps:spPr>
                                <a:xfrm>
                                  <a:off x="2759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Oval 90"/>
                              <wps:cNvSpPr/>
                              <wps:spPr>
                                <a:xfrm>
                                  <a:off x="19142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Oval 91"/>
                              <wps:cNvSpPr/>
                              <wps:spPr>
                                <a:xfrm>
                                  <a:off x="35525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Oval 92"/>
                              <wps:cNvSpPr/>
                              <wps:spPr>
                                <a:xfrm>
                                  <a:off x="51908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Oval 93"/>
                              <wps:cNvSpPr/>
                              <wps:spPr>
                                <a:xfrm>
                                  <a:off x="68291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7D1BD62" id="Canvas 94" o:spid="_x0000_s1026" editas="canvas" style="width:66.2pt;height:19.5pt;mso-position-horizontal-relative:char;mso-position-vertical-relative:line" coordsize="840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UmUPwMAANsVAAAOAAAAZHJzL2Uyb0RvYy54bWzsWFtP2zAUfp+0/2D5feRSAiQiRVUR0yQE&#10;1WDi2XXsNpJjZ7bbtPv1O3aSUi7b2EVoSOHB+MTH5+bzndrn9GxTCbRm2pRK5jg6CDFikqqilIsc&#10;f7m9+HCCkbFEFkQoyXK8ZQafjd+/O23qjMVqqUTBNAIh0mRNneOltXUWBIYuWUXMgaqZhEWudEUs&#10;kHoRFJo0IL0SQRyGR0GjdFFrRZkx8PW8XcRjL59zRu0154ZZJHIMtlk/aj/O3RiMT0m20KRelrQz&#10;g/yBFRUpJSjdiTonlqCVLp+IqkqqlVHcHlBVBYrzkjLvA3gThY+8mRK5JsY7QyE6vYEw+4dy5wuI&#10;AYjMGjgM5udwFKbeHYr5O2U3S1Iz74PJ6NV6plFZ5PgkxUiSCjLiek0EArLTDCw39Ux3lIGpC+uG&#10;68r9h4ChTY7j4yQFAdscH6VpnLSnyDYWUViMRlGURBhRWI5GYRp62cG9kFob+5GpCrlJjpkQZW2c&#10;iSQj60tjQTdw91zus5BuNEqUxUUphCdchrKp0AjszzGhlEkbO0tg7x4nUG530NQma73xM7sVrJX8&#10;mXGIiHPKW+Az/6lcr3JJCtaqS0L465X1lnjVQoJAx83B0J3s6GeyW5s7freVeeDsNoe/3rzb4TUr&#10;aXebq1Iq/ZwAYaPOAd7y90FqQ+OiNFfFFvJFqxa2pqYXJRzZJTF2RjTgFBANtcdew8CFanKsuhlG&#10;S6W/Pffd8UNCwypGDeA+x+brimiGkfgkIdXT6PDQFQpPHCbHMRB6f2W+vyJX1VTB8UO6gXV+6vit&#10;6Kdcq+oOStTEaYUlIinozjG1uiemtq1HUOQom0w8GxSHmthLeeOg3h6ey8fbzR3RdZe3FhL+SvXw&#10;epK7La87D6kmK6t46RP7Pq5dvAHqDv+vgPkU/N/DPJAdyl+E+QhOJh5AP4AesmgAffub+hZAD6Vx&#10;H/S+6Lty8yLQj5IkTgbQD6AfQP+mfunjh6D39+IXgz6J0tC9D4brvX9LDNf74XoPt/hHT9P/8Ho/&#10;egj60W9d749O4jR6TdBL5Z7y8AIZnvcuBj/oO7S9geF5/7af99B98g1E3yHqup2uRblP+3bAfU92&#10;/B0AAP//AwBQSwMEFAAGAAgAAAAhAFTL1vHcAAAABAEAAA8AAABkcnMvZG93bnJldi54bWxMj81q&#10;wzAQhO+FvoPYQm6NVCekrms5hEIhhELJD/SqWBvbrbUy1iZx3r5KL+llYZhh5tt8PrhWnLAPjScN&#10;T2MFAqn0tqFKw277/piCCGzImtYTarhggHlxf5ebzPozrfG04UrEEgqZ0VAzd5mUoazRmTD2HVL0&#10;Dr53hqPsK2l7c47lrpWJUjPpTENxoTYdvtVY/myOTsNs+bzdfah16lbp5Wuh3Cd/JwetRw/D4hUE&#10;48C3MFzxIzoUkWnvj2SDaDXER/jvXr1JMgWx1zB5USCLXP6HL34BAAD//wMAUEsBAi0AFAAGAAgA&#10;AAAhALaDOJL+AAAA4QEAABMAAAAAAAAAAAAAAAAAAAAAAFtDb250ZW50X1R5cGVzXS54bWxQSwEC&#10;LQAUAAYACAAAACEAOP0h/9YAAACUAQAACwAAAAAAAAAAAAAAAAAvAQAAX3JlbHMvLnJlbHNQSwEC&#10;LQAUAAYACAAAACEA41VJlD8DAADbFQAADgAAAAAAAAAAAAAAAAAuAgAAZHJzL2Uyb0RvYy54bWxQ&#10;SwECLQAUAAYACAAAACEAVMvW8dwAAAAEAQAADwAAAAAAAAAAAAAAAACZBQAAZHJzL2Rvd25yZXYu&#10;eG1sUEsFBgAAAAAEAAQA8wAAAKIGAAAAAA==&#10;">
                      <v:shape id="_x0000_s1027" type="#_x0000_t75" style="position:absolute;width:8407;height:2476;visibility:visible;mso-wrap-style:square">
                        <v:fill o:detectmouseclick="t"/>
                        <v:path o:connecttype="none"/>
                      </v:shape>
                      <v:oval id="Oval 89" o:spid="_x0000_s1028" style="position:absolute;left:275;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5t2wgAAANsAAAAPAAAAZHJzL2Rvd25yZXYueG1sRI9Bi8Iw&#10;FITvC/6H8ARva6oHqdUoIi4IKyxmy54fzbMtNi8lidr995sFweMwM98w6+1gO3EnH1rHCmbTDARx&#10;5UzLtYLy++M9BxEissHOMSn4pQDbzehtjYVxDz7TXcdaJAiHAhU0MfaFlKFqyGKYup44eRfnLcYk&#10;fS2Nx0eC207Os2whLbacFhrsad9QddU3q+By+sr8sSs/+1up9VwP+aH9OSk1GQ+7FYhIQ3yFn+2j&#10;UZAv4f9L+gFy8wcAAP//AwBQSwECLQAUAAYACAAAACEA2+H2y+4AAACFAQAAEwAAAAAAAAAAAAAA&#10;AAAAAAAAW0NvbnRlbnRfVHlwZXNdLnhtbFBLAQItABQABgAIAAAAIQBa9CxbvwAAABUBAAALAAAA&#10;AAAAAAAAAAAAAB8BAABfcmVscy8ucmVsc1BLAQItABQABgAIAAAAIQA8z5t2wgAAANsAAAAPAAAA&#10;AAAAAAAAAAAAAAcCAABkcnMvZG93bnJldi54bWxQSwUGAAAAAAMAAwC3AAAA9gIAAAAA&#10;" fillcolor="#2b992b [3205]" strokecolor="#2b992b [3205]" strokeweight="2pt"/>
                      <v:oval id="Oval 90" o:spid="_x0000_s1029" style="position:absolute;left:1914;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KQ2vwAAANsAAAAPAAAAZHJzL2Rvd25yZXYueG1sRE9Ni8Iw&#10;EL0L/ocwgjebrodFu0ZZFgVhBTGWPQ/N2JZtJiWJWv+9OQgeH+97tRlsJ27kQ+tYwUeWgyCunGm5&#10;VlCed7MFiBCRDXaOScGDAmzW49EKC+PufKKbjrVIIRwKVNDE2BdShqohiyFzPXHiLs5bjAn6WhqP&#10;9xRuOznP809pseXU0GBPPw1V//pqFVwOx9zvu/K3v5Zaz/Ww2LZ/B6Wmk+H7C0SkIb7FL/feKFim&#10;9elL+gFy/QQAAP//AwBQSwECLQAUAAYACAAAACEA2+H2y+4AAACFAQAAEwAAAAAAAAAAAAAAAAAA&#10;AAAAW0NvbnRlbnRfVHlwZXNdLnhtbFBLAQItABQABgAIAAAAIQBa9CxbvwAAABUBAAALAAAAAAAA&#10;AAAAAAAAAB8BAABfcmVscy8ucmVsc1BLAQItABQABgAIAAAAIQAoLKQ2vwAAANsAAAAPAAAAAAAA&#10;AAAAAAAAAAcCAABkcnMvZG93bnJldi54bWxQSwUGAAAAAAMAAwC3AAAA8wIAAAAA&#10;" fillcolor="#2b992b [3205]" strokecolor="#2b992b [3205]" strokeweight="2pt"/>
                      <v:oval id="Oval 91" o:spid="_x0000_s1030" style="position:absolute;left:3552;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AGtwgAAANsAAAAPAAAAZHJzL2Rvd25yZXYueG1sRI9Bi8Iw&#10;FITvC/6H8ARva6oH0WoUEReEFRZj8fxonm2xeSlJ1O6/3ywIHoeZ+YZZbXrbigf50DhWMBlnIIhL&#10;ZxquFBTnr885iBCRDbaOScEvBdisBx8rzI178okeOlYiQTjkqKCOsculDGVNFsPYdcTJuzpvMSbp&#10;K2k8PhPctnKaZTNpseG0UGNHu5rKm75bBdfjT+YPbfHd3Qutp7qf75vLUanRsN8uQUTq4zv8ah+M&#10;gsUE/r+kHyDXfwAAAP//AwBQSwECLQAUAAYACAAAACEA2+H2y+4AAACFAQAAEwAAAAAAAAAAAAAA&#10;AAAAAAAAW0NvbnRlbnRfVHlwZXNdLnhtbFBLAQItABQABgAIAAAAIQBa9CxbvwAAABUBAAALAAAA&#10;AAAAAAAAAAAAAB8BAABfcmVscy8ucmVsc1BLAQItABQABgAIAAAAIQBHYAGtwgAAANsAAAAPAAAA&#10;AAAAAAAAAAAAAAcCAABkcnMvZG93bnJldi54bWxQSwUGAAAAAAMAAwC3AAAA9gIAAAAA&#10;" fillcolor="#2b992b [3205]" strokecolor="#2b992b [3205]" strokeweight="2pt"/>
                      <v:oval id="Oval 92" o:spid="_x0000_s1031" style="position:absolute;left:5190;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p/awgAAANsAAAAPAAAAZHJzL2Rvd25yZXYueG1sRI9Bi8Iw&#10;FITvC/6H8ARva2oPotUoIi4IKyxmy54fzbMtNi8lidr995sFweMwM98w6+1gO3EnH1rHCmbTDARx&#10;5UzLtYLy++N9ASJEZIOdY1LwSwG2m9HbGgvjHnymu461SBAOBSpoYuwLKUPVkMUwdT1x8i7OW4xJ&#10;+loaj48Et53Ms2wuLbacFhrsad9QddU3q+By+sr8sSs/+1upda6HxaH9OSk1GQ+7FYhIQ3yFn+2j&#10;UbDM4f9L+gFy8wcAAP//AwBQSwECLQAUAAYACAAAACEA2+H2y+4AAACFAQAAEwAAAAAAAAAAAAAA&#10;AAAAAAAAW0NvbnRlbnRfVHlwZXNdLnhtbFBLAQItABQABgAIAAAAIQBa9CxbvwAAABUBAAALAAAA&#10;AAAAAAAAAAAAAB8BAABfcmVscy8ucmVsc1BLAQItABQABgAIAAAAIQC3sp/awgAAANsAAAAPAAAA&#10;AAAAAAAAAAAAAAcCAABkcnMvZG93bnJldi54bWxQSwUGAAAAAAMAAwC3AAAA9gIAAAAA&#10;" fillcolor="#2b992b [3205]" strokecolor="#2b992b [3205]" strokeweight="2pt"/>
                      <v:oval id="Oval 93" o:spid="_x0000_s1032" style="position:absolute;left:6829;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c4hxQAAANsAAAAPAAAAZHJzL2Rvd25yZXYueG1sRI9BawIx&#10;FITvBf9DeIK3mrWC1NUoVhGEHtqqiN4em+dmdfOybqK7/fdNodDjMDPfMNN5a0vxoNoXjhUM+gkI&#10;4szpgnMF+936+RWED8gaS8ek4Js8zGedpymm2jX8RY9tyEWEsE9RgQmhSqX0mSGLvu8q4uidXW0x&#10;RFnnUtfYRLgt5UuSjKTFguOCwYqWhrLr9m4VVGU4XZajj3e9upzzz/XNHI7Nm1K9bruYgAjUhv/w&#10;X3ujFYyH8Psl/gA5+wEAAP//AwBQSwECLQAUAAYACAAAACEA2+H2y+4AAACFAQAAEwAAAAAAAAAA&#10;AAAAAAAAAAAAW0NvbnRlbnRfVHlwZXNdLnhtbFBLAQItABQABgAIAAAAIQBa9CxbvwAAABUBAAAL&#10;AAAAAAAAAAAAAAAAAB8BAABfcmVscy8ucmVsc1BLAQItABQABgAIAAAAIQAV1c4hxQAAANsAAAAP&#10;AAAAAAAAAAAAAAAAAAcCAABkcnMvZG93bnJldi54bWxQSwUGAAAAAAMAAwC3AAAA+QIAAAAA&#10;" filled="f" strokecolor="#2b992b [3205]" strokeweight="2pt"/>
                      <w10:anchorlock/>
                    </v:group>
                  </w:pict>
                </mc:Fallback>
              </mc:AlternateContent>
            </w:r>
          </w:p>
          <w:p w14:paraId="1DEB0EF5" w14:textId="5C1F189F" w:rsidR="00F5478E" w:rsidRDefault="00F5478E" w:rsidP="00CB4863">
            <w:r>
              <w:t>Very good</w:t>
            </w:r>
          </w:p>
        </w:tc>
      </w:tr>
      <w:tr w:rsidR="003D22E9" w14:paraId="1433E944" w14:textId="77777777" w:rsidTr="003C23B9">
        <w:tc>
          <w:tcPr>
            <w:tcW w:w="2439" w:type="dxa"/>
          </w:tcPr>
          <w:p w14:paraId="4B5F3898" w14:textId="387F5552" w:rsidR="00F5478E" w:rsidRDefault="00F5478E" w:rsidP="00CB4863">
            <w:pPr>
              <w:jc w:val="left"/>
            </w:pPr>
            <w:r w:rsidRPr="008B4498">
              <w:t>KPI 2 – Communication with regulated entities is clear, targeted and effective</w:t>
            </w:r>
          </w:p>
        </w:tc>
        <w:tc>
          <w:tcPr>
            <w:tcW w:w="1701" w:type="dxa"/>
          </w:tcPr>
          <w:p w14:paraId="74F60B1E" w14:textId="644F701B" w:rsidR="008A7E6E" w:rsidRDefault="0074361D" w:rsidP="00CB4863">
            <w:r>
              <w:rPr>
                <w:noProof/>
                <w:lang w:eastAsia="en-AU"/>
              </w:rPr>
              <mc:AlternateContent>
                <mc:Choice Requires="wpc">
                  <w:drawing>
                    <wp:inline distT="0" distB="0" distL="0" distR="0" wp14:anchorId="568CA156" wp14:editId="6C163ECD">
                      <wp:extent cx="840740" cy="247650"/>
                      <wp:effectExtent l="0" t="0" r="0" b="0"/>
                      <wp:docPr id="106" name="Canvas 10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1" name="Oval 101"/>
                              <wps:cNvSpPr/>
                              <wps:spPr>
                                <a:xfrm>
                                  <a:off x="2759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Oval 102"/>
                              <wps:cNvSpPr/>
                              <wps:spPr>
                                <a:xfrm>
                                  <a:off x="19142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Oval 103"/>
                              <wps:cNvSpPr/>
                              <wps:spPr>
                                <a:xfrm>
                                  <a:off x="35525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Oval 104"/>
                              <wps:cNvSpPr/>
                              <wps:spPr>
                                <a:xfrm>
                                  <a:off x="51908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Oval 105"/>
                              <wps:cNvSpPr/>
                              <wps:spPr>
                                <a:xfrm>
                                  <a:off x="68291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2030829" id="Canvas 106" o:spid="_x0000_s1026" editas="canvas" style="width:66.2pt;height:19.5pt;mso-position-horizontal-relative:char;mso-position-vertical-relative:line" coordsize="840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7zWLQMAAOUVAAAOAAAAZHJzL2Uyb0RvYy54bWzsWFtr2zAUfh/sPwi9r74k7mpTp4SUjkFp&#10;y9rRZ0WWE4MseZISJ/v1O5LsNKTd1l0oBJwHRfI5OvdPts75xabmaM2UrqTIcXQSYsQElUUlFjn+&#10;+nD14QwjbYgoCJeC5XjLNL6YvH933jYZi+VS8oIpBEKEztomx0tjmiwINF2ymugT2TABxFKqmhhY&#10;qkVQKNKC9JoHcRieBq1URaMkZVrD00tPxBMnvywZNbdlqZlBPMdgm3GjcuPcjsHknGQLRZplRTsz&#10;yF9YUZNKgNKdqEtiCFqp6pmouqJKalmaEyrrQJZlRZnzAbyJwgNvZkSsiXbOUIhObyDM/qPc+QJi&#10;ACKzFpLB3BxSoZtdUvS/KbtfkoY5H3RGb9Z3ClUFVEoYYSRIDSVxuyYc2XWnG5jumzvVrTRMbWA3&#10;partP4QMbXIcf0zSFKNtjk/TNE58HtnGIArEaBRFCcinQI5GYRqmlh48CWmUNp+YrJGd5JhxXjXa&#10;Gkkysr7WxnP3XPYxF3bUklfFVcW5W9gaZTOuEDiQY0IpEybuNO1xgl67O2gbnXlv3MxsOfOSv7AS&#10;YmKdcha42n8u16lckoJ5dUkIv15Zb4lzkgsQaLlLMHQnO/qVbO9vx2+3Mged3ebw95t3O5xmKcxu&#10;c10JqV4SwI3LOcSn9Px9kHxobJTmsthCxSjpgasbelVByq6JNndEAVIB03D6mFsYSi7bHMtuhtFS&#10;qu8vPbf8UNJAxagF5OdYf1sRxTDinwUUexqNx/aocItx8jGGhdqnzPcpYlXPJKQfyg2sc1PLb3g/&#10;LZWsH+GQmlqtQCKCgu4cU6P6xcz4EwmOOcqmU8cGx0NDzLW4t2D3ybP1+LB5JKrp6tZAwd/IHmDP&#10;atfz2nwIOV0ZWVausJ/i2sUbwG5PgDdBfXyAeocXq/tVqI8gN/EA+wH2gKMB9v69ehSwHx3AfmRL&#10;+NWwHyVJnAywH2A/wP643vbjA9iP/wj2SZSGZwPsB9gPsD8u2CcHsHfX81e/7U/P4jR6S9gLaa/0&#10;8EEyXPNtDH7Sf/A9guGaf9zXfOhCuVai6xR1fU/brNxfu7bAU3d28gMAAP//AwBQSwMEFAAGAAgA&#10;AAAhAFTL1vHcAAAABAEAAA8AAABkcnMvZG93bnJldi54bWxMj81qwzAQhO+FvoPYQm6NVCekrms5&#10;hEIhhELJD/SqWBvbrbUy1iZx3r5KL+llYZhh5tt8PrhWnLAPjScNT2MFAqn0tqFKw277/piCCGzI&#10;mtYTarhggHlxf5ebzPozrfG04UrEEgqZ0VAzd5mUoazRmTD2HVL0Dr53hqPsK2l7c47lrpWJUjPp&#10;TENxoTYdvtVY/myOTsNs+bzdfah16lbp5Wuh3Cd/JwetRw/D4hUE48C3MFzxIzoUkWnvj2SDaDXE&#10;R/jvXr1JMgWx1zB5USCLXP6HL34BAAD//wMAUEsBAi0AFAAGAAgAAAAhALaDOJL+AAAA4QEAABMA&#10;AAAAAAAAAAAAAAAAAAAAAFtDb250ZW50X1R5cGVzXS54bWxQSwECLQAUAAYACAAAACEAOP0h/9YA&#10;AACUAQAACwAAAAAAAAAAAAAAAAAvAQAAX3JlbHMvLnJlbHNQSwECLQAUAAYACAAAACEAY9+81i0D&#10;AADlFQAADgAAAAAAAAAAAAAAAAAuAgAAZHJzL2Uyb0RvYy54bWxQSwECLQAUAAYACAAAACEAVMvW&#10;8dwAAAAEAQAADwAAAAAAAAAAAAAAAACHBQAAZHJzL2Rvd25yZXYueG1sUEsFBgAAAAAEAAQA8wAA&#10;AJAGAAAAAA==&#10;">
                      <v:shape id="_x0000_s1027" type="#_x0000_t75" style="position:absolute;width:8407;height:2476;visibility:visible;mso-wrap-style:square">
                        <v:fill o:detectmouseclick="t"/>
                        <v:path o:connecttype="none"/>
                      </v:shape>
                      <v:oval id="Oval 101" o:spid="_x0000_s1028" style="position:absolute;left:275;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kQfwAAAANwAAAAPAAAAZHJzL2Rvd25yZXYueG1sRE9NawIx&#10;EL0X/A9hhN5qogeR1ShFFASF0rh4Hjbj7tLNZEmirv++KRS8zeN9zmozuE7cKcTWs4bpRIEgrrxt&#10;udZQnvcfCxAxIVvsPJOGJ0XYrEdvKyysf/A33U2qRQ7hWKCGJqW+kDJWDTmME98TZ+7qg8OUYail&#10;DfjI4a6TM6Xm0mHLuaHBnrYNVT/m5jRcT18qHLry2N9KY2ZmWOzay0nr9/HwuQSRaEgv8b/7YPN8&#10;NYW/Z/IFcv0LAAD//wMAUEsBAi0AFAAGAAgAAAAhANvh9svuAAAAhQEAABMAAAAAAAAAAAAAAAAA&#10;AAAAAFtDb250ZW50X1R5cGVzXS54bWxQSwECLQAUAAYACAAAACEAWvQsW78AAAAVAQAACwAAAAAA&#10;AAAAAAAAAAAfAQAAX3JlbHMvLnJlbHNQSwECLQAUAAYACAAAACEAPMZEH8AAAADcAAAADwAAAAAA&#10;AAAAAAAAAAAHAgAAZHJzL2Rvd25yZXYueG1sUEsFBgAAAAADAAMAtwAAAPQCAAAAAA==&#10;" fillcolor="#2b992b [3205]" strokecolor="#2b992b [3205]" strokeweight="2pt"/>
                      <v:oval id="Oval 102" o:spid="_x0000_s1029" style="position:absolute;left:1914;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powQAAANwAAAAPAAAAZHJzL2Rvd25yZXYueG1sRE9NawIx&#10;EL0X/A9hBG816R6KrEYRqSAolKaL52Ez7i5uJksSdfvvTaHQ2zze56w2o+vFnULsPGt4mysQxLW3&#10;HTcaqu/96wJETMgWe8+k4YcibNaTlxWW1j/4i+4mNSKHcCxRQ5vSUEoZ65YcxrkfiDN38cFhyjA0&#10;0gZ85HDXy0Kpd+mw49zQ4kC7luqruTkNl9OnCoe+Og63ypjCjIuP7nzSejYdt0sQicb0L/5zH2ye&#10;rwr4fSZfINdPAAAA//8DAFBLAQItABQABgAIAAAAIQDb4fbL7gAAAIUBAAATAAAAAAAAAAAAAAAA&#10;AAAAAABbQ29udGVudF9UeXBlc10ueG1sUEsBAi0AFAAGAAgAAAAhAFr0LFu/AAAAFQEAAAsAAAAA&#10;AAAAAAAAAAAAHwEAAF9yZWxzLy5yZWxzUEsBAi0AFAAGAAgAAAAhAMwU2mjBAAAA3AAAAA8AAAAA&#10;AAAAAAAAAAAABwIAAGRycy9kb3ducmV2LnhtbFBLBQYAAAAAAwADALcAAAD1AgAAAAA=&#10;" fillcolor="#2b992b [3205]" strokecolor="#2b992b [3205]" strokeweight="2pt"/>
                      <v:oval id="Oval 103" o:spid="_x0000_s1030" style="position:absolute;left:3552;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H/zwQAAANwAAAAPAAAAZHJzL2Rvd25yZXYueG1sRE9NawIx&#10;EL0X+h/CFHqrSS2IrEYRaUGoIMbF87AZdxc3kyWJuv33jSB4m8f7nPlycJ24UoitZw2fIwWCuPK2&#10;5VpDefj5mIKICdli55k0/FGE5eL1ZY6F9Tfe09WkWuQQjgVqaFLqCylj1ZDDOPI9ceZOPjhMGYZa&#10;2oC3HO46OVZqIh22nBsa7GndUHU2F6fhtN2psOnK3/5SGjM2w/S7PW61fn8bVjMQiYb0FD/cG5vn&#10;qy+4P5MvkIt/AAAA//8DAFBLAQItABQABgAIAAAAIQDb4fbL7gAAAIUBAAATAAAAAAAAAAAAAAAA&#10;AAAAAABbQ29udGVudF9UeXBlc10ueG1sUEsBAi0AFAAGAAgAAAAhAFr0LFu/AAAAFQEAAAsAAAAA&#10;AAAAAAAAAAAAHwEAAF9yZWxzLy5yZWxzUEsBAi0AFAAGAAgAAAAhAKNYf/PBAAAA3AAAAA8AAAAA&#10;AAAAAAAAAAAABwIAAGRycy9kb3ducmV2LnhtbFBLBQYAAAAAAwADALcAAAD1AgAAAAA=&#10;" fillcolor="#2b992b [3205]" strokecolor="#2b992b [3205]" strokeweight="2pt"/>
                      <v:oval id="Oval 104" o:spid="_x0000_s1031" style="position:absolute;left:5190;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eeHwQAAANwAAAAPAAAAZHJzL2Rvd25yZXYueG1sRE9NawIx&#10;EL0X+h/CFHqrSaWIrEYRaUGoIMbF87AZdxc3kyWJuv33jSB4m8f7nPlycJ24UoitZw2fIwWCuPK2&#10;5VpDefj5mIKICdli55k0/FGE5eL1ZY6F9Tfe09WkWuQQjgVqaFLqCylj1ZDDOPI9ceZOPjhMGYZa&#10;2oC3HO46OVZqIh22nBsa7GndUHU2F6fhtN2psOnK3/5SGjM2w/S7PW61fn8bVjMQiYb0FD/cG5vn&#10;qy+4P5MvkIt/AAAA//8DAFBLAQItABQABgAIAAAAIQDb4fbL7gAAAIUBAAATAAAAAAAAAAAAAAAA&#10;AAAAAABbQ29udGVudF9UeXBlc10ueG1sUEsBAi0AFAAGAAgAAAAhAFr0LFu/AAAAFQEAAAsAAAAA&#10;AAAAAAAAAAAAHwEAAF9yZWxzLy5yZWxzUEsBAi0AFAAGAAgAAAAhACyx54fBAAAA3AAAAA8AAAAA&#10;AAAAAAAAAAAABwIAAGRycy9kb3ducmV2LnhtbFBLBQYAAAAAAwADALcAAAD1AgAAAAA=&#10;" fillcolor="#2b992b [3205]" strokecolor="#2b992b [3205]" strokeweight="2pt"/>
                      <v:oval id="Oval 105" o:spid="_x0000_s1032" style="position:absolute;left:6829;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f5wwAAANwAAAAPAAAAZHJzL2Rvd25yZXYueG1sRE9LawIx&#10;EL4L/ocwhd40W6Eiq1GqIhR6qI9S7G3YjJvVzWTdpO76740geJuP7zmTWWtLcaHaF44VvPUTEMSZ&#10;0wXnCn52q94IhA/IGkvHpOBKHmbTbmeCqXYNb+iyDbmIIexTVGBCqFIpfWbIou+7ijhyB1dbDBHW&#10;udQ1NjHclnKQJENpseDYYLCihaHstP23Cqoy/B0Xw+8vvTwe8vXqbH73zVyp15f2YwwiUBue4of7&#10;U8f5yTvcn4kXyOkNAAD//wMAUEsBAi0AFAAGAAgAAAAhANvh9svuAAAAhQEAABMAAAAAAAAAAAAA&#10;AAAAAAAAAFtDb250ZW50X1R5cGVzXS54bWxQSwECLQAUAAYACAAAACEAWvQsW78AAAAVAQAACwAA&#10;AAAAAAAAAAAAAAAfAQAAX3JlbHMvLnJlbHNQSwECLQAUAAYACAAAACEAZbf3+cMAAADcAAAADwAA&#10;AAAAAAAAAAAAAAAHAgAAZHJzL2Rvd25yZXYueG1sUEsFBgAAAAADAAMAtwAAAPcCAAAAAA==&#10;" filled="f" strokecolor="#2b992b [3205]" strokeweight="2pt"/>
                      <w10:anchorlock/>
                    </v:group>
                  </w:pict>
                </mc:Fallback>
              </mc:AlternateContent>
            </w:r>
          </w:p>
          <w:p w14:paraId="75B92F45" w14:textId="28844273" w:rsidR="00F5478E" w:rsidRPr="00B63BEE" w:rsidRDefault="00456E62" w:rsidP="00CB4863">
            <w:r>
              <w:t>Very good</w:t>
            </w:r>
          </w:p>
        </w:tc>
        <w:tc>
          <w:tcPr>
            <w:tcW w:w="3680" w:type="dxa"/>
          </w:tcPr>
          <w:p w14:paraId="0620A22C" w14:textId="43AD9851" w:rsidR="00F5478E" w:rsidRDefault="00F5478E" w:rsidP="00CB4863">
            <w:pPr>
              <w:jc w:val="left"/>
            </w:pPr>
            <w:r w:rsidRPr="00B63BEE">
              <w:t xml:space="preserve">A number of positive communication initiatives are in place. </w:t>
            </w:r>
            <w:r>
              <w:t>Further improvements in specific areas can be achieved, especially around feedback on applications and internal information sharing</w:t>
            </w:r>
            <w:r w:rsidRPr="00B63BEE">
              <w:t>.</w:t>
            </w:r>
          </w:p>
        </w:tc>
        <w:tc>
          <w:tcPr>
            <w:tcW w:w="1700" w:type="dxa"/>
          </w:tcPr>
          <w:p w14:paraId="678E33B1" w14:textId="57656FE2" w:rsidR="00F5478E" w:rsidRDefault="0074361D" w:rsidP="00CB4863">
            <w:r>
              <w:rPr>
                <w:noProof/>
                <w:lang w:eastAsia="en-AU"/>
              </w:rPr>
              <mc:AlternateContent>
                <mc:Choice Requires="wpc">
                  <w:drawing>
                    <wp:inline distT="0" distB="0" distL="0" distR="0" wp14:anchorId="6982120E" wp14:editId="3DFBA4F0">
                      <wp:extent cx="840740" cy="247650"/>
                      <wp:effectExtent l="0" t="0" r="0" b="0"/>
                      <wp:docPr id="100" name="Canvas 10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5" name="Oval 95"/>
                              <wps:cNvSpPr/>
                              <wps:spPr>
                                <a:xfrm>
                                  <a:off x="2759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Oval 96"/>
                              <wps:cNvSpPr/>
                              <wps:spPr>
                                <a:xfrm>
                                  <a:off x="19142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Oval 97"/>
                              <wps:cNvSpPr/>
                              <wps:spPr>
                                <a:xfrm>
                                  <a:off x="35525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Oval 98"/>
                              <wps:cNvSpPr/>
                              <wps:spPr>
                                <a:xfrm>
                                  <a:off x="51908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Oval 99"/>
                              <wps:cNvSpPr/>
                              <wps:spPr>
                                <a:xfrm>
                                  <a:off x="68291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B298E2F" id="Canvas 100" o:spid="_x0000_s1026" editas="canvas" style="width:66.2pt;height:19.5pt;mso-position-horizontal-relative:char;mso-position-vertical-relative:line" coordsize="840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v0LwMAANsVAAAOAAAAZHJzL2Uyb0RvYy54bWzsWFtP2zAUfp+0/2D5feQCKU1Eiqoipklo&#10;oMHEs+vYbSTHzmy3affrd+wkpQy2wTYhVUof3OP4+Nw/Jz5n55tKoDXTplQyx9FRiBGTVBWlXOT4&#10;693lhzFGxhJZEKEky/GWGXw+ef/urKkzFqulEgXTCIRIkzV1jpfW1lkQGLpkFTFHqmYSFrnSFbEw&#10;1Yug0KQB6ZUI4jAcBY3SRa0VZcbA04t2EU+8fM4ZtdecG2aRyDHYZv2o/Th3YzA5I9lCk3pZ0s4M&#10;8hdWVKSUoHQn6oJYgla6fCKqKqlWRnF7RFUVKM5LyrwP4E0U/uTNjMg1Md4ZCtHpDQTqP8qdLyAG&#10;IDJrIBnM05AKU++SYv5N2e2S1Mz7YDL6eX2jUVnkOE0wkqSCirheE4Fg2mkGltv6RnczA6QL64br&#10;yv1DwNAmx/FpkqYYbXM8StPY7yUZ21hEYTE6jqIkwojCcnQcpmHqZAcPQmpt7EemKuSIHDMhyto4&#10;E0lG1lfGttw9l3sspBuNEmVxWQrhJ65C2UxoBPbnmFDKpI07TXucoNftDpraZK03nrJbwVrJXxiH&#10;iDinvAW+8p/K9SqXpGCtuiSEX6+st8Q7KSQIdNwcDN3Jjn4nu/W343dbmQfObnP45827HV6zkna3&#10;uSql0s8JEDbqHOAtfx+kNjQuSnNVbKFetGpha2p6WULKroixN0QDTgHRcPbYaxi4UE2OVUdhtFT6&#10;+3PPHT8UNKxi1ADuc2y+rYhmGIlPEko9jU5O3EHhJyfJaQwTvb8y31+Rq2qmIP1QbmCdJx2/FT3J&#10;taru4YiaOq2wRCQF3TmmVveTmW3PIzjkKJtOPRscDjWxV/LWQb1NnqvHu8090XVXtxYK/rPq4fWk&#10;dltelw+ppiureOkL+yGuXbwB6g7/b4H50WPMj1z+neYXYT6CzMQD6AfQA4oG0Lfv1EMA/elj0J++&#10;CvTHSRInA+gH0A+gP6g3Pdz69r/ux68CfRKl4XgA/QD6AfQHBXqA7D7o/bX7xZ/3o3GcRm8Jeqnc&#10;VR5uIMP13sXgF32HtjcwXO8P+3oP3SffQPQdoq7b6VqU+3PfDnjoyU5+AAAA//8DAFBLAwQUAAYA&#10;CAAAACEAVMvW8dwAAAAEAQAADwAAAGRycy9kb3ducmV2LnhtbEyPzWrDMBCE74W+g9hCbo1UJ6Su&#10;azmEQiGEQskP9KpYG9uttTLWJnHevkov6WVhmGHm23w+uFacsA+NJw1PYwUCqfS2oUrDbvv+mIII&#10;bMia1hNquGCAeXF/l5vM+jOt8bThSsQSCpnRUDN3mZShrNGZMPYdUvQOvneGo+wraXtzjuWulYlS&#10;M+lMQ3GhNh2+1Vj+bI5Ow2z5vN19qHXqVunla6HcJ38nB61HD8PiFQTjwLcwXPEjOhSRae+PZINo&#10;NcRH+O9evUkyBbHXMHlRIItc/ocvfgEAAP//AwBQSwECLQAUAAYACAAAACEAtoM4kv4AAADhAQAA&#10;EwAAAAAAAAAAAAAAAAAAAAAAW0NvbnRlbnRfVHlwZXNdLnhtbFBLAQItABQABgAIAAAAIQA4/SH/&#10;1gAAAJQBAAALAAAAAAAAAAAAAAAAAC8BAABfcmVscy8ucmVsc1BLAQItABQABgAIAAAAIQBjHcv0&#10;LwMAANsVAAAOAAAAAAAAAAAAAAAAAC4CAABkcnMvZTJvRG9jLnhtbFBLAQItABQABgAIAAAAIQBU&#10;y9bx3AAAAAQBAAAPAAAAAAAAAAAAAAAAAIkFAABkcnMvZG93bnJldi54bWxQSwUGAAAAAAQABADz&#10;AAAAkgYAAAAA&#10;">
                      <v:shape id="_x0000_s1027" type="#_x0000_t75" style="position:absolute;width:8407;height:2476;visibility:visible;mso-wrap-style:square">
                        <v:fill o:detectmouseclick="t"/>
                        <v:path o:connecttype="none"/>
                      </v:shape>
                      <v:oval id="Oval 95" o:spid="_x0000_s1028" style="position:absolute;left:275;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weuwgAAANsAAAAPAAAAZHJzL2Rvd25yZXYueG1sRI9BawIx&#10;FITvBf9DeEJvNatg0dUoIgqCQmlcPD82z93FzcuSRN3+e1Mo9DjMzDfMct3bVjzIh8axgvEoA0Fc&#10;OtNwpaA47z9mIEJENtg6JgU/FGC9GrwtMTfuyd/00LESCcIhRwV1jF0uZShrshhGriNO3tV5izFJ&#10;X0nj8ZngtpWTLPuUFhtOCzV2tK2pvOm7VXA9fWX+0BbH7l5oPdH9bNdcTkq9D/vNAkSkPv6H/9oH&#10;o2A+hd8v6QfI1QsAAP//AwBQSwECLQAUAAYACAAAACEA2+H2y+4AAACFAQAAEwAAAAAAAAAAAAAA&#10;AAAAAAAAW0NvbnRlbnRfVHlwZXNdLnhtbFBLAQItABQABgAIAAAAIQBa9CxbvwAAABUBAAALAAAA&#10;AAAAAAAAAAAAAB8BAABfcmVscy8ucmVsc1BLAQItABQABgAIAAAAIQA4WweuwgAAANsAAAAPAAAA&#10;AAAAAAAAAAAAAAcCAABkcnMvZG93bnJldi54bWxQSwUGAAAAAAMAAwC3AAAA9gIAAAAA&#10;" fillcolor="#2b992b [3205]" strokecolor="#2b992b [3205]" strokeweight="2pt"/>
                      <v:oval id="Oval 96" o:spid="_x0000_s1029" style="position:absolute;left:1914;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ZnZwgAAANsAAAAPAAAAZHJzL2Rvd25yZXYueG1sRI9Bi8Iw&#10;FITvC/6H8IS9rakexK1GEVEQVlg2Fs+P5tkWm5eSRK3/3iwIHoeZ+YZZrHrbihv50DhWMB5lIIhL&#10;ZxquFBTH3dcMRIjIBlvHpOBBAVbLwccCc+Pu/Ec3HSuRIBxyVFDH2OVShrImi2HkOuLknZ23GJP0&#10;lTQe7wluWznJsqm02HBaqLGjTU3lRV+tgvPhN/P7tvjproXWE93Pts3poNTnsF/PQUTq4zv8au+N&#10;gu8p/H9JP0AunwAAAP//AwBQSwECLQAUAAYACAAAACEA2+H2y+4AAACFAQAAEwAAAAAAAAAAAAAA&#10;AAAAAAAAW0NvbnRlbnRfVHlwZXNdLnhtbFBLAQItABQABgAIAAAAIQBa9CxbvwAAABUBAAALAAAA&#10;AAAAAAAAAAAAAB8BAABfcmVscy8ucmVsc1BLAQItABQABgAIAAAAIQDIiZnZwgAAANsAAAAPAAAA&#10;AAAAAAAAAAAAAAcCAABkcnMvZG93bnJldi54bWxQSwUGAAAAAAMAAwC3AAAA9gIAAAAA&#10;" fillcolor="#2b992b [3205]" strokecolor="#2b992b [3205]" strokeweight="2pt"/>
                      <v:oval id="Oval 97" o:spid="_x0000_s1030" style="position:absolute;left:3552;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TxCwwAAANsAAAAPAAAAZHJzL2Rvd25yZXYueG1sRI9BawIx&#10;FITvBf9DeEJvNasHq6tRRBQEhdK4eH5snruLm5clibr996ZQ6HGYmW+Y5bq3rXiQD41jBeNRBoK4&#10;dKbhSkFx3n/MQISIbLB1TAp+KMB6NXhbYm7ck7/poWMlEoRDjgrqGLtcylDWZDGMXEecvKvzFmOS&#10;vpLG4zPBbSsnWTaVFhtOCzV2tK2pvOm7VXA9fWX+0BbH7l5oPdH9bNdcTkq9D/vNAkSkPv6H/9oH&#10;o2D+Cb9f0g+QqxcAAAD//wMAUEsBAi0AFAAGAAgAAAAhANvh9svuAAAAhQEAABMAAAAAAAAAAAAA&#10;AAAAAAAAAFtDb250ZW50X1R5cGVzXS54bWxQSwECLQAUAAYACAAAACEAWvQsW78AAAAVAQAACwAA&#10;AAAAAAAAAAAAAAAfAQAAX3JlbHMvLnJlbHNQSwECLQAUAAYACAAAACEAp8U8QsMAAADbAAAADwAA&#10;AAAAAAAAAAAAAAAHAgAAZHJzL2Rvd25yZXYueG1sUEsFBgAAAAADAAMAtwAAAPcCAAAAAA==&#10;" fillcolor="#2b992b [3205]" strokecolor="#2b992b [3205]" strokeweight="2pt"/>
                      <v:oval id="Oval 98" o:spid="_x0000_s1031" style="position:absolute;left:5190;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gwvwAAANsAAAAPAAAAZHJzL2Rvd25yZXYueG1sRE9Ni8Iw&#10;EL0L/ocwgjebrodFu0ZZFgVhBTGWPQ/N2JZtJiWJWv+9OQgeH+97tRlsJ27kQ+tYwUeWgyCunGm5&#10;VlCed7MFiBCRDXaOScGDAmzW49EKC+PufKKbjrVIIRwKVNDE2BdShqohiyFzPXHiLs5bjAn6WhqP&#10;9xRuOznP809pseXU0GBPPw1V//pqFVwOx9zvu/K3v5Zaz/Ww2LZ/B6Wmk+H7C0SkIb7FL/feKFim&#10;selL+gFy/QQAAP//AwBQSwECLQAUAAYACAAAACEA2+H2y+4AAACFAQAAEwAAAAAAAAAAAAAAAAAA&#10;AAAAW0NvbnRlbnRfVHlwZXNdLnhtbFBLAQItABQABgAIAAAAIQBa9CxbvwAAABUBAAALAAAAAAAA&#10;AAAAAAAAAB8BAABfcmVscy8ucmVsc1BLAQItABQABgAIAAAAIQDWWqgwvwAAANsAAAAPAAAAAAAA&#10;AAAAAAAAAAcCAABkcnMvZG93bnJldi54bWxQSwUGAAAAAAMAAwC3AAAA8wIAAAAA&#10;" fillcolor="#2b992b [3205]" strokecolor="#2b992b [3205]" strokeweight="2pt"/>
                      <v:oval id="Oval 99" o:spid="_x0000_s1032" style="position:absolute;left:6829;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fnLxgAAANsAAAAPAAAAZHJzL2Rvd25yZXYueG1sRI9Pa8JA&#10;FMTvgt9heUJvumkPUlM30lqEggfrH4reHtmXbGz2bZrdmvTbuwXB4zAzv2Hmi97W4kKtrxwreJwk&#10;IIhzpysuFRz2q/EzCB+QNdaOScEfeVhkw8EcU+063tJlF0oRIexTVGBCaFIpfW7Iop+4hjh6hWst&#10;hijbUuoWuwi3tXxKkqm0WHFcMNjQ0lD+vfu1Cpo6nM7L6Wat389F+bn6MV/H7k2ph1H/+gIiUB/u&#10;4Vv7QyuYzeD/S/wBMrsCAAD//wMAUEsBAi0AFAAGAAgAAAAhANvh9svuAAAAhQEAABMAAAAAAAAA&#10;AAAAAAAAAAAAAFtDb250ZW50X1R5cGVzXS54bWxQSwECLQAUAAYACAAAACEAWvQsW78AAAAVAQAA&#10;CwAAAAAAAAAAAAAAAAAfAQAAX3JlbHMvLnJlbHNQSwECLQAUAAYACAAAACEAdD35y8YAAADbAAAA&#10;DwAAAAAAAAAAAAAAAAAHAgAAZHJzL2Rvd25yZXYueG1sUEsFBgAAAAADAAMAtwAAAPoCAAAAAA==&#10;" filled="f" strokecolor="#2b992b [3205]" strokeweight="2pt"/>
                      <w10:anchorlock/>
                    </v:group>
                  </w:pict>
                </mc:Fallback>
              </mc:AlternateContent>
            </w:r>
          </w:p>
          <w:p w14:paraId="2CFA2A42" w14:textId="55620E2D" w:rsidR="00F5478E" w:rsidRDefault="00F5478E" w:rsidP="00CB4863">
            <w:r>
              <w:t>Very good</w:t>
            </w:r>
          </w:p>
        </w:tc>
      </w:tr>
      <w:tr w:rsidR="003D22E9" w14:paraId="122E9AA8" w14:textId="77777777" w:rsidTr="003C23B9">
        <w:trPr>
          <w:cnfStyle w:val="000000010000" w:firstRow="0" w:lastRow="0" w:firstColumn="0" w:lastColumn="0" w:oddVBand="0" w:evenVBand="0" w:oddHBand="0" w:evenHBand="1" w:firstRowFirstColumn="0" w:firstRowLastColumn="0" w:lastRowFirstColumn="0" w:lastRowLastColumn="0"/>
        </w:trPr>
        <w:tc>
          <w:tcPr>
            <w:tcW w:w="2439" w:type="dxa"/>
          </w:tcPr>
          <w:p w14:paraId="26888D87" w14:textId="3B0608F1" w:rsidR="00F5478E" w:rsidRDefault="00F5478E" w:rsidP="00CB4863">
            <w:pPr>
              <w:jc w:val="left"/>
            </w:pPr>
            <w:r w:rsidRPr="008B4498">
              <w:t>KPI 3 – Actions undertaken by regulators are proportionate to the regulatory risk being managed</w:t>
            </w:r>
          </w:p>
        </w:tc>
        <w:tc>
          <w:tcPr>
            <w:tcW w:w="1701" w:type="dxa"/>
          </w:tcPr>
          <w:p w14:paraId="1FD3EDB1" w14:textId="55236D6D" w:rsidR="008A7E6E" w:rsidRDefault="0074361D" w:rsidP="000D0687">
            <w:r>
              <w:rPr>
                <w:noProof/>
                <w:lang w:eastAsia="en-AU"/>
              </w:rPr>
              <mc:AlternateContent>
                <mc:Choice Requires="wpc">
                  <w:drawing>
                    <wp:inline distT="0" distB="0" distL="0" distR="0" wp14:anchorId="4B29D9D2" wp14:editId="1F96245C">
                      <wp:extent cx="840740" cy="247650"/>
                      <wp:effectExtent l="0" t="0" r="0" b="0"/>
                      <wp:docPr id="29"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4" name="Oval 24"/>
                              <wps:cNvSpPr/>
                              <wps:spPr>
                                <a:xfrm>
                                  <a:off x="2759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19142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35525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51908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68291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A5C0DB" id="Canvas 29" o:spid="_x0000_s1026" editas="canvas" style="width:66.2pt;height:19.5pt;mso-position-horizontal-relative:char;mso-position-vertical-relative:line" coordsize="840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IOOgMAAOYVAAAOAAAAZHJzL2Uyb0RvYy54bWzsWFtP2zAUfp+0/2D5feRC0zYRKaqKmCYh&#10;QIOJZ9dx2kiOndnubb9+x3ZSymAbbAgJKX1w7Zzjc/+c+JycbmuO1kzpSoocR0chRkxQWVRikeNv&#10;t+efxhhpQ0RBuBQsxzum8enk44eTTZOxWC4lL5hCIETobNPkeGlMkwWBpktWE30kGyaAWEpVEwNL&#10;tQgKRTYgveZBHIbDYCNV0ShJmdbw9MwT8cTJL0tGzVVZamYQzzHYZtyo3Di3YzA5IdlCkWZZ0dYM&#10;8g9W1KQSoHQv6owYglaqeiSqrqiSWpbmiMo6kGVZUeZ8AG+i8BdvZkSsiXbOUIhOZyDMXlHufAEx&#10;AJHZBpLB3BxSoZt9UvT/KbtZkoY5H3RGL9fXClVFjuMBRoLUUBFXa8IRLFvNwHLTXKt2pWFqw7ot&#10;VW3/IWBoC7tHSZpitMvxME3jxGeRbQ2iQIyOoyiJMKJAjo7DNEwtPbgX0ihtPjNZIzvJMeO8arQ1&#10;kWRkfaGN5+647GMu7Kglr4rzinO3sBXKZlwhsD/HhFImTNxqOuAEvXZ3sGl05r1xM7PjzEv+ykqI&#10;iHXKWeAq/7Fcp3JJCubVJSH8OmWdJc5JLkCg5S7B0L3s6E+yvb8tv93KHHD2m8O/b97vcJqlMPvN&#10;dSWkekoAN1HrQOn5uyD50NgozWWxg3pR0sNWN/S8gpRdEG2uiQKcAqLh7DFXMJRcbnIs2xlGS6l+&#10;PPXc8kNBAxWjDeA+x/r7iiiGEf8ioNTTaDCwB4VbDJJRDAt1SJkfUsSqnklIP5QbWOemlt/wbloq&#10;Wd/BETW1WoFEBAXdOaZGdYuZ8ecRHHKUTaeODQ6HhpgLcWOh7pNn6/F2e0dU09atgYK/lB28HtWu&#10;57X5EHK6MrKsXGHfx7WNN0Dd4v8tMJ88xLzDrdX8LMxHkJm4B30PekBRD3r/Tn0PoB8+BP3QFvCz&#10;QX+cJHHSg74HfQ/6d/WmHz0E/ehFoE+iNBy/JeiFtF/1cC71X/o2Br+5gvhrQv+l33/pHzRcuutH&#10;+0bvbvfQ9Tm83Y9fhP/hOE6jHv/9Tb+/6fsO1Wve9KER5XqJrlnUNj5tt/Jw7ToD9+3ZyU8AAAD/&#10;/wMAUEsDBBQABgAIAAAAIQBUy9bx3AAAAAQBAAAPAAAAZHJzL2Rvd25yZXYueG1sTI/NasMwEITv&#10;hb6D2EJujVQnpK5rOYRCIYRCyQ/0qlgb2621MtYmcd6+Si/pZWGYYebbfD64VpywD40nDU9jBQKp&#10;9LahSsNu+/6YgghsyJrWE2q4YIB5cX+Xm8z6M63xtOFKxBIKmdFQM3eZlKGs0Zkw9h1S9A6+d4aj&#10;7Ctpe3OO5a6ViVIz6UxDcaE2Hb7VWP5sjk7DbPm83X2odepW6eVrodwnfycHrUcPw+IVBOPAtzBc&#10;8SM6FJFp749kg2g1xEf47169STIFsdcweVEgi1z+hy9+AQAA//8DAFBLAQItABQABgAIAAAAIQC2&#10;gziS/gAAAOEBAAATAAAAAAAAAAAAAAAAAAAAAABbQ29udGVudF9UeXBlc10ueG1sUEsBAi0AFAAG&#10;AAgAAAAhADj9If/WAAAAlAEAAAsAAAAAAAAAAAAAAAAALwEAAF9yZWxzLy5yZWxzUEsBAi0AFAAG&#10;AAgAAAAhAKZo8g46AwAA5hUAAA4AAAAAAAAAAAAAAAAALgIAAGRycy9lMm9Eb2MueG1sUEsBAi0A&#10;FAAGAAgAAAAhAFTL1vHcAAAABAEAAA8AAAAAAAAAAAAAAAAAlAUAAGRycy9kb3ducmV2LnhtbFBL&#10;BQYAAAAABAAEAPMAAACdBgAAAAA=&#10;">
                      <v:shape id="_x0000_s1027" type="#_x0000_t75" style="position:absolute;width:8407;height:2476;visibility:visible;mso-wrap-style:square">
                        <v:fill o:detectmouseclick="t"/>
                        <v:path o:connecttype="none"/>
                      </v:shape>
                      <v:oval id="Oval 24" o:spid="_x0000_s1028" style="position:absolute;left:275;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vSwgAAANsAAAAPAAAAZHJzL2Rvd25yZXYueG1sRI9Bi8Iw&#10;FITvC/6H8ARva2oRkWoUEReEFZbNlj0/mmdbbF5KErX+e7Mg7HGYmW+Y9XawnbiRD61jBbNpBoK4&#10;cqblWkH58/G+BBEissHOMSl4UIDtZvS2xsK4O3/TTcdaJAiHAhU0MfaFlKFqyGKYup44eWfnLcYk&#10;fS2Nx3uC207mWbaQFltOCw32tG+ouuirVXA+fWX+2JWf/bXUOtfD8tD+npSajIfdCkSkIf6HX+2j&#10;UZDP4e9L+gFy8wQAAP//AwBQSwECLQAUAAYACAAAACEA2+H2y+4AAACFAQAAEwAAAAAAAAAAAAAA&#10;AAAAAAAAW0NvbnRlbnRfVHlwZXNdLnhtbFBLAQItABQABgAIAAAAIQBa9CxbvwAAABUBAAALAAAA&#10;AAAAAAAAAAAAAB8BAABfcmVscy8ucmVsc1BLAQItABQABgAIAAAAIQD0qGvSwgAAANsAAAAPAAAA&#10;AAAAAAAAAAAAAAcCAABkcnMvZG93bnJldi54bWxQSwUGAAAAAAMAAwC3AAAA9gIAAAAA&#10;" fillcolor="#2b992b [3205]" strokecolor="#2b992b [3205]" strokeweight="2pt"/>
                      <v:oval id="Oval 25" o:spid="_x0000_s1029" style="position:absolute;left:1914;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M5JwgAAANsAAAAPAAAAZHJzL2Rvd25yZXYueG1sRI9Bi8Iw&#10;FITvC/6H8ARva2pBkWoUEReEFZbNlj0/mmdbbF5KErX+e7Mg7HGYmW+Y9XawnbiRD61jBbNpBoK4&#10;cqblWkH58/G+BBEissHOMSl4UIDtZvS2xsK4O3/TTcdaJAiHAhU0MfaFlKFqyGKYup44eWfnLcYk&#10;fS2Nx3uC207mWbaQFltOCw32tG+ouuirVXA+fWX+2JWf/bXUOtfD8tD+npSajIfdCkSkIf6HX+2j&#10;UZDP4e9L+gFy8wQAAP//AwBQSwECLQAUAAYACAAAACEA2+H2y+4AAACFAQAAEwAAAAAAAAAAAAAA&#10;AAAAAAAAW0NvbnRlbnRfVHlwZXNdLnhtbFBLAQItABQABgAIAAAAIQBa9CxbvwAAABUBAAALAAAA&#10;AAAAAAAAAAAAAB8BAABfcmVscy8ucmVsc1BLAQItABQABgAIAAAAIQCb5M5JwgAAANsAAAAPAAAA&#10;AAAAAAAAAAAAAAcCAABkcnMvZG93bnJldi54bWxQSwUGAAAAAAMAAwC3AAAA9gIAAAAA&#10;" fillcolor="#2b992b [3205]" strokecolor="#2b992b [3205]" strokeweight="2pt"/>
                      <v:oval id="Oval 26" o:spid="_x0000_s1030" style="position:absolute;left:3552;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A+wgAAANsAAAAPAAAAZHJzL2Rvd25yZXYueG1sRI9Bi8Iw&#10;FITvwv6H8Ba8abo9iHSNIuKCoLAYy54fzbMtNi8liVr/vVkQPA4z8w2zWA22EzfyoXWs4GuagSCu&#10;nGm5VlCefiZzECEiG+wck4IHBVgtP0YLLIy785FuOtYiQTgUqKCJsS+kDFVDFsPU9cTJOztvMSbp&#10;a2k83hPcdjLPspm02HJaaLCnTUPVRV+tgvPhN/O7rtz311LrXA/zbft3UGr8Oay/QUQa4jv8au+M&#10;gnwG/1/SD5DLJwAAAP//AwBQSwECLQAUAAYACAAAACEA2+H2y+4AAACFAQAAEwAAAAAAAAAAAAAA&#10;AAAAAAAAW0NvbnRlbnRfVHlwZXNdLnhtbFBLAQItABQABgAIAAAAIQBa9CxbvwAAABUBAAALAAAA&#10;AAAAAAAAAAAAAB8BAABfcmVscy8ucmVsc1BLAQItABQABgAIAAAAIQBrNlA+wgAAANsAAAAPAAAA&#10;AAAAAAAAAAAAAAcCAABkcnMvZG93bnJldi54bWxQSwUGAAAAAAMAAwC3AAAA9gIAAAAA&#10;" fillcolor="#2b992b [3205]" strokecolor="#2b992b [3205]" strokeweight="2pt"/>
                      <v:oval id="Oval 27" o:spid="_x0000_s1031" style="position:absolute;left:5190;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QHFxgAAANsAAAAPAAAAZHJzL2Rvd25yZXYueG1sRI9Ba8JA&#10;FITvgv9heUJvuqkHW1I30ipCwUOtStHbI/uSjc2+jdnVxH/fLRR6HGbmG2a+6G0tbtT6yrGCx0kC&#10;gjh3uuJSwWG/Hj+D8AFZY+2YFNzJwyIbDuaYatfxJ912oRQRwj5FBSaEJpXS54Ys+olriKNXuNZi&#10;iLItpW6xi3Bby2mSzKTFiuOCwYaWhvLv3dUqaOpwOi9nHxu9Ohfldn0xX8fuTamHUf/6AiJQH/7D&#10;f+13rWD6BL9f4g+Q2Q8AAAD//wMAUEsBAi0AFAAGAAgAAAAhANvh9svuAAAAhQEAABMAAAAAAAAA&#10;AAAAAAAAAAAAAFtDb250ZW50X1R5cGVzXS54bWxQSwECLQAUAAYACAAAACEAWvQsW78AAAAVAQAA&#10;CwAAAAAAAAAAAAAAAAAfAQAAX3JlbHMvLnJlbHNQSwECLQAUAAYACAAAACEAyVEBxcYAAADbAAAA&#10;DwAAAAAAAAAAAAAAAAAHAgAAZHJzL2Rvd25yZXYueG1sUEsFBgAAAAADAAMAtwAAAPoCAAAAAA==&#10;" filled="f" strokecolor="#2b992b [3205]" strokeweight="2pt"/>
                      <v:oval id="Oval 28" o:spid="_x0000_s1032" style="position:absolute;left:6829;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pW3wQAAANsAAAAPAAAAZHJzL2Rvd25yZXYueG1sRE/LisIw&#10;FN0L/kO4grsx1YVINcqMIggufMwgM7tLc22qzU1toq1/bxYDLg/nPVu0thQPqn3hWMFwkIAgzpwu&#10;OFfw873+mIDwAVlj6ZgUPMnDYt7tzDDVruEDPY4hFzGEfYoKTAhVKqXPDFn0A1cRR+7saoshwjqX&#10;usYmhttSjpJkLC0WHBsMVrQ0lF2Pd6ugKsPfZTnebfXqcs7365s5/TZfSvV77ecURKA2vMX/7o1W&#10;MIpj45f4A+T8BQAA//8DAFBLAQItABQABgAIAAAAIQDb4fbL7gAAAIUBAAATAAAAAAAAAAAAAAAA&#10;AAAAAABbQ29udGVudF9UeXBlc10ueG1sUEsBAi0AFAAGAAgAAAAhAFr0LFu/AAAAFQEAAAsAAAAA&#10;AAAAAAAAAAAAHwEAAF9yZWxzLy5yZWxzUEsBAi0AFAAGAAgAAAAhALjOlbfBAAAA2wAAAA8AAAAA&#10;AAAAAAAAAAAABwIAAGRycy9kb3ducmV2LnhtbFBLBQYAAAAAAwADALcAAAD1AgAAAAA=&#10;" filled="f" strokecolor="#2b992b [3205]" strokeweight="2pt"/>
                      <w10:anchorlock/>
                    </v:group>
                  </w:pict>
                </mc:Fallback>
              </mc:AlternateContent>
            </w:r>
          </w:p>
          <w:p w14:paraId="1C4D7C2A" w14:textId="55C5C99A" w:rsidR="00F5478E" w:rsidRPr="00B63BEE" w:rsidRDefault="00456E62" w:rsidP="000D0687">
            <w:r>
              <w:t>Good</w:t>
            </w:r>
          </w:p>
        </w:tc>
        <w:tc>
          <w:tcPr>
            <w:tcW w:w="3680" w:type="dxa"/>
          </w:tcPr>
          <w:p w14:paraId="1F9535A7" w14:textId="33C88229" w:rsidR="00F5478E" w:rsidRDefault="004619C7" w:rsidP="004619C7">
            <w:pPr>
              <w:jc w:val="left"/>
            </w:pPr>
            <w:r w:rsidRPr="00B63BEE">
              <w:t>A</w:t>
            </w:r>
            <w:r>
              <w:t>RP</w:t>
            </w:r>
            <w:r w:rsidRPr="00B63BEE">
              <w:t xml:space="preserve">ANSA </w:t>
            </w:r>
            <w:r w:rsidR="00F5478E" w:rsidRPr="00B63BEE">
              <w:t xml:space="preserve">has a risk </w:t>
            </w:r>
            <w:r w:rsidR="00F5478E">
              <w:t>informed</w:t>
            </w:r>
            <w:r w:rsidR="00F5478E" w:rsidRPr="00B63BEE">
              <w:t xml:space="preserve"> inspection schedule</w:t>
            </w:r>
            <w:r w:rsidR="00F5478E">
              <w:t>. ARPANSA endeavours to provide information that enables licence holders to fix their own problems and thus avoid unnecessary regulatory intervention</w:t>
            </w:r>
            <w:r w:rsidR="00F5478E" w:rsidRPr="00B63BEE">
              <w:t xml:space="preserve">. </w:t>
            </w:r>
          </w:p>
        </w:tc>
        <w:tc>
          <w:tcPr>
            <w:tcW w:w="1700" w:type="dxa"/>
          </w:tcPr>
          <w:p w14:paraId="627997E7" w14:textId="0615DA62" w:rsidR="00F5478E" w:rsidRDefault="0074361D" w:rsidP="00CB4863">
            <w:r>
              <w:rPr>
                <w:noProof/>
                <w:lang w:eastAsia="en-AU"/>
              </w:rPr>
              <mc:AlternateContent>
                <mc:Choice Requires="wpc">
                  <w:drawing>
                    <wp:inline distT="0" distB="0" distL="0" distR="0" wp14:anchorId="0F67A4F7" wp14:editId="16305686">
                      <wp:extent cx="840740" cy="247650"/>
                      <wp:effectExtent l="0" t="0" r="0" b="0"/>
                      <wp:docPr id="112" name="Canvas 1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7" name="Oval 107"/>
                              <wps:cNvSpPr/>
                              <wps:spPr>
                                <a:xfrm>
                                  <a:off x="2759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Oval 108"/>
                              <wps:cNvSpPr/>
                              <wps:spPr>
                                <a:xfrm>
                                  <a:off x="19142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Oval 109"/>
                              <wps:cNvSpPr/>
                              <wps:spPr>
                                <a:xfrm>
                                  <a:off x="35525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Oval 110"/>
                              <wps:cNvSpPr/>
                              <wps:spPr>
                                <a:xfrm>
                                  <a:off x="51908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Oval 111"/>
                              <wps:cNvSpPr/>
                              <wps:spPr>
                                <a:xfrm>
                                  <a:off x="68291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290BC225" id="Canvas 112" o:spid="_x0000_s1026" editas="canvas" style="width:66.2pt;height:19.5pt;mso-position-horizontal-relative:char;mso-position-vertical-relative:line" coordsize="840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jyNAMAAOUVAAAOAAAAZHJzL2Uyb0RvYy54bWzsWFtP2zAUfp+0/2D5feQCgSYiRVUR0yQE&#10;1WDi2XWcNpJjZ7bbtPv1O7aTUgbb2EVIldIH1yc+PvfPls/5xabmaM2UrqTIcXQUYsQElUUlFjn+&#10;cn/1YYSRNkQUhEvBcrxlGl+M3787b5uMxXIpecEUAiFCZ22T46UxTRYEmi5ZTfSRbJiAxVKqmhgg&#10;1SIoFGlBes2DOAxPg1aqolGSMq3h66VfxGMnvywZNbdlqZlBPMdgm3GjcuPcjsH4nGQLRZplRTsz&#10;yF9YUZNKgNKdqEtiCFqp6pmouqJKalmaIyrrQJZlRZnzAbyJwh+8mRKxJto5QyE6vYEw+49y5wuI&#10;AYjMWkgGc3NIhW52SdH/puxuSRrmfNAZvVnPFKoKqJTwDCNBaiiJ2zXhyNKdbmC6a2aqozRMbWA3&#10;partP4QMbXIcnyVpitE2x6dpGic+j2xjEIXF6DiKkggjCsvRcZiGqV0PHoU0SpuPTNbITnLMOK8a&#10;bY0kGVlfa+O5ey77mQs7asmr4qri3BG2RtmUKwQO5JhQyoSJO017nKDX7g7aRmfeGzczW8685M+s&#10;hJhYp5wFrvafy3Uql6RgXl0Swq9X1lvinOQCBFruEgzdyY5+Jdv72/HbrcxBZ7c5/P3m3Q6nWQqz&#10;21xXQqqXBHATdQ6Unr8Pkg+NjdJcFluoGCU9cHVDrypI2TXRZkYUIBUwDaePuYWh5LLNsexmGC2l&#10;+vbSd8sPJQ2rGLWA/BzrryuiGEb8k4BiT6OTE3tUOOIkOYuBUPsr8/0VsaqnEtIP5QbWuanlN7yf&#10;lkrWD3BITaxWWCKCgu4cU6N6Ymr8iQTHHGWTiWOD46Eh5lrcWbD75Nl6vN88ENV0dWug4G9kD7Bn&#10;tet5bT6EnKyMLCtX2I9x7eINYLcnwJugHq6DJ6gf2Qqwul+F+ghyEw+wH2APOBpg7+/Vg4A9YPYJ&#10;7N2F/GrYHydJnAywH2A/wP6gbvsI8rUPe6D/5LZPojQcDbAfYD/A/rBgD2+hJ7B3z7xX3/anoziN&#10;3hL2QtonPZxMwzPfxuAn/QffIxie+Yf9zIculGsluk5R1/e0zcp92rUFHruz4+8AAAD//wMAUEsD&#10;BBQABgAIAAAAIQBUy9bx3AAAAAQBAAAPAAAAZHJzL2Rvd25yZXYueG1sTI/NasMwEITvhb6D2EJu&#10;jVQnpK5rOYRCIYRCyQ/0qlgb2621MtYmcd6+Si/pZWGYYebbfD64VpywD40nDU9jBQKp9LahSsNu&#10;+/6YgghsyJrWE2q4YIB5cX+Xm8z6M63xtOFKxBIKmdFQM3eZlKGs0Zkw9h1S9A6+d4aj7Ctpe3OO&#10;5a6ViVIz6UxDcaE2Hb7VWP5sjk7DbPm83X2odepW6eVrodwnfycHrUcPw+IVBOPAtzBc8SM6FJFp&#10;749kg2g1xEf47169STIFsdcweVEgi1z+hy9+AQAA//8DAFBLAQItABQABgAIAAAAIQC2gziS/gAA&#10;AOEBAAATAAAAAAAAAAAAAAAAAAAAAABbQ29udGVudF9UeXBlc10ueG1sUEsBAi0AFAAGAAgAAAAh&#10;ADj9If/WAAAAlAEAAAsAAAAAAAAAAAAAAAAALwEAAF9yZWxzLy5yZWxzUEsBAi0AFAAGAAgAAAAh&#10;ABja6PI0AwAA5RUAAA4AAAAAAAAAAAAAAAAALgIAAGRycy9lMm9Eb2MueG1sUEsBAi0AFAAGAAgA&#10;AAAhAFTL1vHcAAAABAEAAA8AAAAAAAAAAAAAAAAAjgUAAGRycy9kb3ducmV2LnhtbFBLBQYAAAAA&#10;BAAEAPMAAACXBgAAAAA=&#10;">
                      <v:shape id="_x0000_s1027" type="#_x0000_t75" style="position:absolute;width:8407;height:2476;visibility:visible;mso-wrap-style:square">
                        <v:fill o:detectmouseclick="t"/>
                        <v:path o:connecttype="none"/>
                      </v:shape>
                      <v:oval id="Oval 107" o:spid="_x0000_s1028" style="position:absolute;left:275;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3nwwQAAANwAAAAPAAAAZHJzL2Rvd25yZXYueG1sRE9NawIx&#10;EL0X+h/CFHqrST1UWY0i0oJQQYyL52Ez7i5uJksSdfvvG0HwNo/3OfPl4DpxpRBbzxo+RwoEceVt&#10;y7WG8vDzMQURE7LFzjNp+KMIy8XryxwL62+8p6tJtcghHAvU0KTUF1LGqiGHceR74sydfHCYMgy1&#10;tAFvOdx1cqzUl3TYcm5osKd1Q9XZXJyG03anwqYrf/tLaczYDNPv9rjV+v1tWM1AJBrSU/xwb2ye&#10;ryZwfyZfIBf/AAAA//8DAFBLAQItABQABgAIAAAAIQDb4fbL7gAAAIUBAAATAAAAAAAAAAAAAAAA&#10;AAAAAABbQ29udGVudF9UeXBlc10ueG1sUEsBAi0AFAAGAAgAAAAhAFr0LFu/AAAAFQEAAAsAAAAA&#10;AAAAAAAAAAAAHwEAAF9yZWxzLy5yZWxzUEsBAi0AFAAGAAgAAAAhANxjefDBAAAA3AAAAA8AAAAA&#10;AAAAAAAAAAAABwIAAGRycy9kb3ducmV2LnhtbFBLBQYAAAAAAwADALcAAAD1AgAAAAA=&#10;" fillcolor="#2b992b [3205]" strokecolor="#2b992b [3205]" strokeweight="2pt"/>
                      <v:oval id="Oval 108" o:spid="_x0000_s1029" style="position:absolute;left:1914;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2CxAAAANwAAAAPAAAAZHJzL2Rvd25yZXYueG1sRI9Ba8Mw&#10;DIXvg/0Ho0Jvq90eSsnqljI2KKww5oWdRawmobEcbLfN/v10GOwm8Z7e+7TdT2FQN0q5j2xhuTCg&#10;iJvoe24t1F9vTxtQuSB7HCKThR/KsN89Pmyx8vHOn3RzpVUSwrlCC10pY6V1bjoKmBdxJBbtHFPA&#10;ImtqtU94l/Aw6JUxax2wZ2nocKSXjpqLuwYL59OHScehfh+vtXMrN21e+++TtfPZdHgGVWgq/+a/&#10;66MXfCO08oxMoHe/AAAA//8DAFBLAQItABQABgAIAAAAIQDb4fbL7gAAAIUBAAATAAAAAAAAAAAA&#10;AAAAAAAAAABbQ29udGVudF9UeXBlc10ueG1sUEsBAi0AFAAGAAgAAAAhAFr0LFu/AAAAFQEAAAsA&#10;AAAAAAAAAAAAAAAAHwEAAF9yZWxzLy5yZWxzUEsBAi0AFAAGAAgAAAAhAK387YLEAAAA3AAAAA8A&#10;AAAAAAAAAAAAAAAABwIAAGRycy9kb3ducmV2LnhtbFBLBQYAAAAAAwADALcAAAD4AgAAAAA=&#10;" fillcolor="#2b992b [3205]" strokecolor="#2b992b [3205]" strokeweight="2pt"/>
                      <v:oval id="Oval 109" o:spid="_x0000_s1030" style="position:absolute;left:3552;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EgZwQAAANwAAAAPAAAAZHJzL2Rvd25yZXYueG1sRE9NawIx&#10;EL0X+h/CFLzVpB7ErkYRqSAoSNOl52Ez7i5uJksSdf33Rij0No/3OYvV4DpxpRBbzxo+xgoEceVt&#10;y7WG8mf7PgMRE7LFzjNpuFOE1fL1ZYGF9Tf+pqtJtcghHAvU0KTUF1LGqiGHcex74sydfHCYMgy1&#10;tAFvOdx1cqLUVDpsOTc02NOmoepsLk7D6XBUYdeV+/5SGjMxw+yr/T1oPXob1nMQiYb0L/5z72ye&#10;rz7h+Uy+QC4fAAAA//8DAFBLAQItABQABgAIAAAAIQDb4fbL7gAAAIUBAAATAAAAAAAAAAAAAAAA&#10;AAAAAABbQ29udGVudF9UeXBlc10ueG1sUEsBAi0AFAAGAAgAAAAhAFr0LFu/AAAAFQEAAAsAAAAA&#10;AAAAAAAAAAAAHwEAAF9yZWxzLy5yZWxzUEsBAi0AFAAGAAgAAAAhAMKwSBnBAAAA3AAAAA8AAAAA&#10;AAAAAAAAAAAABwIAAGRycy9kb3ducmV2LnhtbFBLBQYAAAAAAwADALcAAAD1AgAAAAA=&#10;" fillcolor="#2b992b [3205]" strokecolor="#2b992b [3205]" strokeweight="2pt"/>
                      <v:oval id="Oval 110" o:spid="_x0000_s1031" style="position:absolute;left:5190;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3dZxAAAANwAAAAPAAAAZHJzL2Rvd25yZXYueG1sRI9BawIx&#10;EIXvQv9DGKE3zeqhyNYoIhaECsW4eB424+7SzWRJom7/fedQ6G2G9+a9b9bb0ffqQTF1gQ0s5gUo&#10;4jq4jhsD1eVjtgKVMrLDPjAZ+KEE283LZI2lC08+08PmRkkIpxINtDkPpdapbsljmoeBWLRbiB6z&#10;rLHRLuJTwn2vl0Xxpj12LA0tDrRvqf62d2/gdvoq4rGvPod7Ze3SjqtDdz0Z8zodd++gMo353/x3&#10;fXSCvxB8eUYm0JtfAAAA//8DAFBLAQItABQABgAIAAAAIQDb4fbL7gAAAIUBAAATAAAAAAAAAAAA&#10;AAAAAAAAAABbQ29udGVudF9UeXBlc10ueG1sUEsBAi0AFAAGAAgAAAAhAFr0LFu/AAAAFQEAAAsA&#10;AAAAAAAAAAAAAAAAHwEAAF9yZWxzLy5yZWxzUEsBAi0AFAAGAAgAAAAhANZTd1nEAAAA3AAAAA8A&#10;AAAAAAAAAAAAAAAABwIAAGRycy9kb3ducmV2LnhtbFBLBQYAAAAAAwADALcAAAD4AgAAAAA=&#10;" fillcolor="#2b992b [3205]" strokecolor="#2b992b [3205]" strokeweight="2pt"/>
                      <v:oval id="Oval 111" o:spid="_x0000_s1032" style="position:absolute;left:6829;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WcnwwAAANwAAAAPAAAAZHJzL2Rvd25yZXYueG1sRE9La8JA&#10;EL4X+h+WKXjTTXoQia5iLULBQ30hehuyYzY2O5tmtyb+e1cQepuP7zmTWWcrcaXGl44VpIMEBHHu&#10;dMmFgv1u2R+B8AFZY+WYFNzIw2z6+jLBTLuWN3TdhkLEEPYZKjAh1JmUPjdk0Q9cTRy5s2sshgib&#10;QuoG2xhuK/meJENpseTYYLCmhaH8Z/tnFdRVOF0Ww++V/ryci/Xy1xyO7YdSvbduPgYRqAv/4qf7&#10;S8f5aQqPZ+IFcnoHAAD//wMAUEsBAi0AFAAGAAgAAAAhANvh9svuAAAAhQEAABMAAAAAAAAAAAAA&#10;AAAAAAAAAFtDb250ZW50X1R5cGVzXS54bWxQSwECLQAUAAYACAAAACEAWvQsW78AAAAVAQAACwAA&#10;AAAAAAAAAAAAAAAfAQAAX3JlbHMvLnJlbHNQSwECLQAUAAYACAAAACEAn1VnJ8MAAADcAAAADwAA&#10;AAAAAAAAAAAAAAAHAgAAZHJzL2Rvd25yZXYueG1sUEsFBgAAAAADAAMAtwAAAPcCAAAAAA==&#10;" filled="f" strokecolor="#2b992b [3205]" strokeweight="2pt"/>
                      <w10:anchorlock/>
                    </v:group>
                  </w:pict>
                </mc:Fallback>
              </mc:AlternateContent>
            </w:r>
          </w:p>
          <w:p w14:paraId="3A380542" w14:textId="2AE2A7FE" w:rsidR="00F5478E" w:rsidRDefault="008A7E6E" w:rsidP="008A7E6E">
            <w:r>
              <w:t>Very g</w:t>
            </w:r>
            <w:r w:rsidR="00F5478E">
              <w:t>ood</w:t>
            </w:r>
          </w:p>
        </w:tc>
      </w:tr>
      <w:tr w:rsidR="003D22E9" w14:paraId="4F1306CA" w14:textId="77777777" w:rsidTr="003C23B9">
        <w:tc>
          <w:tcPr>
            <w:tcW w:w="2439" w:type="dxa"/>
          </w:tcPr>
          <w:p w14:paraId="034FF23A" w14:textId="37E7F640" w:rsidR="00F5478E" w:rsidRDefault="00F5478E" w:rsidP="00CB4863">
            <w:pPr>
              <w:jc w:val="left"/>
            </w:pPr>
            <w:r w:rsidRPr="008B4498">
              <w:t>KPI 4 – Compliance and monitoring approaches are streamlined and co-ordinated</w:t>
            </w:r>
          </w:p>
        </w:tc>
        <w:tc>
          <w:tcPr>
            <w:tcW w:w="1701" w:type="dxa"/>
          </w:tcPr>
          <w:p w14:paraId="721FB1D8" w14:textId="23AD1957" w:rsidR="008A7E6E" w:rsidRDefault="0074361D" w:rsidP="00CB4863">
            <w:r>
              <w:rPr>
                <w:noProof/>
                <w:lang w:eastAsia="en-AU"/>
              </w:rPr>
              <mc:AlternateContent>
                <mc:Choice Requires="wpc">
                  <w:drawing>
                    <wp:inline distT="0" distB="0" distL="0" distR="0" wp14:anchorId="42B1ED81" wp14:editId="3EF151F8">
                      <wp:extent cx="840740" cy="247650"/>
                      <wp:effectExtent l="0" t="0" r="0" b="0"/>
                      <wp:docPr id="70" name="Canvas 7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Oval 30"/>
                              <wps:cNvSpPr/>
                              <wps:spPr>
                                <a:xfrm>
                                  <a:off x="2759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19142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Oval 67"/>
                              <wps:cNvSpPr/>
                              <wps:spPr>
                                <a:xfrm>
                                  <a:off x="35525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l 68"/>
                              <wps:cNvSpPr/>
                              <wps:spPr>
                                <a:xfrm>
                                  <a:off x="51908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Oval 69"/>
                              <wps:cNvSpPr/>
                              <wps:spPr>
                                <a:xfrm>
                                  <a:off x="68291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EE34218" id="Canvas 70" o:spid="_x0000_s1026" editas="canvas" style="width:66.2pt;height:19.5pt;mso-position-horizontal-relative:char;mso-position-vertical-relative:line" coordsize="840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UEfQQMAAOYVAAAOAAAAZHJzL2Uyb0RvYy54bWzsWFtP2zAUfp+0/2D5feRSUkhEQFUR0yQE&#10;aDDx7DpOG8mxM9tt2v36HdtJyQbb2IaQkNIH1yc+PvfPt5Ozbc3RhildSZHj6CDEiAkqi0osc/zl&#10;7uLDMUbaEFEQLgXL8Y5pfHb6/t1J22QslivJC6YQCBE6a5scr4xpsiDQdMVqog9kwwQMllLVxACp&#10;lkGhSAvSax7EYTgNWqmKRknKtIav534Qnzr5ZcmouS5LzQziOQbbjGuVaxe2DU5PSLZUpFlVtDOD&#10;/IMVNakEKN2LOieGoLWqHomqK6qklqU5oLIOZFlWlDkfwJso/MmbOREbop0zFKLTGwi9F5S7WEIM&#10;QGTWQjKY60MqdLNPiv4/Zbcr0jDng87o1eZGoarI8QSSIUgNFXG9IRwB2WkGltvmRnWUhq4N67ZU&#10;tf2HgKFtjuOjJE0x2uV4mqZx4rPItgZRGIwmUZREGFEYjiZhGqZ2PHgQ0ihtPjJZI9vJMeO8arQ1&#10;kWRkc6mN5+657GcubKslr4qLinNH2Aplc64Q2J9jQikTJu40DThBr50dtI3OvDeuZ3acecmfWQkR&#10;sU45C1zlP5brVK5Iwby6JIRfr6y3xDnJBQi03CUYupcd/U6297fjt1OZA85+cvjnyfsZTrMUZj+5&#10;roRUTwngJuocKD1/HyQfGhulhSx2UC9Ketjqhl5UkLJLos0NUYBTKCJYe8w1NCWXbY5l18NoJdW3&#10;p75bfihoGMWoBdznWH9dE8Uw4p8ElHoaHR7ahcIRh8lRDIQajiyGI2JdzyWkH8oNrHNdy2943y2V&#10;rO9hiZpZrTBEBAXdOaZG9cTc+PUIFjnKZjPHBotDQ8yluLVQ98mz9Xi3vSeq6erWQMFfyR5ej2rX&#10;89p8CDlbG1lWrrAf4trFG6Bu8f8amIcoDTHv8m81PwvzEWQmHkE/gh5QNILe76lvAPTTox9AD2S3&#10;tT8L9JMkiZMR9CPoR9C/pZ1+Cre+wU4P5N+APonS8Pg1QS+kPdWDieNJ38bgF1cQf00YT/rjSX/w&#10;4NJfP7pjfHe7nwJ6h/h3N/Bnn/Snx3Eajfgfb/rjTd+/UL3kTR8eotxbonss6h4+7WvlkHYvAw/P&#10;s6ffAQAA//8DAFBLAwQUAAYACAAAACEAVMvW8dwAAAAEAQAADwAAAGRycy9kb3ducmV2LnhtbEyP&#10;zWrDMBCE74W+g9hCbo1UJ6SuazmEQiGEQskP9KpYG9uttTLWJnHevkov6WVhmGHm23w+uFacsA+N&#10;Jw1PYwUCqfS2oUrDbvv+mIIIbMia1hNquGCAeXF/l5vM+jOt8bThSsQSCpnRUDN3mZShrNGZMPYd&#10;UvQOvneGo+wraXtzjuWulYlSM+lMQ3GhNh2+1Vj+bI5Ow2z5vN19qHXqVunla6HcJ38nB61HD8Pi&#10;FQTjwLcwXPEjOhSRae+PZINoNcRH+O9evUkyBbHXMHlRIItc/ocvfgEAAP//AwBQSwECLQAUAAYA&#10;CAAAACEAtoM4kv4AAADhAQAAEwAAAAAAAAAAAAAAAAAAAAAAW0NvbnRlbnRfVHlwZXNdLnhtbFBL&#10;AQItABQABgAIAAAAIQA4/SH/1gAAAJQBAAALAAAAAAAAAAAAAAAAAC8BAABfcmVscy8ucmVsc1BL&#10;AQItABQABgAIAAAAIQB28UEfQQMAAOYVAAAOAAAAAAAAAAAAAAAAAC4CAABkcnMvZTJvRG9jLnht&#10;bFBLAQItABQABgAIAAAAIQBUy9bx3AAAAAQBAAAPAAAAAAAAAAAAAAAAAJsFAABkcnMvZG93bnJl&#10;di54bWxQSwUGAAAAAAQABADzAAAApAYAAAAA&#10;">
                      <v:shape id="_x0000_s1027" type="#_x0000_t75" style="position:absolute;width:8407;height:2476;visibility:visible;mso-wrap-style:square">
                        <v:fill o:detectmouseclick="t"/>
                        <v:path o:connecttype="none"/>
                      </v:shape>
                      <v:oval id="Oval 30" o:spid="_x0000_s1028" style="position:absolute;left:275;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sMvgAAANsAAAAPAAAAZHJzL2Rvd25yZXYueG1sRE9Ni8Iw&#10;EL0v+B/CCN7WVIVFqlFEFASFxVg8D83YFptJSaLWf785LHh8vO/lureteJIPjWMFk3EGgrh0puFK&#10;QXHZf89BhIhssHVMCt4UYL0afC0xN+7FZ3rqWIkUwiFHBXWMXS5lKGuyGMauI07czXmLMUFfSePx&#10;lcJtK6dZ9iMtNpwaauxoW1N51w+r4Hb6zfyhLY7do9B6qvv5rrmelBoN+80CRKQ+fsT/7oNRMEvr&#10;05f0A+TqDwAA//8DAFBLAQItABQABgAIAAAAIQDb4fbL7gAAAIUBAAATAAAAAAAAAAAAAAAAAAAA&#10;AABbQ29udGVudF9UeXBlc10ueG1sUEsBAi0AFAAGAAgAAAAhAFr0LFu/AAAAFQEAAAsAAAAAAAAA&#10;AAAAAAAAHwEAAF9yZWxzLy5yZWxzUEsBAi0AFAAGAAgAAAAhAA5K+wy+AAAA2wAAAA8AAAAAAAAA&#10;AAAAAAAABwIAAGRycy9kb3ducmV2LnhtbFBLBQYAAAAAAwADALcAAADyAgAAAAA=&#10;" fillcolor="#2b992b [3205]" strokecolor="#2b992b [3205]" strokeweight="2pt"/>
                      <v:oval id="Oval 31" o:spid="_x0000_s1029" style="position:absolute;left:1914;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l6XwgAAANsAAAAPAAAAZHJzL2Rvd25yZXYueG1sRI9Bi8Iw&#10;FITvC/6H8ARva6rCItUoIgqCwmIsnh/Nsy02LyWJ2v33m4UFj8PMfMMs171txZN8aBwrmIwzEMSl&#10;Mw1XCorL/nMOIkRkg61jUvBDAdarwccSc+NefKanjpVIEA45Kqhj7HIpQ1mTxTB2HXHybs5bjEn6&#10;ShqPrwS3rZxm2Ze02HBaqLGjbU3lXT+sgtvpO/OHtjh2j0Lrqe7nu+Z6Umo07DcLEJH6+A7/tw9G&#10;wWwCf1/SD5CrXwAAAP//AwBQSwECLQAUAAYACAAAACEA2+H2y+4AAACFAQAAEwAAAAAAAAAAAAAA&#10;AAAAAAAAW0NvbnRlbnRfVHlwZXNdLnhtbFBLAQItABQABgAIAAAAIQBa9CxbvwAAABUBAAALAAAA&#10;AAAAAAAAAAAAAB8BAABfcmVscy8ucmVsc1BLAQItABQABgAIAAAAIQBhBl6XwgAAANsAAAAPAAAA&#10;AAAAAAAAAAAAAAcCAABkcnMvZG93bnJldi54bWxQSwUGAAAAAAMAAwC3AAAA9gIAAAAA&#10;" fillcolor="#2b992b [3205]" strokecolor="#2b992b [3205]" strokeweight="2pt"/>
                      <v:oval id="Oval 67" o:spid="_x0000_s1030" style="position:absolute;left:3552;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ExlwgAAANsAAAAPAAAAZHJzL2Rvd25yZXYueG1sRI9Bi8Iw&#10;FITvC/6H8ARva6oHV6pRRBQEhWVj8fxonm2xeSlJ1PrvzcLCHoeZ+YZZrnvbigf50DhWMBlnIIhL&#10;ZxquFBTn/eccRIjIBlvHpOBFAdarwccSc+Oe/EMPHSuRIBxyVFDH2OVShrImi2HsOuLkXZ23GJP0&#10;lTQenwluWznNspm02HBaqLGjbU3lTd+tguvpO/OHtjh290Lrqe7nu+ZyUmo07DcLEJH6+B/+ax+M&#10;gtkX/H5JP0Cu3gAAAP//AwBQSwECLQAUAAYACAAAACEA2+H2y+4AAACFAQAAEwAAAAAAAAAAAAAA&#10;AAAAAAAAW0NvbnRlbnRfVHlwZXNdLnhtbFBLAQItABQABgAIAAAAIQBa9CxbvwAAABUBAAALAAAA&#10;AAAAAAAAAAAAAB8BAABfcmVscy8ucmVsc1BLAQItABQABgAIAAAAIQCSEExlwgAAANsAAAAPAAAA&#10;AAAAAAAAAAAAAAcCAABkcnMvZG93bnJldi54bWxQSwUGAAAAAAMAAwC3AAAA9gIAAAAA&#10;" fillcolor="#2b992b [3205]" strokecolor="#2b992b [3205]" strokeweight="2pt"/>
                      <v:oval id="Oval 68" o:spid="_x0000_s1031" style="position:absolute;left:5190;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Cx3wQAAANsAAAAPAAAAZHJzL2Rvd25yZXYueG1sRE/LisIw&#10;FN0L8w/hDrgb03FRpBrFcRAEFz4Zxt2luTZ1mpvaRFv/3iwGXB7OezLrbCXu1PjSsYLPQQKCOHe6&#10;5ELB8bD8GIHwAVlj5ZgUPMjDbPrWm2CmXcs7uu9DIWII+wwVmBDqTEqfG7LoB64mjtzZNRZDhE0h&#10;dYNtDLeVHCZJKi2WHBsM1rQwlP/tb1ZBXYXTZZFu1vr7ci62y6v5+W2/lOq/d/MxiEBdeIn/3Sut&#10;II1j45f4A+T0CQAA//8DAFBLAQItABQABgAIAAAAIQDb4fbL7gAAAIUBAAATAAAAAAAAAAAAAAAA&#10;AAAAAABbQ29udGVudF9UeXBlc10ueG1sUEsBAi0AFAAGAAgAAAAhAFr0LFu/AAAAFQEAAAsAAAAA&#10;AAAAAAAAAAAAHwEAAF9yZWxzLy5yZWxzUEsBAi0AFAAGAAgAAAAhAC6kLHfBAAAA2wAAAA8AAAAA&#10;AAAAAAAAAAAABwIAAGRycy9kb3ducmV2LnhtbFBLBQYAAAAAAwADALcAAAD1AgAAAAA=&#10;" filled="f" strokecolor="#2b992b [3205]" strokeweight="2pt"/>
                      <v:oval id="Oval 69" o:spid="_x0000_s1032" style="position:absolute;left:6829;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InsxQAAANsAAAAPAAAAZHJzL2Rvd25yZXYueG1sRI9Ba8JA&#10;FITvhf6H5Qnemo09BBtdxVoEoQetLUVvj+wzG5t9m2a3Jv57VxB6HGbmG2Y6720tztT6yrGCUZKC&#10;IC6crrhU8PW5ehqD8AFZY+2YFFzIw3z2+DDFXLuOP+i8C6WIEPY5KjAhNLmUvjBk0SeuIY7e0bUW&#10;Q5RtKXWLXYTbWj6naSYtVhwXDDa0NFT87P6sgqYOh9My27zrt9Ox3K5+zfe+e1VqOOgXExCB+vAf&#10;vrfXWkH2Arcv8QfI2RUAAP//AwBQSwECLQAUAAYACAAAACEA2+H2y+4AAACFAQAAEwAAAAAAAAAA&#10;AAAAAAAAAAAAW0NvbnRlbnRfVHlwZXNdLnhtbFBLAQItABQABgAIAAAAIQBa9CxbvwAAABUBAAAL&#10;AAAAAAAAAAAAAAAAAB8BAABfcmVscy8ucmVsc1BLAQItABQABgAIAAAAIQBB6InsxQAAANsAAAAP&#10;AAAAAAAAAAAAAAAAAAcCAABkcnMvZG93bnJldi54bWxQSwUGAAAAAAMAAwC3AAAA+QIAAAAA&#10;" filled="f" strokecolor="#2b992b [3205]" strokeweight="2pt"/>
                      <w10:anchorlock/>
                    </v:group>
                  </w:pict>
                </mc:Fallback>
              </mc:AlternateContent>
            </w:r>
          </w:p>
          <w:p w14:paraId="35C0AD7A" w14:textId="6EDEBDAE" w:rsidR="00F5478E" w:rsidRPr="00B63BEE" w:rsidRDefault="005A4C8D" w:rsidP="00CB4863">
            <w:r>
              <w:t>Good</w:t>
            </w:r>
          </w:p>
        </w:tc>
        <w:tc>
          <w:tcPr>
            <w:tcW w:w="3680" w:type="dxa"/>
          </w:tcPr>
          <w:p w14:paraId="4DA0F1DA" w14:textId="4E5ABBF8" w:rsidR="00F5478E" w:rsidRPr="00BB48DD" w:rsidRDefault="00F5478E" w:rsidP="00CB4863">
            <w:pPr>
              <w:jc w:val="left"/>
            </w:pPr>
            <w:r w:rsidRPr="00B63BEE">
              <w:t xml:space="preserve">ARPANSA has implemented a graded approach focusing </w:t>
            </w:r>
            <w:r>
              <w:t xml:space="preserve">best practice as well as compliance. Inspections are planned and implemented according to standardised processes using </w:t>
            </w:r>
            <w:r>
              <w:lastRenderedPageBreak/>
              <w:t>published performance objectives and criteria (PO&amp;C).</w:t>
            </w:r>
          </w:p>
        </w:tc>
        <w:tc>
          <w:tcPr>
            <w:tcW w:w="1700" w:type="dxa"/>
          </w:tcPr>
          <w:p w14:paraId="451F5E1C" w14:textId="16CB4406" w:rsidR="00F5478E" w:rsidRDefault="0074361D" w:rsidP="00CB4863">
            <w:r>
              <w:rPr>
                <w:noProof/>
                <w:lang w:eastAsia="en-AU"/>
              </w:rPr>
              <w:lastRenderedPageBreak/>
              <mc:AlternateContent>
                <mc:Choice Requires="wpc">
                  <w:drawing>
                    <wp:inline distT="0" distB="0" distL="0" distR="0" wp14:anchorId="0EFD603E" wp14:editId="2961D7A2">
                      <wp:extent cx="840740" cy="247650"/>
                      <wp:effectExtent l="0" t="0" r="0" b="0"/>
                      <wp:docPr id="76" name="Canvas 7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1" name="Oval 71"/>
                              <wps:cNvSpPr/>
                              <wps:spPr>
                                <a:xfrm>
                                  <a:off x="2759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Oval 72"/>
                              <wps:cNvSpPr/>
                              <wps:spPr>
                                <a:xfrm>
                                  <a:off x="19142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Oval 73"/>
                              <wps:cNvSpPr/>
                              <wps:spPr>
                                <a:xfrm>
                                  <a:off x="35525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Oval 74"/>
                              <wps:cNvSpPr/>
                              <wps:spPr>
                                <a:xfrm>
                                  <a:off x="51908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Oval 75"/>
                              <wps:cNvSpPr/>
                              <wps:spPr>
                                <a:xfrm>
                                  <a:off x="68291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B8EA2B0" id="Canvas 76" o:spid="_x0000_s1026" editas="canvas" style="width:66.2pt;height:19.5pt;mso-position-horizontal-relative:char;mso-position-vertical-relative:line" coordsize="840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JEOwMAAOYVAAAOAAAAZHJzL2Uyb0RvYy54bWzsWFtP2zAUfp+0/2D5feTSBkhEiqoipklo&#10;oMHEs+s4bSTHzmy3affrd2wnpR1sYxtCQkofXDvn+Nw/Jz5n55uaozVTupIix9FRiBETVBaVWOT4&#10;693lh1OMtCGiIFwKluMt0/h88v7dWdtkLJZLyQumEAgROmubHC+NabIg0HTJaqKPZMMEEEupamJg&#10;qRZBoUgL0msexGF4HLRSFY2SlGkNTy88EU+c/LJk1FyXpWYG8RyDbcaNyo1zOwaTM5ItFGmWFe3M&#10;IP9gRU0qAUp3oi6IIWilqkei6ooqqWVpjqisA1mWFWXOB/AmCn/yZkbEmmjnDIXo9AbC7AXlzhcQ&#10;AxCZtZAM5uaQCt3skqL/T9ntkjTM+aAz+nl9o1BV5PgkwkiQGiriek04gmWnGVhumxvVrTRMbVg3&#10;partPwQMbXIcnyRpitE2x8dpGic+i2xjEAViNIqiBMRTIEejMA1TSw8ehDRKm49M1shOcsw4rxpt&#10;TSQZWV9p47l7LvuYCztqyavisuLcLWyFshlXCOzPMaGUCRN3mvY4Qa/dHbSNzrw3bma2nHnJX1gJ&#10;EbFOOQtc5T+W61QuScG8uiSEX6+st8Q5yQUItNwlGLqTHf1Otve347dbmQPObnP45827HU6zFGa3&#10;ua6EVE8J4MblHOJTev4+SD40NkpzWWyhXpT0sNUNvawgZVdEmxuiAKeAaDh7zDUMJZdtjmU3w2gp&#10;1fennlt+KGigYtQC7nOsv62IYhjxTwJKPY3GY3tQuMU4OYlhofYp832KWNUzCemHcgPr3NTyG95P&#10;SyXreziiplYrkIigoDvH1Kh+MTP+PIJDjrLp1LHB4dAQcyVuLdR98mw93m3uiWq6ujVQ8J9lD69H&#10;tet5bT6EnK6MLCtX2A9x7eINULf4fw3Mx4eYd2ixmp+F+QgyEw+gH0APKBpA79+pbwH0o0PQj2wB&#10;Pxv0oySJkwH0A+gH0L+pN/34EPTjvwJ9EqXh6WuCXkj7VQ/n0vClb2PwiyuIvyYMX/rDl/5ew6W/&#10;fnRv9P52nxzi393Qn/3SPz6N02jA/3DTH276vkP1kjd9aES5XqJrFnWNT9ut3F+7zsBDe3byAwAA&#10;//8DAFBLAwQUAAYACAAAACEAVMvW8dwAAAAEAQAADwAAAGRycy9kb3ducmV2LnhtbEyPzWrDMBCE&#10;74W+g9hCbo1UJ6SuazmEQiGEQskP9KpYG9uttTLWJnHevkov6WVhmGHm23w+uFacsA+NJw1PYwUC&#10;qfS2oUrDbvv+mIIIbMia1hNquGCAeXF/l5vM+jOt8bThSsQSCpnRUDN3mZShrNGZMPYdUvQOvneG&#10;o+wraXtzjuWulYlSM+lMQ3GhNh2+1Vj+bI5Ow2z5vN19qHXqVunla6HcJ38nB61HD8PiFQTjwLcw&#10;XPEjOhSRae+PZINoNcRH+O9evUkyBbHXMHlRIItc/ocvfgEAAP//AwBQSwECLQAUAAYACAAAACEA&#10;toM4kv4AAADhAQAAEwAAAAAAAAAAAAAAAAAAAAAAW0NvbnRlbnRfVHlwZXNdLnhtbFBLAQItABQA&#10;BgAIAAAAIQA4/SH/1gAAAJQBAAALAAAAAAAAAAAAAAAAAC8BAABfcmVscy8ucmVsc1BLAQItABQA&#10;BgAIAAAAIQB1iCJEOwMAAOYVAAAOAAAAAAAAAAAAAAAAAC4CAABkcnMvZTJvRG9jLnhtbFBLAQIt&#10;ABQABgAIAAAAIQBUy9bx3AAAAAQBAAAPAAAAAAAAAAAAAAAAAJUFAABkcnMvZG93bnJldi54bWxQ&#10;SwUGAAAAAAQABADzAAAAngYAAAAA&#10;">
                      <v:shape id="_x0000_s1027" type="#_x0000_t75" style="position:absolute;width:8407;height:2476;visibility:visible;mso-wrap-style:square">
                        <v:fill o:detectmouseclick="t"/>
                        <v:path o:connecttype="none"/>
                      </v:shape>
                      <v:oval id="Oval 71" o:spid="_x0000_s1028" style="position:absolute;left:275;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OdXwgAAANsAAAAPAAAAZHJzL2Rvd25yZXYueG1sRI9Bi8Iw&#10;FITvC/6H8ARva6oHV6pRRBQEhcVYPD+aZ1tsXkoStfvvNwsLHoeZ+YZZrnvbiif50DhWMBlnIIhL&#10;ZxquFBSX/eccRIjIBlvHpOCHAqxXg48l5sa9+ExPHSuRIBxyVFDH2OVShrImi2HsOuLk3Zy3GJP0&#10;lTQeXwluWznNspm02HBaqLGjbU3lXT+sgtvpO/OHtjh2j0Lrqe7nu+Z6Umo07DcLEJH6+A7/tw9G&#10;wdcE/r6kHyBXvwAAAP//AwBQSwECLQAUAAYACAAAACEA2+H2y+4AAACFAQAAEwAAAAAAAAAAAAAA&#10;AAAAAAAAW0NvbnRlbnRfVHlwZXNdLnhtbFBLAQItABQABgAIAAAAIQBa9CxbvwAAABUBAAALAAAA&#10;AAAAAAAAAAAAAB8BAABfcmVscy8ucmVsc1BLAQItABQABgAIAAAAIQD3bOdXwgAAANsAAAAPAAAA&#10;AAAAAAAAAAAAAAcCAABkcnMvZG93bnJldi54bWxQSwUGAAAAAAMAAwC3AAAA9gIAAAAA&#10;" fillcolor="#2b992b [3205]" strokecolor="#2b992b [3205]" strokeweight="2pt"/>
                      <v:oval id="Oval 72" o:spid="_x0000_s1029" style="position:absolute;left:1914;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nkgwgAAANsAAAAPAAAAZHJzL2Rvd25yZXYueG1sRI9Bi8Iw&#10;FITvC/6H8ARva2oPKtUoIi4IKyybLXt+NM+22LyUJGr992ZB2OMwM98w6+1gO3EjH1rHCmbTDARx&#10;5UzLtYLy5+N9CSJEZIOdY1LwoADbzehtjYVxd/6mm461SBAOBSpoYuwLKUPVkMUwdT1x8s7OW4xJ&#10;+loaj/cEt53Ms2wuLbacFhrsad9QddFXq+B8+sr8sSs/+2upda6H5aH9PSk1GQ+7FYhIQ/wPv9pH&#10;o2CRw9+X9APk5gkAAP//AwBQSwECLQAUAAYACAAAACEA2+H2y+4AAACFAQAAEwAAAAAAAAAAAAAA&#10;AAAAAAAAW0NvbnRlbnRfVHlwZXNdLnhtbFBLAQItABQABgAIAAAAIQBa9CxbvwAAABUBAAALAAAA&#10;AAAAAAAAAAAAAB8BAABfcmVscy8ucmVsc1BLAQItABQABgAIAAAAIQAHvnkgwgAAANsAAAAPAAAA&#10;AAAAAAAAAAAAAAcCAABkcnMvZG93bnJldi54bWxQSwUGAAAAAAMAAwC3AAAA9gIAAAAA&#10;" fillcolor="#2b992b [3205]" strokecolor="#2b992b [3205]" strokeweight="2pt"/>
                      <v:oval id="Oval 73" o:spid="_x0000_s1030" style="position:absolute;left:3552;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ty7wgAAANsAAAAPAAAAZHJzL2Rvd25yZXYueG1sRI9BawIx&#10;FITvBf9DeIK3mlWhldUoIi0ICqVx8fzYPHcXNy9LEnX9940g9DjMzDfMct3bVtzIh8axgsk4A0Fc&#10;OtNwpaA4fr/PQYSIbLB1TAoeFGC9GrwtMTfuzr9007ESCcIhRwV1jF0uZShrshjGriNO3tl5izFJ&#10;X0nj8Z7gtpXTLPuQFhtOCzV2tK2pvOirVXA+/GR+1xb77lpoPdX9/Ks5HZQaDfvNAkSkPv6HX+2d&#10;UfA5g+eX9APk6g8AAP//AwBQSwECLQAUAAYACAAAACEA2+H2y+4AAACFAQAAEwAAAAAAAAAAAAAA&#10;AAAAAAAAW0NvbnRlbnRfVHlwZXNdLnhtbFBLAQItABQABgAIAAAAIQBa9CxbvwAAABUBAAALAAAA&#10;AAAAAAAAAAAAAB8BAABfcmVscy8ucmVsc1BLAQItABQABgAIAAAAIQBo8ty7wgAAANsAAAAPAAAA&#10;AAAAAAAAAAAAAAcCAABkcnMvZG93bnJldi54bWxQSwUGAAAAAAMAAwC3AAAA9gIAAAAA&#10;" fillcolor="#2b992b [3205]" strokecolor="#2b992b [3205]" strokeweight="2pt"/>
                      <v:oval id="Oval 74" o:spid="_x0000_s1031" style="position:absolute;left:5190;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LCvxQAAANsAAAAPAAAAZHJzL2Rvd25yZXYueG1sRI9BawIx&#10;FITvBf9DeIK3mrWIldUoVhGEHtqqiN4em+dmdfOybqK7/fdNodDjMDPfMNN5a0vxoNoXjhUM+gkI&#10;4szpgnMF+936eQzCB2SNpWNS8E0e5rPO0xRT7Rr+osc25CJC2KeowIRQpVL6zJBF33cVcfTOrrYY&#10;oqxzqWtsItyW8iVJRtJiwXHBYEVLQ9l1e7cKqjKcLsvRx7teXc755/pmDsfmTalet11MQARqw3/4&#10;r73RCl6H8Psl/gA5+wEAAP//AwBQSwECLQAUAAYACAAAACEA2+H2y+4AAACFAQAAEwAAAAAAAAAA&#10;AAAAAAAAAAAAW0NvbnRlbnRfVHlwZXNdLnhtbFBLAQItABQABgAIAAAAIQBa9CxbvwAAABUBAAAL&#10;AAAAAAAAAAAAAAAAAB8BAABfcmVscy8ucmVsc1BLAQItABQABgAIAAAAIQAqMLCvxQAAANsAAAAP&#10;AAAAAAAAAAAAAAAAAAcCAABkcnMvZG93bnJldi54bWxQSwUGAAAAAAMAAwC3AAAA+QIAAAAA&#10;" filled="f" strokecolor="#2b992b [3205]" strokeweight="2pt"/>
                      <v:oval id="Oval 75" o:spid="_x0000_s1032" style="position:absolute;left:6829;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BU0xQAAANsAAAAPAAAAZHJzL2Rvd25yZXYueG1sRI9BawIx&#10;FITvBf9DeIK3mrWgldUoVhGEHtqqiN4em+dmdfOybqK7/fdNodDjMDPfMNN5a0vxoNoXjhUM+gkI&#10;4szpgnMF+936eQzCB2SNpWNS8E0e5rPO0xRT7Rr+osc25CJC2KeowIRQpVL6zJBF33cVcfTOrrYY&#10;oqxzqWtsItyW8iVJRtJiwXHBYEVLQ9l1e7cKqjKcLsvRx7teXc755/pmDsfmTalet11MQARqw3/4&#10;r73RCl6H8Psl/gA5+wEAAP//AwBQSwECLQAUAAYACAAAACEA2+H2y+4AAACFAQAAEwAAAAAAAAAA&#10;AAAAAAAAAAAAW0NvbnRlbnRfVHlwZXNdLnhtbFBLAQItABQABgAIAAAAIQBa9CxbvwAAABUBAAAL&#10;AAAAAAAAAAAAAAAAAB8BAABfcmVscy8ucmVsc1BLAQItABQABgAIAAAAIQBFfBU0xQAAANsAAAAP&#10;AAAAAAAAAAAAAAAAAAcCAABkcnMvZG93bnJldi54bWxQSwUGAAAAAAMAAwC3AAAA+QIAAAAA&#10;" filled="f" strokecolor="#2b992b [3205]" strokeweight="2pt"/>
                      <w10:anchorlock/>
                    </v:group>
                  </w:pict>
                </mc:Fallback>
              </mc:AlternateContent>
            </w:r>
          </w:p>
          <w:p w14:paraId="326B07B2" w14:textId="28399A2A" w:rsidR="00F5478E" w:rsidRPr="00BB48DD" w:rsidRDefault="00F5478E" w:rsidP="00CB4863">
            <w:r>
              <w:t>Good</w:t>
            </w:r>
          </w:p>
        </w:tc>
      </w:tr>
      <w:tr w:rsidR="003D22E9" w14:paraId="60CA6B85" w14:textId="77777777" w:rsidTr="003C23B9">
        <w:trPr>
          <w:cnfStyle w:val="000000010000" w:firstRow="0" w:lastRow="0" w:firstColumn="0" w:lastColumn="0" w:oddVBand="0" w:evenVBand="0" w:oddHBand="0" w:evenHBand="1" w:firstRowFirstColumn="0" w:firstRowLastColumn="0" w:lastRowFirstColumn="0" w:lastRowLastColumn="0"/>
        </w:trPr>
        <w:tc>
          <w:tcPr>
            <w:tcW w:w="2439" w:type="dxa"/>
          </w:tcPr>
          <w:p w14:paraId="69B4A8BD" w14:textId="75EF6BAC" w:rsidR="00F5478E" w:rsidRDefault="00F5478E" w:rsidP="00CB4863">
            <w:pPr>
              <w:jc w:val="left"/>
            </w:pPr>
            <w:r w:rsidRPr="008B4498">
              <w:t>KPI 5 – Regulators are open and transparent in their dealings with regulated entities</w:t>
            </w:r>
          </w:p>
        </w:tc>
        <w:tc>
          <w:tcPr>
            <w:tcW w:w="1701" w:type="dxa"/>
          </w:tcPr>
          <w:p w14:paraId="30E60D3C" w14:textId="3E8CEC00" w:rsidR="008A7E6E" w:rsidRDefault="0074361D" w:rsidP="00CB4863">
            <w:r>
              <w:rPr>
                <w:noProof/>
                <w:lang w:eastAsia="en-AU"/>
              </w:rPr>
              <mc:AlternateContent>
                <mc:Choice Requires="wpc">
                  <w:drawing>
                    <wp:inline distT="0" distB="0" distL="0" distR="0" wp14:anchorId="3F468DE6" wp14:editId="10BE787D">
                      <wp:extent cx="840740" cy="247650"/>
                      <wp:effectExtent l="0" t="0" r="0" b="0"/>
                      <wp:docPr id="82" name="Canvas 8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7" name="Oval 77"/>
                              <wps:cNvSpPr/>
                              <wps:spPr>
                                <a:xfrm>
                                  <a:off x="2759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Oval 78"/>
                              <wps:cNvSpPr/>
                              <wps:spPr>
                                <a:xfrm>
                                  <a:off x="19142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35525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51908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68291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FB5FFD4" id="Canvas 82" o:spid="_x0000_s1026" editas="canvas" style="width:66.2pt;height:19.5pt;mso-position-horizontal-relative:char;mso-position-vertical-relative:line" coordsize="840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HTQAMAAOYVAAAOAAAAZHJzL2Uyb0RvYy54bWzsWFtP2zAUfp+0/2D5feQCoU1Eiqoipklo&#10;oMHEs+s4bSTHzmy3affrd2wnJRpsYxtCQkofXJ/4+Nw/387OdzVHW6Z0JUWOo6MQIyaoLCqxyvHX&#10;u8sPU4y0IaIgXAqW4z3T+Hz2/t1Z22QslmvJC6YQCBE6a5scr41psiDQdM1qoo9kwwQMllLVxACp&#10;VkGhSAvSax7EYXgatFIVjZKUaQ1fL/wgnjn5ZcmouS5LzQziOQbbjGuVa5e2DWZnJFsp0qwr2plB&#10;/sGKmlQClB5EXRBD0EZVj0TVFVVSy9IcUVkHsiwrypwP4E0U/uTNgogt0c4ZCtHpDYTeC8pdriAG&#10;IDJrIRnM9SEVujkkRf+fsts1aZjzQWf08/ZGoarI8WSCkSA1VMT1lnAEZKcZWG6bG9VRGro2rLtS&#10;1fYfAoZ2OY4nSZpitM/xaZrGic8i2xlEYTA6jqIkwojCcHQcpmFqx4MHIY3S5iOTNbKdHDPOq0Zb&#10;E0lGtlfaeO6ey37mwrZa8qq4rDh3hK1QtuAKgf05JpQyYeJO04AT9NrZQdvozHvjembPmZf8hZUQ&#10;EeuUs8BV/mO5TuWaFMyrS0L49cp6S5yTXIBAy12CoQfZ0e9ke387fjuVOeAcJod/nnyY4TRLYQ6T&#10;60pI9ZQAbqLOgdLz90HyobFRWspiD/WipIetbuhlBSm7ItrcEAU4BUTD2mOuoSm5bHMsux5Ga6m+&#10;P/Xd8kNBwyhGLeA+x/rbhiiGEf8koNTT6OTELhSOOEkmMRBqOLIcjohNvZCQfig3sM51Lb/hfbdU&#10;sr6HJWputcIQERR055ga1RML49cjWOQom88dGywODTFX4tZC3SfP1uPd7p6opqtbAwX/WfbwelS7&#10;ntfmQ8j5xsiycoX9ENcu3gB1i//XwDzsBUPMT23+reZnYT6CzMQj6EfQA4pG0Ps99S2AHiA7BL3b&#10;jJ8N+uMkiZMR9CPoR9C/pZ1+CukagB7Iv9npkygNp68JeiHtqR5MHE/6Nga/uIL4a8J40h9P+oMH&#10;l/760e3o3e1+CvehIf7dTe/Zm/7pNE6jEf/jTX+86fsXqpe86cNDlHtLdI9F3cOnfa0c0u5l4OF5&#10;dvYDAAD//wMAUEsDBBQABgAIAAAAIQBUy9bx3AAAAAQBAAAPAAAAZHJzL2Rvd25yZXYueG1sTI/N&#10;asMwEITvhb6D2EJujVQnpK5rOYRCIYRCyQ/0qlgb2621MtYmcd6+Si/pZWGYYebbfD64VpywD40n&#10;DU9jBQKp9LahSsNu+/6YgghsyJrWE2q4YIB5cX+Xm8z6M63xtOFKxBIKmdFQM3eZlKGs0Zkw9h1S&#10;9A6+d4aj7Ctpe3OO5a6ViVIz6UxDcaE2Hb7VWP5sjk7DbPm83X2odepW6eVrodwnfycHrUcPw+IV&#10;BOPAtzBc8SM6FJFp749kg2g1xEf47169STIFsdcweVEgi1z+hy9+AQAA//8DAFBLAQItABQABgAI&#10;AAAAIQC2gziS/gAAAOEBAAATAAAAAAAAAAAAAAAAAAAAAABbQ29udGVudF9UeXBlc10ueG1sUEsB&#10;Ai0AFAAGAAgAAAAhADj9If/WAAAAlAEAAAsAAAAAAAAAAAAAAAAALwEAAF9yZWxzLy5yZWxzUEsB&#10;Ai0AFAAGAAgAAAAhABUqUdNAAwAA5hUAAA4AAAAAAAAAAAAAAAAALgIAAGRycy9lMm9Eb2MueG1s&#10;UEsBAi0AFAAGAAgAAAAhAFTL1vHcAAAABAEAAA8AAAAAAAAAAAAAAAAAmgUAAGRycy9kb3ducmV2&#10;LnhtbFBLBQYAAAAABAAEAPMAAACjBgAAAAA=&#10;">
                      <v:shape id="_x0000_s1027" type="#_x0000_t75" style="position:absolute;width:8407;height:2476;visibility:visible;mso-wrap-style:square">
                        <v:fill o:detectmouseclick="t"/>
                        <v:path o:connecttype="none"/>
                      </v:shape>
                      <v:oval id="Oval 77" o:spid="_x0000_s1028" style="position:absolute;left:275;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dq4wgAAANsAAAAPAAAAZHJzL2Rvd25yZXYueG1sRI9Bi8Iw&#10;FITvgv8hPMGbputhla5RZNkFYQUxlj0/mmdbbF5KErX+eyMIHoeZ+YZZrnvbiiv50DhW8DHNQBCX&#10;zjRcKSiOv5MFiBCRDbaOScGdAqxXw8ESc+NufKCrjpVIEA45Kqhj7HIpQ1mTxTB1HXHyTs5bjEn6&#10;ShqPtwS3rZxl2ae02HBaqLGj75rKs75YBafdPvPbtvjrLoXWM90vfpr/nVLjUb/5AhGpj+/wq701&#10;CuZzeH5JP0CuHgAAAP//AwBQSwECLQAUAAYACAAAACEA2+H2y+4AAACFAQAAEwAAAAAAAAAAAAAA&#10;AAAAAAAAW0NvbnRlbnRfVHlwZXNdLnhtbFBLAQItABQABgAIAAAAIQBa9CxbvwAAABUBAAALAAAA&#10;AAAAAAAAAAAAAB8BAABfcmVscy8ucmVsc1BLAQItABQABgAIAAAAIQAXydq4wgAAANsAAAAPAAAA&#10;AAAAAAAAAAAAAAcCAABkcnMvZG93bnJldi54bWxQSwUGAAAAAAMAAwC3AAAA9gIAAAAA&#10;" fillcolor="#2b992b [3205]" strokecolor="#2b992b [3205]" strokeweight="2pt"/>
                      <v:oval id="Oval 78" o:spid="_x0000_s1029" style="position:absolute;left:1914;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k7KvwAAANsAAAAPAAAAZHJzL2Rvd25yZXYueG1sRE9Ni8Iw&#10;EL0v+B/CCN7WVA+uVKOIKAgKi7F4HpqxLTaTkkSt/35zWPD4eN/LdW9b8SQfGscKJuMMBHHpTMOV&#10;guKy/56DCBHZYOuYFLwpwHo1+FpibtyLz/TUsRIphEOOCuoYu1zKUNZkMYxdR5y4m/MWY4K+ksbj&#10;K4XbVk6zbCYtNpwaauxoW1N51w+r4Hb6zfyhLY7do9B6qvv5rrmelBoN+80CRKQ+fsT/7oNR8JPG&#10;pi/pB8jVHwAAAP//AwBQSwECLQAUAAYACAAAACEA2+H2y+4AAACFAQAAEwAAAAAAAAAAAAAAAAAA&#10;AAAAW0NvbnRlbnRfVHlwZXNdLnhtbFBLAQItABQABgAIAAAAIQBa9CxbvwAAABUBAAALAAAAAAAA&#10;AAAAAAAAAB8BAABfcmVscy8ucmVsc1BLAQItABQABgAIAAAAIQBmVk7KvwAAANsAAAAPAAAAAAAA&#10;AAAAAAAAAAcCAABkcnMvZG93bnJldi54bWxQSwUGAAAAAAMAAwC3AAAA8wIAAAAA&#10;" fillcolor="#2b992b [3205]" strokecolor="#2b992b [3205]" strokeweight="2pt"/>
                      <v:oval id="Oval 79" o:spid="_x0000_s1030" style="position:absolute;left:3552;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utRwwAAANsAAAAPAAAAZHJzL2Rvd25yZXYueG1sRI9BawIx&#10;FITvBf9DeEJvNasHq6tRRBQEhdK4eH5snruLm5clibr996ZQ6HGYmW+Y5bq3rXiQD41jBeNRBoK4&#10;dKbhSkFx3n/MQISIbLB1TAp+KMB6NXhbYm7ck7/poWMlEoRDjgrqGLtcylDWZDGMXEecvKvzFmOS&#10;vpLG4zPBbSsnWTaVFhtOCzV2tK2pvOm7VXA9fWX+0BbH7l5oPdH9bNdcTkq9D/vNAkSkPv6H/9oH&#10;o+BzDr9f0g+QqxcAAAD//wMAUEsBAi0AFAAGAAgAAAAhANvh9svuAAAAhQEAABMAAAAAAAAAAAAA&#10;AAAAAAAAAFtDb250ZW50X1R5cGVzXS54bWxQSwECLQAUAAYACAAAACEAWvQsW78AAAAVAQAACwAA&#10;AAAAAAAAAAAAAAAfAQAAX3JlbHMvLnJlbHNQSwECLQAUAAYACAAAACEACRrrUcMAAADbAAAADwAA&#10;AAAAAAAAAAAAAAAHAgAAZHJzL2Rvd25yZXYueG1sUEsFBgAAAAADAAMAtwAAAPcCAAAAAA==&#10;" fillcolor="#2b992b [3205]" strokecolor="#2b992b [3205]" strokeweight="2pt"/>
                      <v:oval id="Oval 80" o:spid="_x0000_s1031" style="position:absolute;left:5190;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saLwwAAANsAAAAPAAAAZHJzL2Rvd25yZXYueG1sRE/Pa8Iw&#10;FL4P/B/CE7zNVA8i1bRsijDw4OaGbLdH89q0Ni9dE2333y+HwY4f3+9tPtpW3Kn3tWMFi3kCgrhw&#10;uuZKwcf74XENwgdkja1jUvBDHvJs8rDFVLuB3+h+DpWIIexTVGBC6FIpfWHIop+7jjhypesthgj7&#10;SuoehxhuW7lMkpW0WHNsMNjRzlBxPd+sgq4NX81udTrqfVNWr4dvc/kcnpWaTcenDYhAY/gX/7lf&#10;tIJ1XB+/xB8gs18AAAD//wMAUEsBAi0AFAAGAAgAAAAhANvh9svuAAAAhQEAABMAAAAAAAAAAAAA&#10;AAAAAAAAAFtDb250ZW50X1R5cGVzXS54bWxQSwECLQAUAAYACAAAACEAWvQsW78AAAAVAQAACwAA&#10;AAAAAAAAAAAAAAAfAQAAX3JlbHMvLnJlbHNQSwECLQAUAAYACAAAACEAYN7Gi8MAAADbAAAADwAA&#10;AAAAAAAAAAAAAAAHAgAAZHJzL2Rvd25yZXYueG1sUEsFBgAAAAADAAMAtwAAAPcCAAAAAA==&#10;" filled="f" strokecolor="#2b992b [3205]" strokeweight="2pt"/>
                      <v:oval id="Oval 81" o:spid="_x0000_s1032" style="position:absolute;left:6829;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MQxgAAANsAAAAPAAAAZHJzL2Rvd25yZXYueG1sRI9La8Mw&#10;EITvhfwHsYXcGjk9hOBEMXkQKPSQR0tIbou1tpxaK9dSYvffV4FCj8PMfMPMs97W4k6trxwrGI8S&#10;EMS50xWXCj4/ti9TED4ga6wdk4If8pAtBk9zTLXr+ED3YyhFhLBPUYEJoUml9Lkhi37kGuLoFa61&#10;GKJsS6lb7CLc1vI1SSbSYsVxwWBDa0P51/FmFTR1uFzXk9273lyLcr/9Nqdzt1Jq+NwvZyAC9eE/&#10;/Nd+0wqmY3h8iT9ALn4BAAD//wMAUEsBAi0AFAAGAAgAAAAhANvh9svuAAAAhQEAABMAAAAAAAAA&#10;AAAAAAAAAAAAAFtDb250ZW50X1R5cGVzXS54bWxQSwECLQAUAAYACAAAACEAWvQsW78AAAAVAQAA&#10;CwAAAAAAAAAAAAAAAAAfAQAAX3JlbHMvLnJlbHNQSwECLQAUAAYACAAAACEAD5JjEMYAAADbAAAA&#10;DwAAAAAAAAAAAAAAAAAHAgAAZHJzL2Rvd25yZXYueG1sUEsFBgAAAAADAAMAtwAAAPoCAAAAAA==&#10;" filled="f" strokecolor="#2b992b [3205]" strokeweight="2pt"/>
                      <w10:anchorlock/>
                    </v:group>
                  </w:pict>
                </mc:Fallback>
              </mc:AlternateContent>
            </w:r>
          </w:p>
          <w:p w14:paraId="194A1E45" w14:textId="01EE6003" w:rsidR="00F5478E" w:rsidRPr="00B63BEE" w:rsidRDefault="005A4C8D" w:rsidP="00CB4863">
            <w:r>
              <w:t>Good</w:t>
            </w:r>
          </w:p>
        </w:tc>
        <w:tc>
          <w:tcPr>
            <w:tcW w:w="3680" w:type="dxa"/>
          </w:tcPr>
          <w:p w14:paraId="51708B23" w14:textId="3BCBECD9" w:rsidR="00F5478E" w:rsidRPr="00BB48DD" w:rsidRDefault="00F5478E" w:rsidP="00CB4863">
            <w:pPr>
              <w:jc w:val="left"/>
            </w:pPr>
            <w:r w:rsidRPr="00B63BEE">
              <w:t xml:space="preserve">A significant number of ARPANSA documents including inspection reports </w:t>
            </w:r>
            <w:r>
              <w:t xml:space="preserve">and common inspection findings </w:t>
            </w:r>
            <w:r w:rsidRPr="00B63BEE">
              <w:t xml:space="preserve">are available online. </w:t>
            </w:r>
          </w:p>
        </w:tc>
        <w:tc>
          <w:tcPr>
            <w:tcW w:w="1700" w:type="dxa"/>
          </w:tcPr>
          <w:p w14:paraId="038B3CE5" w14:textId="5B1D06B7" w:rsidR="00F5478E" w:rsidRDefault="0074361D" w:rsidP="00CB4863">
            <w:r>
              <w:rPr>
                <w:noProof/>
                <w:lang w:eastAsia="en-AU"/>
              </w:rPr>
              <mc:AlternateContent>
                <mc:Choice Requires="wpc">
                  <w:drawing>
                    <wp:inline distT="0" distB="0" distL="0" distR="0" wp14:anchorId="03978794" wp14:editId="6738FE39">
                      <wp:extent cx="840740" cy="247650"/>
                      <wp:effectExtent l="0" t="0" r="0" b="0"/>
                      <wp:docPr id="124" name="Canvas 1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9" name="Oval 119"/>
                              <wps:cNvSpPr/>
                              <wps:spPr>
                                <a:xfrm>
                                  <a:off x="2759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Oval 120"/>
                              <wps:cNvSpPr/>
                              <wps:spPr>
                                <a:xfrm>
                                  <a:off x="19142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Oval 121"/>
                              <wps:cNvSpPr/>
                              <wps:spPr>
                                <a:xfrm>
                                  <a:off x="35525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Oval 122"/>
                              <wps:cNvSpPr/>
                              <wps:spPr>
                                <a:xfrm>
                                  <a:off x="51908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Oval 123"/>
                              <wps:cNvSpPr/>
                              <wps:spPr>
                                <a:xfrm>
                                  <a:off x="68291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446DFC7" id="Canvas 124" o:spid="_x0000_s1026" editas="canvas" style="width:66.2pt;height:19.5pt;mso-position-horizontal-relative:char;mso-position-vertical-relative:line" coordsize="840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w4NgMAAOUVAAAOAAAAZHJzL2Uyb0RvYy54bWzsWN1P2zAQf5+0/8Hy+8hHCZCIFFVFTJMQ&#10;VIOJZ9ex20iOndlu0+6v39lJSgdsYx9CqpQ+uL74fF++3yW+84tNJdCaaVMqmePoKMSISaqKUi5y&#10;/OX+6sMZRsYSWRChJMvxlhl8MX7/7rypMxarpRIF0wiESJM1dY6X1tZZEBi6ZBUxR6pmEha50hWx&#10;QOpFUGjSgPRKBHEYngSN0kWtFWXGwNPLdhGPvXzOGbW3nBtmkcgx2Gb9qP04d2MwPifZQpN6WdLO&#10;DPIXVlSklKB0J+qSWIJWunwmqiqpVkZxe0RVFSjOS8q8D+BNFD7xZkrkmhjvDIXo9AbC7D/KnS8g&#10;BiAya+AwmJ/DUZh6dyjm35TdLUnNvA8mozfrmUZlAZkSpRhJUkFK3K6JQI7udAPTXT3THWVg6gK7&#10;4bpy/xAytMlxfJqkIGGb45M0jZP2HNnGIgqL0SiKkggjCsvRKExDLzt4FFJrYz8yVSE3yTEToqyN&#10;M5JkZH1tLOgG7p7LPRbSjUaJsrgqhfCEy1E2FRqBAzkmlDJpY2cJ7N3jBMrtDpraZK03fma3grWS&#10;PzMOMXFOeQt87j+X61UuScFadUkIv15Zb4lXLSQIdNwcDN3Jjn4lu7W543dbmYfObnP4+827HV6z&#10;kna3uSql0i8JEDbqHOAtfx+kNjQuSnNVbCFjtGqBa2p6VcKRXRNjZ0QDUgHTUH3sLQxcqCbHqpth&#10;tFT620vPHT+kNKxi1ADyc2y+rohmGIlPEpI9jY6PXanwxHFyGgOh91fm+ytyVU0VHD+kG1jnp47f&#10;in7KtaoeoEhNnFZYIpKC7hxTq3tiatuKBGWOssnEs0F5qIm9lncO7O3huXy83zwQXXd5ayHhb1QP&#10;sGe52/K685BqsrKKlz6xH+PaxRvA7irAW6DexXIf9UB3OH8V6iM4m3iA/QB7SKMB9u179SBgD9Xx&#10;B9j7wu9KzqtgP0qSOBlgP8B+gP1hve3jJ7D3X8evhn0SpeHZAPsB9gPsDwv2oyewH/3RR/7JWZy6&#10;7sCb3e2lcld6uIcM13wXg5/0H9oewXDNP+xrPnShfCvRd4q6vqdrVu7Tvi3w2J0dfwcAAP//AwBQ&#10;SwMEFAAGAAgAAAAhAFTL1vHcAAAABAEAAA8AAABkcnMvZG93bnJldi54bWxMj81qwzAQhO+FvoPY&#10;Qm6NVCekrms5hEIhhELJD/SqWBvbrbUy1iZx3r5KL+llYZhh5tt8PrhWnLAPjScNT2MFAqn0tqFK&#10;w277/piCCGzImtYTarhggHlxf5ebzPozrfG04UrEEgqZ0VAzd5mUoazRmTD2HVL0Dr53hqPsK2l7&#10;c47lrpWJUjPpTENxoTYdvtVY/myOTsNs+bzdfah16lbp5Wuh3Cd/JwetRw/D4hUE48C3MFzxIzoU&#10;kWnvj2SDaDXER/jvXr1JMgWx1zB5USCLXP6HL34BAAD//wMAUEsBAi0AFAAGAAgAAAAhALaDOJL+&#10;AAAA4QEAABMAAAAAAAAAAAAAAAAAAAAAAFtDb250ZW50X1R5cGVzXS54bWxQSwECLQAUAAYACAAA&#10;ACEAOP0h/9YAAACUAQAACwAAAAAAAAAAAAAAAAAvAQAAX3JlbHMvLnJlbHNQSwECLQAUAAYACAAA&#10;ACEAcsS8ODYDAADlFQAADgAAAAAAAAAAAAAAAAAuAgAAZHJzL2Uyb0RvYy54bWxQSwECLQAUAAYA&#10;CAAAACEAVMvW8dwAAAAEAQAADwAAAAAAAAAAAAAAAACQBQAAZHJzL2Rvd25yZXYueG1sUEsFBgAA&#10;AAAEAAQA8wAAAJkGAAAAAA==&#10;">
                      <v:shape id="_x0000_s1027" type="#_x0000_t75" style="position:absolute;width:8407;height:2476;visibility:visible;mso-wrap-style:square">
                        <v:fill o:detectmouseclick="t"/>
                        <v:path o:connecttype="none"/>
                      </v:shape>
                      <v:oval id="Oval 119" o:spid="_x0000_s1028" style="position:absolute;left:275;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d7EwAAAANwAAAAPAAAAZHJzL2Rvd25yZXYueG1sRE9Ni8Iw&#10;EL0v+B/CCN7WVA+i1SgiLggrLMbieWjGtthMShK1++83C4K3ebzPWW1624oH+dA4VjAZZyCIS2ca&#10;rhQU56/POYgQkQ22jknBLwXYrAcfK8yNe/KJHjpWIoVwyFFBHWOXSxnKmiyGseuIE3d13mJM0FfS&#10;eHymcNvKaZbNpMWGU0ONHe1qKm/6bhVcjz+ZP7TFd3cvtJ7qfr5vLkelRsN+uwQRqY9v8ct9MGn+&#10;ZAH/z6QL5PoPAAD//wMAUEsBAi0AFAAGAAgAAAAhANvh9svuAAAAhQEAABMAAAAAAAAAAAAAAAAA&#10;AAAAAFtDb250ZW50X1R5cGVzXS54bWxQSwECLQAUAAYACAAAACEAWvQsW78AAAAVAQAACwAAAAAA&#10;AAAAAAAAAAAfAQAAX3JlbHMvLnJlbHNQSwECLQAUAAYACAAAACEAR2nexMAAAADcAAAADwAAAAAA&#10;AAAAAAAAAAAHAgAAZHJzL2Rvd25yZXYueG1sUEsFBgAAAAADAAMAtwAAAPQCAAAAAA==&#10;" fillcolor="#2b992b [3205]" strokecolor="#2b992b [3205]" strokeweight="2pt"/>
                      <v:oval id="Oval 120" o:spid="_x0000_s1029" style="position:absolute;left:1914;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73kxAAAANwAAAAPAAAAZHJzL2Rvd25yZXYueG1sRI9Ba8Mw&#10;DIXvhf0Ho8FurbMcRknrljE2KKww6oaeRawmYbEcbLfN/v10KPQm8Z7e+7TeTn5QV4qpD2zgdVGA&#10;Im6C67k1UB+/5ktQKSM7HAKTgT9KsN08zdZYuXDjA11tbpWEcKrQQJfzWGmdmo48pkUYiUU7h+gx&#10;yxpb7SLeJNwPuiyKN+2xZ2nocKSPjppfe/EGzvufIu6G+nu81NaWdlp+9qe9MS/P0/sKVKYpP8z3&#10;650T/FLw5RmZQG/+AQAA//8DAFBLAQItABQABgAIAAAAIQDb4fbL7gAAAIUBAAATAAAAAAAAAAAA&#10;AAAAAAAAAABbQ29udGVudF9UeXBlc10ueG1sUEsBAi0AFAAGAAgAAAAhAFr0LFu/AAAAFQEAAAsA&#10;AAAAAAAAAAAAAAAAHwEAAF9yZWxzLy5yZWxzUEsBAi0AFAAGAAgAAAAhABg/veTEAAAA3AAAAA8A&#10;AAAAAAAAAAAAAAAABwIAAGRycy9kb3ducmV2LnhtbFBLBQYAAAAAAwADALcAAAD4AgAAAAA=&#10;" fillcolor="#2b992b [3205]" strokecolor="#2b992b [3205]" strokeweight="2pt"/>
                      <v:oval id="Oval 121" o:spid="_x0000_s1030" style="position:absolute;left:3552;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xh/wAAAANwAAAAPAAAAZHJzL2Rvd25yZXYueG1sRE9Ni8Iw&#10;EL0L+x/CLHjT1B5EqlFk2QVhBTFbPA/N2BabSUmi1n9vBGFv83ifs9oMthM38qF1rGA2zUAQV860&#10;XCso/34mCxAhIhvsHJOCBwXYrD9GKyyMu/ORbjrWIoVwKFBBE2NfSBmqhiyGqeuJE3d23mJM0NfS&#10;eLyncNvJPMvm0mLLqaHBnr4aqi76ahWc94fM77ryt7+WWud6WHy3p71S489huwQRaYj/4rd7Z9L8&#10;fAavZ9IFcv0EAAD//wMAUEsBAi0AFAAGAAgAAAAhANvh9svuAAAAhQEAABMAAAAAAAAAAAAAAAAA&#10;AAAAAFtDb250ZW50X1R5cGVzXS54bWxQSwECLQAUAAYACAAAACEAWvQsW78AAAAVAQAACwAAAAAA&#10;AAAAAAAAAAAfAQAAX3JlbHMvLnJlbHNQSwECLQAUAAYACAAAACEAd3MYf8AAAADcAAAADwAAAAAA&#10;AAAAAAAAAAAHAgAAZHJzL2Rvd25yZXYueG1sUEsFBgAAAAADAAMAtwAAAPQCAAAAAA==&#10;" fillcolor="#2b992b [3205]" strokecolor="#2b992b [3205]" strokeweight="2pt"/>
                      <v:oval id="Oval 122" o:spid="_x0000_s1031" style="position:absolute;left:5190;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YYIwAAAANwAAAAPAAAAZHJzL2Rvd25yZXYueG1sRE9Ni8Iw&#10;EL0v+B/CCN7W1B5EqlFEFASFZbPF89CMbbGZlCRq/fdmYWFv83ifs9oMthMP8qF1rGA2zUAQV860&#10;XCsofw6fCxAhIhvsHJOCFwXYrEcfKyyMe/I3PXSsRQrhUKCCJsa+kDJUDVkMU9cTJ+7qvMWYoK+l&#10;8fhM4baTeZbNpcWWU0ODPe0aqm76bhVcz1+ZP3blqb+XWud6WOzby1mpyXjYLkFEGuK/+M99NGl+&#10;nsPvM+kCuX4DAAD//wMAUEsBAi0AFAAGAAgAAAAhANvh9svuAAAAhQEAABMAAAAAAAAAAAAAAAAA&#10;AAAAAFtDb250ZW50X1R5cGVzXS54bWxQSwECLQAUAAYACAAAACEAWvQsW78AAAAVAQAACwAAAAAA&#10;AAAAAAAAAAAfAQAAX3JlbHMvLnJlbHNQSwECLQAUAAYACAAAACEAh6GGCMAAAADcAAAADwAAAAAA&#10;AAAAAAAAAAAHAgAAZHJzL2Rvd25yZXYueG1sUEsFBgAAAAADAAMAtwAAAPQCAAAAAA==&#10;" fillcolor="#2b992b [3205]" strokecolor="#2b992b [3205]" strokeweight="2pt"/>
                      <v:oval id="Oval 123" o:spid="_x0000_s1032" style="position:absolute;left:6829;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5Z2wwAAANwAAAAPAAAAZHJzL2Rvd25yZXYueG1sRE9NawIx&#10;EL0X/A9hhN5qVgUpW6NURRB6qFUpehs242btZrJuUnf990YQvM3jfc542tpSXKj2hWMF/V4Cgjhz&#10;uuBcwW67fHsH4QOyxtIxKbiSh+mk8zLGVLuGf+iyCbmIIexTVGBCqFIpfWbIou+5ijhyR1dbDBHW&#10;udQ1NjHclnKQJCNpseDYYLCiuaHsb/NvFVRlOJzmo+8vvTgd8/XybH73zUyp1277+QEiUBue4od7&#10;peP8wRDuz8QL5OQGAAD//wMAUEsBAi0AFAAGAAgAAAAhANvh9svuAAAAhQEAABMAAAAAAAAAAAAA&#10;AAAAAAAAAFtDb250ZW50X1R5cGVzXS54bWxQSwECLQAUAAYACAAAACEAWvQsW78AAAAVAQAACwAA&#10;AAAAAAAAAAAAAAAfAQAAX3JlbHMvLnJlbHNQSwECLQAUAAYACAAAACEAzqeWdsMAAADcAAAADwAA&#10;AAAAAAAAAAAAAAAHAgAAZHJzL2Rvd25yZXYueG1sUEsFBgAAAAADAAMAtwAAAPcCAAAAAA==&#10;" filled="f" strokecolor="#2b992b [3205]" strokeweight="2pt"/>
                      <w10:anchorlock/>
                    </v:group>
                  </w:pict>
                </mc:Fallback>
              </mc:AlternateContent>
            </w:r>
          </w:p>
          <w:p w14:paraId="6596AF28" w14:textId="1BA165CB" w:rsidR="00F5478E" w:rsidRPr="00BB48DD" w:rsidRDefault="00FE3D1D" w:rsidP="00CB4863">
            <w:r>
              <w:t>Very good</w:t>
            </w:r>
          </w:p>
        </w:tc>
      </w:tr>
      <w:tr w:rsidR="003D22E9" w14:paraId="140CBE64" w14:textId="77777777" w:rsidTr="003C23B9">
        <w:tc>
          <w:tcPr>
            <w:tcW w:w="2439" w:type="dxa"/>
          </w:tcPr>
          <w:p w14:paraId="111268CE" w14:textId="663149FF" w:rsidR="00F5478E" w:rsidRDefault="00F5478E" w:rsidP="00CB4863">
            <w:pPr>
              <w:jc w:val="left"/>
            </w:pPr>
            <w:r w:rsidRPr="008B4498">
              <w:t>KPI 6 – Regulators actively contribute to the continuous improvement of regulatory frameworks</w:t>
            </w:r>
          </w:p>
        </w:tc>
        <w:tc>
          <w:tcPr>
            <w:tcW w:w="1701" w:type="dxa"/>
          </w:tcPr>
          <w:p w14:paraId="4BE4BA49" w14:textId="2F460A87" w:rsidR="008A7E6E" w:rsidRDefault="0074361D" w:rsidP="00CB4863">
            <w:r>
              <w:rPr>
                <w:noProof/>
                <w:lang w:eastAsia="en-AU"/>
              </w:rPr>
              <mc:AlternateContent>
                <mc:Choice Requires="wpc">
                  <w:drawing>
                    <wp:inline distT="0" distB="0" distL="0" distR="0" wp14:anchorId="2D0EB815" wp14:editId="28B8CBB5">
                      <wp:extent cx="840740" cy="247650"/>
                      <wp:effectExtent l="0" t="0" r="0" b="0"/>
                      <wp:docPr id="118" name="Canvas 1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3" name="Oval 113"/>
                              <wps:cNvSpPr/>
                              <wps:spPr>
                                <a:xfrm>
                                  <a:off x="2759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Oval 114"/>
                              <wps:cNvSpPr/>
                              <wps:spPr>
                                <a:xfrm>
                                  <a:off x="19142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Oval 115"/>
                              <wps:cNvSpPr/>
                              <wps:spPr>
                                <a:xfrm>
                                  <a:off x="35525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Oval 116"/>
                              <wps:cNvSpPr/>
                              <wps:spPr>
                                <a:xfrm>
                                  <a:off x="51908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Oval 117"/>
                              <wps:cNvSpPr/>
                              <wps:spPr>
                                <a:xfrm>
                                  <a:off x="68291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10B9CFA" id="Canvas 118" o:spid="_x0000_s1026" editas="canvas" style="width:66.2pt;height:19.5pt;mso-position-horizontal-relative:char;mso-position-vertical-relative:line" coordsize="840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p/LAMAAOUVAAAOAAAAZHJzL2Uyb0RvYy54bWzsWFtr2zAUfh/sPwi9r74kTmpTp4SUjkFp&#10;w9rRZ0WWE4MseZISJ/v1O5LtNKTd1m6jEHAeFMnn6Nw/CZ2Ly23J0YYpXUiR4uDMx4gJKrNCLFP8&#10;7eH60zlG2hCRES4FS/GOaXw5+fjhoq4SFsqV5BlTCIQIndRVilfGVInnabpiJdFnsmICiLlUJTGw&#10;VEsvU6QG6SX3Qt8febVUWaUkZVrD16uGiCdOfp4zau7yXDODeIrBNuNG5caFHb3JBUmWilSrgrZm&#10;kL+woiSFAKV7UVfEELRWxTNRZUGV1DI3Z1SWnszzgjLnA3gT+EfezIjYEO2coRCdzkCY/Ue5iyXE&#10;AEQmNSSDuTmkQlf7pOh/U3a/IhVzPuiE3m7mChUZVEowwEiQEkribkM4sutWNzDdV3PVrjRMbWC3&#10;uSrtP4QMbVMcjqM4xmiX4lEch1GTR7Y1iAIxGARBFGBEgRwM/NiPLd17ElIpbT4zWSI7STHjvKi0&#10;NZIkZHOjTcPdcdnPXNhRS15k1wXnbmFrlM24QuBAigmlTJiw1XTACXrtbq+udNJ442Zmx1kj+SvL&#10;ISbWKWeBq/3ncp3KFclYoy7y4dcp6yxxTnIBAi13DobuZQe/k9342/LbrcxBZ7/Z//Pm/Q6nWQqz&#10;31wWQqqXBHATtA7kDX8XpCY0NkoLme2gYpRsgKsrel1Aym6INnOiAKmAaTh9zB0MOZd1imU7w2gl&#10;1Y+Xvlt+KGmgYlQD8lOsv6+JYhjxLwKKPQ6GQ3tUuMUwGoewUIeUxSFFrMuZhPRDuYF1bmr5De+m&#10;uZLlIxxSU6sVSERQ0J1ialS3mJnmRIJjjrLp1LHB8VARcyPuLdib5Nl6fNg+ElW1dWug4G9lB7Bn&#10;tdvw2nwIOV0bmReusJ/i2sYbwG5PgHdB/fAI9UNbAVb3q1AfQG7CHvY97AFHPeybe/UkYB8dwd5d&#10;2K+G/SCKwqiHfQ/7HvandduPjmA/etNtHwWxf97Dvod9D/vTgv34CPbjN8F+dB7GwXvCXkj7pId3&#10;SP/MtzH4Rf+h6RH0z/zTfuZDF8q1El2nqO172mbl4dq1BZ66s5OfAAAA//8DAFBLAwQUAAYACAAA&#10;ACEAVMvW8dwAAAAEAQAADwAAAGRycy9kb3ducmV2LnhtbEyPzWrDMBCE74W+g9hCbo1UJ6SuazmE&#10;QiGEQskP9KpYG9uttTLWJnHevkov6WVhmGHm23w+uFacsA+NJw1PYwUCqfS2oUrDbvv+mIIIbMia&#10;1hNquGCAeXF/l5vM+jOt8bThSsQSCpnRUDN3mZShrNGZMPYdUvQOvneGo+wraXtzjuWulYlSM+lM&#10;Q3GhNh2+1Vj+bI5Ow2z5vN19qHXqVunla6HcJ38nB61HD8PiFQTjwLcwXPEjOhSRae+PZINoNcRH&#10;+O9evUkyBbHXMHlRIItc/ocvfgEAAP//AwBQSwECLQAUAAYACAAAACEAtoM4kv4AAADhAQAAEwAA&#10;AAAAAAAAAAAAAAAAAAAAW0NvbnRlbnRfVHlwZXNdLnhtbFBLAQItABQABgAIAAAAIQA4/SH/1gAA&#10;AJQBAAALAAAAAAAAAAAAAAAAAC8BAABfcmVscy8ucmVsc1BLAQItABQABgAIAAAAIQDfUZp/LAMA&#10;AOUVAAAOAAAAAAAAAAAAAAAAAC4CAABkcnMvZTJvRG9jLnhtbFBLAQItABQABgAIAAAAIQBUy9bx&#10;3AAAAAQBAAAPAAAAAAAAAAAAAAAAAIYFAABkcnMvZG93bnJldi54bWxQSwUGAAAAAAQABADzAAAA&#10;jwYAAAAA&#10;">
                      <v:shape id="_x0000_s1027" type="#_x0000_t75" style="position:absolute;width:8407;height:2476;visibility:visible;mso-wrap-style:square">
                        <v:fill o:detectmouseclick="t"/>
                        <v:path o:connecttype="none"/>
                      </v:shape>
                      <v:oval id="Oval 113" o:spid="_x0000_s1028" style="position:absolute;left:275;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ekuwAAAANwAAAAPAAAAZHJzL2Rvd25yZXYueG1sRE9Ni8Iw&#10;EL0v+B/CCN7WVIVFqlFEFASFxVg8D83YFptJSaJ2//1mYcHbPN7nLNe9bcWTfGgcK5iMMxDEpTMN&#10;VwqKy/5zDiJEZIOtY1LwQwHWq8HHEnPjXnymp46VSCEcclRQx9jlUoayJoth7DrixN2ctxgT9JU0&#10;Hl8p3LZymmVf0mLDqaHGjrY1lXf9sApup+/MH9ri2D0Krae6n++a60mp0bDfLEBE6uNb/O8+mDR/&#10;MoO/Z9IFcvULAAD//wMAUEsBAi0AFAAGAAgAAAAhANvh9svuAAAAhQEAABMAAAAAAAAAAAAAAAAA&#10;AAAAAFtDb250ZW50X1R5cGVzXS54bWxQSwECLQAUAAYACAAAACEAWvQsW78AAAAVAQAACwAAAAAA&#10;AAAAAAAAAAAfAQAAX3JlbHMvLnJlbHNQSwECLQAUAAYACAAAACEAJoHpLsAAAADcAAAADwAAAAAA&#10;AAAAAAAAAAAHAgAAZHJzL2Rvd25yZXYueG1sUEsFBgAAAAADAAMAtwAAAPQCAAAAAA==&#10;" fillcolor="#2b992b [3205]" strokecolor="#2b992b [3205]" strokeweight="2pt"/>
                      <v:oval id="Oval 114" o:spid="_x0000_s1029" style="position:absolute;left:1914;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HFawAAAANwAAAAPAAAAZHJzL2Rvd25yZXYueG1sRE9Ni8Iw&#10;EL0v+B/CCN7WVJFFqlFEFASFxVg8D83YFptJSaJ2//1mYcHbPN7nLNe9bcWTfGgcK5iMMxDEpTMN&#10;VwqKy/5zDiJEZIOtY1LwQwHWq8HHEnPjXnymp46VSCEcclRQx9jlUoayJoth7DrixN2ctxgT9JU0&#10;Hl8p3LZymmVf0mLDqaHGjrY1lXf9sApup+/MH9ri2D0Krae6n++a60mp0bDfLEBE6uNb/O8+mDR/&#10;MoO/Z9IFcvULAAD//wMAUEsBAi0AFAAGAAgAAAAhANvh9svuAAAAhQEAABMAAAAAAAAAAAAAAAAA&#10;AAAAAFtDb250ZW50X1R5cGVzXS54bWxQSwECLQAUAAYACAAAACEAWvQsW78AAAAVAQAACwAAAAAA&#10;AAAAAAAAAAAfAQAAX3JlbHMvLnJlbHNQSwECLQAUAAYACAAAACEAqWhxWsAAAADcAAAADwAAAAAA&#10;AAAAAAAAAAAHAgAAZHJzL2Rvd25yZXYueG1sUEsFBgAAAAADAAMAtwAAAPQCAAAAAA==&#10;" fillcolor="#2b992b [3205]" strokecolor="#2b992b [3205]" strokeweight="2pt"/>
                      <v:oval id="Oval 115" o:spid="_x0000_s1030" style="position:absolute;left:3552;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NTBwAAAANwAAAAPAAAAZHJzL2Rvd25yZXYueG1sRE9Ni8Iw&#10;EL0v+B/CCN7WVMFFqlFEFASFxVg8D83YFptJSaJ2//1mYcHbPN7nLNe9bcWTfGgcK5iMMxDEpTMN&#10;VwqKy/5zDiJEZIOtY1LwQwHWq8HHEnPjXnymp46VSCEcclRQx9jlUoayJoth7DrixN2ctxgT9JU0&#10;Hl8p3LZymmVf0mLDqaHGjrY1lXf9sApup+/MH9ri2D0Krae6n++a60mp0bDfLEBE6uNb/O8+mDR/&#10;MoO/Z9IFcvULAAD//wMAUEsBAi0AFAAGAAgAAAAhANvh9svuAAAAhQEAABMAAAAAAAAAAAAAAAAA&#10;AAAAAFtDb250ZW50X1R5cGVzXS54bWxQSwECLQAUAAYACAAAACEAWvQsW78AAAAVAQAACwAAAAAA&#10;AAAAAAAAAAAfAQAAX3JlbHMvLnJlbHNQSwECLQAUAAYACAAAACEAxiTUwcAAAADcAAAADwAAAAAA&#10;AAAAAAAAAAAHAgAAZHJzL2Rvd25yZXYueG1sUEsFBgAAAAADAAMAtwAAAPQCAAAAAA==&#10;" fillcolor="#2b992b [3205]" strokecolor="#2b992b [3205]" strokeweight="2pt"/>
                      <v:oval id="Oval 116" o:spid="_x0000_s1031" style="position:absolute;left:5190;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kq2wAAAANwAAAAPAAAAZHJzL2Rvd25yZXYueG1sRE9Ni8Iw&#10;EL0L+x/CCN5sqgeRrlFEXBAUFrPF89CMbdlmUpKo9d+bBWFv83ifs9oMthN38qF1rGCW5SCIK2da&#10;rhWUP1/TJYgQkQ12jknBkwJs1h+jFRbGPfhMdx1rkUI4FKigibEvpAxVQxZD5nrixF2dtxgT9LU0&#10;Hh8p3HZynucLabHl1NBgT7uGql99swqup+/cH7ry2N9Kred6WO7by0mpyXjYfoKINMR/8dt9MGn+&#10;bAF/z6QL5PoFAAD//wMAUEsBAi0AFAAGAAgAAAAhANvh9svuAAAAhQEAABMAAAAAAAAAAAAAAAAA&#10;AAAAAFtDb250ZW50X1R5cGVzXS54bWxQSwECLQAUAAYACAAAACEAWvQsW78AAAAVAQAACwAAAAAA&#10;AAAAAAAAAAAfAQAAX3JlbHMvLnJlbHNQSwECLQAUAAYACAAAACEANvZKtsAAAADcAAAADwAAAAAA&#10;AAAAAAAAAAAHAgAAZHJzL2Rvd25yZXYueG1sUEsFBgAAAAADAAMAtwAAAPQCAAAAAA==&#10;" fillcolor="#2b992b [3205]" strokecolor="#2b992b [3205]" strokeweight="2pt"/>
                      <v:oval id="Oval 117" o:spid="_x0000_s1032" style="position:absolute;left:6829;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rIwwAAANwAAAAPAAAAZHJzL2Rvd25yZXYueG1sRE9NawIx&#10;EL0L/ocwgjfN2oOWrVGqIggebFWK3obNuFm7mWw30d3++6YgeJvH+5zpvLWluFPtC8cKRsMEBHHm&#10;dMG5guNhPXgF4QOyxtIxKfglD/NZtzPFVLuGP+m+D7mIIexTVGBCqFIpfWbIoh+6ijhyF1dbDBHW&#10;udQ1NjHclvIlScbSYsGxwWBFS0PZ9/5mFVRlOF+X491Wr66X/GP9Y75OzUKpfq99fwMRqA1P8cO9&#10;0XH+aAL/z8QL5OwPAAD//wMAUEsBAi0AFAAGAAgAAAAhANvh9svuAAAAhQEAABMAAAAAAAAAAAAA&#10;AAAAAAAAAFtDb250ZW50X1R5cGVzXS54bWxQSwECLQAUAAYACAAAACEAWvQsW78AAAAVAQAACwAA&#10;AAAAAAAAAAAAAAAfAQAAX3JlbHMvLnJlbHNQSwECLQAUAAYACAAAACEAf/BayMMAAADcAAAADwAA&#10;AAAAAAAAAAAAAAAHAgAAZHJzL2Rvd25yZXYueG1sUEsFBgAAAAADAAMAtwAAAPcCAAAAAA==&#10;" filled="f" strokecolor="#2b992b [3205]" strokeweight="2pt"/>
                      <w10:anchorlock/>
                    </v:group>
                  </w:pict>
                </mc:Fallback>
              </mc:AlternateContent>
            </w:r>
          </w:p>
          <w:p w14:paraId="563C54AC" w14:textId="37B8E98E" w:rsidR="00F5478E" w:rsidRPr="00B63BEE" w:rsidRDefault="005A4C8D" w:rsidP="00CB4863">
            <w:r>
              <w:t>Very good</w:t>
            </w:r>
          </w:p>
        </w:tc>
        <w:tc>
          <w:tcPr>
            <w:tcW w:w="3680" w:type="dxa"/>
          </w:tcPr>
          <w:p w14:paraId="098F2CD2" w14:textId="4B7803F3" w:rsidR="00F5478E" w:rsidRPr="00BB48DD" w:rsidRDefault="00F5478E" w:rsidP="00CB4863">
            <w:pPr>
              <w:jc w:val="left"/>
            </w:pPr>
            <w:r w:rsidRPr="00B63BEE">
              <w:t xml:space="preserve">ARPANSA has a dedicated continuous improvement team that analyses performance regularly and rigorously. </w:t>
            </w:r>
            <w:r>
              <w:t>A number of improvement initiatives have been implemented during the year.</w:t>
            </w:r>
          </w:p>
        </w:tc>
        <w:tc>
          <w:tcPr>
            <w:tcW w:w="1700" w:type="dxa"/>
          </w:tcPr>
          <w:p w14:paraId="14D02226" w14:textId="7C450BA6" w:rsidR="00F5478E" w:rsidRDefault="0074361D" w:rsidP="00CB4863">
            <w:r>
              <w:rPr>
                <w:noProof/>
                <w:lang w:eastAsia="en-AU"/>
              </w:rPr>
              <mc:AlternateContent>
                <mc:Choice Requires="wpc">
                  <w:drawing>
                    <wp:inline distT="0" distB="0" distL="0" distR="0" wp14:anchorId="7FDCD29E" wp14:editId="5588E637">
                      <wp:extent cx="840740" cy="247650"/>
                      <wp:effectExtent l="0" t="0" r="0" b="0"/>
                      <wp:docPr id="130" name="Canvas 1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5" name="Oval 125"/>
                              <wps:cNvSpPr/>
                              <wps:spPr>
                                <a:xfrm>
                                  <a:off x="2759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Oval 126"/>
                              <wps:cNvSpPr/>
                              <wps:spPr>
                                <a:xfrm>
                                  <a:off x="19142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Oval 127"/>
                              <wps:cNvSpPr/>
                              <wps:spPr>
                                <a:xfrm>
                                  <a:off x="35525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Oval 128"/>
                              <wps:cNvSpPr/>
                              <wps:spPr>
                                <a:xfrm>
                                  <a:off x="519089" y="69925"/>
                                  <a:ext cx="131151" cy="130909"/>
                                </a:xfrm>
                                <a:prstGeom prst="ellipse">
                                  <a:avLst/>
                                </a:prstGeom>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Oval 129"/>
                              <wps:cNvSpPr/>
                              <wps:spPr>
                                <a:xfrm>
                                  <a:off x="682919" y="69925"/>
                                  <a:ext cx="131151" cy="130909"/>
                                </a:xfrm>
                                <a:prstGeom prst="ellipse">
                                  <a:avLst/>
                                </a:prstGeom>
                                <a:noFill/>
                                <a:ln>
                                  <a:solidFill>
                                    <a:schemeClr val="accent2"/>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C36B563" id="Canvas 130" o:spid="_x0000_s1026" editas="canvas" style="width:66.2pt;height:19.5pt;mso-position-horizontal-relative:char;mso-position-vertical-relative:line" coordsize="8407,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2IMAMAAOUVAAAOAAAAZHJzL2Uyb0RvYy54bWzsWFtr2zAUfh/sPwi9r760TmJTp4SUjkFp&#10;y9rRZ0WWY4MseZISJ/v1O5LtNL1sa7dRCDgPiuRzdO6fbJ3Ts03F0ZopXUqR4uDIx4gJKrNSLFP8&#10;7e7i0wQjbYjICJeCpXjLND6bfvxw2tQJC2UhecYUAiFCJ02d4sKYOvE8TQtWEX0kayaAmEtVEQNL&#10;tfQyRRqQXnEv9P2R10iV1UpSpjU8PW+JeOrk5zmj5jrPNTOIpxhsM25UblzY0ZuekmSpSF2UtDOD&#10;/IUVFSkFKN2JOieGoJUqn4mqSqqklrk5orLyZJ6XlDkfwJvAf+LNnIg10c4ZCtHpDYTZf5S7WEIM&#10;QGTSQDKYm0MqdL1Liv43ZbcFqZnzQSf0an2jUJlBpYQRRoJUUBLXa8KRXXe6gem2vlHdSsPUBnaT&#10;q8r+Q8jQJsXhOIpjjLYpHsVxu5ckbGMQBWJwHARRgBEFcnDsx35sZXsPQmqlzWcmK2QnKWacl7W2&#10;RpKErC+1abl7LvuYCztqycvsouTcLWyNsjlXCBxIMaGUCRN2mvY4Qa/d7TW1Tlpv3MxsOWslf2U5&#10;xMQ65Sxwtf9crlNZkIy16iIffr2y3hLnJBcg0HLnYOhOdvA72a2/Hb/dyhx0dpv9P2/e7XCapTC7&#10;zVUppHpJADdB50De8vdBakNjo7SQ2RYqRskWuLqmFyWk7JJoc0MUIBUwDaePuYYh57JJsexmGBVS&#10;/XjpueWHkgYqRg0gP8X6+4oohhH/IqDY4+DkxB4VbnESjUNYqH3KYp8iVtVcQvqh3MA6N7X8hvfT&#10;XMnqHg6pmdUKJCIo6E4xNapfzE17IsExR9ls5tjgeKiJuRS3Fuxt8mw93m3uiaq7ujVQ8FeyB9iz&#10;2m15bT6EnK2MzEtX2A9x7eINYLcnwLugfvQE9SNbAVb3q1AfQG7CAfYD7AFHA+zb9+pBwH78BPbj&#10;N8H+OIrCaID9APsB9of1tofL36Nv/MmbYB8FsT8ZYD/AfoD9YcEeMPsI9u76/eqP/NEkjIP3hL2Q&#10;9koP95Dhmm9j8Iv+Q9sjGK75h33Nhy6UayW6TlHX97TNyv21aws8dGenPwEAAP//AwBQSwMEFAAG&#10;AAgAAAAhAFTL1vHcAAAABAEAAA8AAABkcnMvZG93bnJldi54bWxMj81qwzAQhO+FvoPYQm6NVCek&#10;rms5hEIhhELJD/SqWBvbrbUy1iZx3r5KL+llYZhh5tt8PrhWnLAPjScNT2MFAqn0tqFKw277/piC&#10;CGzImtYTarhggHlxf5ebzPozrfG04UrEEgqZ0VAzd5mUoazRmTD2HVL0Dr53hqPsK2l7c47lrpWJ&#10;UjPpTENxoTYdvtVY/myOTsNs+bzdfah16lbp5Wuh3Cd/JwetRw/D4hUE48C3MFzxIzoUkWnvj2SD&#10;aDXER/jvXr1JMgWx1zB5USCLXP6HL34BAAD//wMAUEsBAi0AFAAGAAgAAAAhALaDOJL+AAAA4QEA&#10;ABMAAAAAAAAAAAAAAAAAAAAAAFtDb250ZW50X1R5cGVzXS54bWxQSwECLQAUAAYACAAAACEAOP0h&#10;/9YAAACUAQAACwAAAAAAAAAAAAAAAAAvAQAAX3JlbHMvLnJlbHNQSwECLQAUAAYACAAAACEAPsud&#10;iDADAADlFQAADgAAAAAAAAAAAAAAAAAuAgAAZHJzL2Uyb0RvYy54bWxQSwECLQAUAAYACAAAACEA&#10;VMvW8dwAAAAEAQAADwAAAAAAAAAAAAAAAACKBQAAZHJzL2Rvd25yZXYueG1sUEsFBgAAAAAEAAQA&#10;8wAAAJMGAAAAAA==&#10;">
                      <v:shape id="_x0000_s1027" type="#_x0000_t75" style="position:absolute;width:8407;height:2476;visibility:visible;mso-wrap-style:square">
                        <v:fill o:detectmouseclick="t"/>
                        <v:path o:connecttype="none"/>
                      </v:shape>
                      <v:oval id="Oval 125" o:spid="_x0000_s1028" style="position:absolute;left:275;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B58wQAAANwAAAAPAAAAZHJzL2Rvd25yZXYueG1sRE/fa8Iw&#10;EH4f+D+EE3ybqQVFqlFEHAgTxrKy56M522JzKUnU+t+bgbC3+/h+3no72E7cyIfWsYLZNANBXDnT&#10;cq2g/Pl4X4IIEdlg55gUPCjAdjN6W2Nh3J2/6aZjLVIIhwIVNDH2hZShashimLqeOHFn5y3GBH0t&#10;jcd7CredzLNsIS22nBoa7GnfUHXRV6vgfPrK/LErP/trqXWuh+Wh/T0pNRkPuxWISEP8F7/cR5Pm&#10;53P4eyZdIDdPAAAA//8DAFBLAQItABQABgAIAAAAIQDb4fbL7gAAAIUBAAATAAAAAAAAAAAAAAAA&#10;AAAAAABbQ29udGVudF9UeXBlc10ueG1sUEsBAi0AFAAGAAgAAAAhAFr0LFu/AAAAFQEAAAsAAAAA&#10;AAAAAAAAAAAAHwEAAF9yZWxzLy5yZWxzUEsBAi0AFAAGAAgAAAAhAAhIHnzBAAAA3AAAAA8AAAAA&#10;AAAAAAAAAAAABwIAAGRycy9kb3ducmV2LnhtbFBLBQYAAAAAAwADALcAAAD1AgAAAAA=&#10;" fillcolor="#2b992b [3205]" strokecolor="#2b992b [3205]" strokeweight="2pt"/>
                      <v:oval id="Oval 126" o:spid="_x0000_s1029" style="position:absolute;left:1914;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oALwAAAANwAAAAPAAAAZHJzL2Rvd25yZXYueG1sRE9Ni8Iw&#10;EL0L+x/CLHjTdHsQ6RpFxAVBYTGWPQ/N2BabSUmi1n9vFgRv83ifs1gNthM38qF1rOBrmoEgrpxp&#10;uVZQnn4mcxAhIhvsHJOCBwVYLT9GCyyMu/ORbjrWIoVwKFBBE2NfSBmqhiyGqeuJE3d23mJM0NfS&#10;eLyncNvJPMtm0mLLqaHBnjYNVRd9tQrOh9/M77py319LrXM9zLft30Gp8eew/gYRaYhv8cu9M2l+&#10;PoP/Z9IFcvkEAAD//wMAUEsBAi0AFAAGAAgAAAAhANvh9svuAAAAhQEAABMAAAAAAAAAAAAAAAAA&#10;AAAAAFtDb250ZW50X1R5cGVzXS54bWxQSwECLQAUAAYACAAAACEAWvQsW78AAAAVAQAACwAAAAAA&#10;AAAAAAAAAAAfAQAAX3JlbHMvLnJlbHNQSwECLQAUAAYACAAAACEA+JqAC8AAAADcAAAADwAAAAAA&#10;AAAAAAAAAAAHAgAAZHJzL2Rvd25yZXYueG1sUEsFBgAAAAADAAMAtwAAAPQCAAAAAA==&#10;" fillcolor="#2b992b [3205]" strokecolor="#2b992b [3205]" strokeweight="2pt"/>
                      <v:oval id="Oval 127" o:spid="_x0000_s1030" style="position:absolute;left:3552;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iWQwQAAANwAAAAPAAAAZHJzL2Rvd25yZXYueG1sRE9Ni8Iw&#10;EL0v+B/CCN7W1B5UqlFEXBBWWDZb9jw0Y1tsJiWJWv+9WRD2No/3OevtYDtxIx9axwpm0wwEceVM&#10;y7WC8ufjfQkiRGSDnWNS8KAA283obY2FcXf+ppuOtUghHApU0MTYF1KGqiGLYep64sSdnbcYE/S1&#10;NB7vKdx2Ms+yubTYcmposKd9Q9VFX62C8+kr88eu/Oyvpda5HpaH9vek1GQ87FYgIg3xX/xyH02a&#10;ny/g75l0gdw8AQAA//8DAFBLAQItABQABgAIAAAAIQDb4fbL7gAAAIUBAAATAAAAAAAAAAAAAAAA&#10;AAAAAABbQ29udGVudF9UeXBlc10ueG1sUEsBAi0AFAAGAAgAAAAhAFr0LFu/AAAAFQEAAAsAAAAA&#10;AAAAAAAAAAAAHwEAAF9yZWxzLy5yZWxzUEsBAi0AFAAGAAgAAAAhAJfWJZDBAAAA3AAAAA8AAAAA&#10;AAAAAAAAAAAABwIAAGRycy9kb3ducmV2LnhtbFBLBQYAAAAAAwADALcAAAD1AgAAAAA=&#10;" fillcolor="#2b992b [3205]" strokecolor="#2b992b [3205]" strokeweight="2pt"/>
                      <v:oval id="Oval 128" o:spid="_x0000_s1031" style="position:absolute;left:5190;top:699;width:1312;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bHixAAAANwAAAAPAAAAZHJzL2Rvd25yZXYueG1sRI9Ba8Mw&#10;DIXvhf0Ho8FurbMcRknrljE2KKww6oaeRawmYbEcbLfN/v10KPQm8Z7e+7TeTn5QV4qpD2zgdVGA&#10;Im6C67k1UB+/5ktQKSM7HAKTgT9KsN08zdZYuXDjA11tbpWEcKrQQJfzWGmdmo48pkUYiUU7h+gx&#10;yxpb7SLeJNwPuiyKN+2xZ2nocKSPjppfe/EGzvufIu6G+nu81NaWdlp+9qe9MS/P0/sKVKYpP8z3&#10;650T/FJo5RmZQG/+AQAA//8DAFBLAQItABQABgAIAAAAIQDb4fbL7gAAAIUBAAATAAAAAAAAAAAA&#10;AAAAAAAAAABbQ29udGVudF9UeXBlc10ueG1sUEsBAi0AFAAGAAgAAAAhAFr0LFu/AAAAFQEAAAsA&#10;AAAAAAAAAAAAAAAAHwEAAF9yZWxzLy5yZWxzUEsBAi0AFAAGAAgAAAAhAOZJseLEAAAA3AAAAA8A&#10;AAAAAAAAAAAAAAAABwIAAGRycy9kb3ducmV2LnhtbFBLBQYAAAAAAwADALcAAAD4AgAAAAA=&#10;" fillcolor="#2b992b [3205]" strokecolor="#2b992b [3205]" strokeweight="2pt"/>
                      <v:oval id="Oval 129" o:spid="_x0000_s1032" style="position:absolute;left:6829;top:699;width:1311;height:1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6GcxAAAANwAAAAPAAAAZHJzL2Rvd25yZXYueG1sRE9Na8JA&#10;EL0L/odlhN50Uw/Spm6kVYSCh1qVorchO8nGZmdjdjXx33cLhd7m8T5nvuhtLW7U+sqxgsdJAoI4&#10;d7riUsFhvx4/gfABWWPtmBTcycMiGw7mmGrX8SfddqEUMYR9igpMCE0qpc8NWfQT1xBHrnCtxRBh&#10;W0rdYhfDbS2nSTKTFiuODQYbWhrKv3dXq6Cpw+m8nH1s9OpclNv1xXwduzelHkb96wuIQH34F/+5&#10;33WcP32G32fiBTL7AQAA//8DAFBLAQItABQABgAIAAAAIQDb4fbL7gAAAIUBAAATAAAAAAAAAAAA&#10;AAAAAAAAAABbQ29udGVudF9UeXBlc10ueG1sUEsBAi0AFAAGAAgAAAAhAFr0LFu/AAAAFQEAAAsA&#10;AAAAAAAAAAAAAAAAHwEAAF9yZWxzLy5yZWxzUEsBAi0AFAAGAAgAAAAhAK9PoZzEAAAA3AAAAA8A&#10;AAAAAAAAAAAAAAAABwIAAGRycy9kb3ducmV2LnhtbFBLBQYAAAAAAwADALcAAAD4AgAAAAA=&#10;" filled="f" strokecolor="#2b992b [3205]" strokeweight="2pt"/>
                      <w10:anchorlock/>
                    </v:group>
                  </w:pict>
                </mc:Fallback>
              </mc:AlternateContent>
            </w:r>
          </w:p>
          <w:p w14:paraId="54B738D9" w14:textId="0FBAC354" w:rsidR="00F5478E" w:rsidRPr="00BB48DD" w:rsidRDefault="00F5478E" w:rsidP="00CB4863">
            <w:r>
              <w:t>Very good</w:t>
            </w:r>
          </w:p>
        </w:tc>
      </w:tr>
    </w:tbl>
    <w:p w14:paraId="20EFE52B" w14:textId="40B0708D" w:rsidR="00811D28" w:rsidRDefault="00AC13CE" w:rsidP="007320ED">
      <w:pPr>
        <w:pStyle w:val="Heading2"/>
        <w:numPr>
          <w:ilvl w:val="0"/>
          <w:numId w:val="0"/>
        </w:numPr>
      </w:pPr>
      <w:bookmarkStart w:id="2" w:name="_Toc492467944"/>
      <w:r>
        <w:t xml:space="preserve">Areas for </w:t>
      </w:r>
      <w:r w:rsidR="00811D28">
        <w:t xml:space="preserve">Improvement </w:t>
      </w:r>
      <w:bookmarkEnd w:id="2"/>
    </w:p>
    <w:p w14:paraId="2A152E68" w14:textId="525EC873" w:rsidR="00F8317E" w:rsidRPr="00A9092B" w:rsidRDefault="00F8317E" w:rsidP="00F8317E">
      <w:pPr>
        <w:spacing w:after="120"/>
      </w:pPr>
      <w:r>
        <w:t xml:space="preserve">A number of </w:t>
      </w:r>
      <w:r w:rsidR="004908D9">
        <w:t>Areas for I</w:t>
      </w:r>
      <w:r w:rsidRPr="00A9092B">
        <w:t>mprovement</w:t>
      </w:r>
      <w:r w:rsidR="004908D9">
        <w:t xml:space="preserve"> (AFI)</w:t>
      </w:r>
      <w:r w:rsidDel="001843B9">
        <w:t xml:space="preserve"> </w:t>
      </w:r>
      <w:r w:rsidRPr="00A9092B">
        <w:t xml:space="preserve">were identified </w:t>
      </w:r>
      <w:r>
        <w:t>that</w:t>
      </w:r>
      <w:r w:rsidRPr="00A9092B">
        <w:t xml:space="preserve"> </w:t>
      </w:r>
      <w:r>
        <w:t>may</w:t>
      </w:r>
      <w:r w:rsidRPr="00A9092B">
        <w:t xml:space="preserve"> help to improve the efficient </w:t>
      </w:r>
      <w:r>
        <w:t xml:space="preserve">and effective </w:t>
      </w:r>
      <w:r w:rsidRPr="00A9092B">
        <w:t>regulation</w:t>
      </w:r>
      <w:r>
        <w:t xml:space="preserve"> of Commonwealth entities dealing with radiation</w:t>
      </w:r>
      <w:r w:rsidRPr="00A9092B">
        <w:t>.</w:t>
      </w:r>
      <w:r>
        <w:t xml:space="preserve"> In </w:t>
      </w:r>
      <w:r w:rsidRPr="00B01BC4">
        <w:t xml:space="preserve">some </w:t>
      </w:r>
      <w:r>
        <w:t xml:space="preserve">cases it was found that </w:t>
      </w:r>
      <w:r w:rsidRPr="00B01BC4">
        <w:t>the metrics did not closely align with the intention of the KPI</w:t>
      </w:r>
      <w:r>
        <w:t xml:space="preserve"> and that the use of additional evidence is important to gauge ARPANSA’s overall performance against the Framework. The first self-assessment identified this problem and ARPANSA has worked during the year to develop an approved revision to its metrics that took effect on 1 July 2017.</w:t>
      </w:r>
      <w:r w:rsidR="004908D9">
        <w:t xml:space="preserve"> Broadly, the AFIs cover:</w:t>
      </w:r>
    </w:p>
    <w:p w14:paraId="359C78BA" w14:textId="77777777" w:rsidR="004725C3" w:rsidRPr="00C16B84" w:rsidRDefault="004725C3" w:rsidP="006C4E9F">
      <w:pPr>
        <w:ind w:left="357" w:hanging="357"/>
        <w:rPr>
          <w:rFonts w:eastAsiaTheme="majorEastAsia" w:cstheme="majorBidi"/>
          <w:b/>
          <w:bCs/>
          <w:i/>
          <w:color w:val="4E1A74"/>
          <w:sz w:val="24"/>
          <w:lang w:eastAsia="en-AU"/>
        </w:rPr>
      </w:pPr>
      <w:r>
        <w:rPr>
          <w:rFonts w:cstheme="minorHAnsi"/>
          <w:lang w:eastAsia="en-AU"/>
        </w:rPr>
        <w:lastRenderedPageBreak/>
        <w:t>●</w:t>
      </w:r>
      <w:r>
        <w:rPr>
          <w:lang w:eastAsia="en-AU"/>
        </w:rPr>
        <w:t xml:space="preserve"> </w:t>
      </w:r>
      <w:r w:rsidRPr="00C16B84">
        <w:rPr>
          <w:rFonts w:eastAsiaTheme="majorEastAsia" w:cstheme="majorBidi"/>
          <w:b/>
          <w:bCs/>
          <w:i/>
          <w:color w:val="4E1A74"/>
          <w:sz w:val="24"/>
          <w:lang w:eastAsia="en-AU"/>
        </w:rPr>
        <w:t>Feedback Systems</w:t>
      </w:r>
    </w:p>
    <w:p w14:paraId="4ED05A66" w14:textId="306C1AEA" w:rsidR="004725C3" w:rsidRDefault="004725C3" w:rsidP="006C4E9F">
      <w:pPr>
        <w:spacing w:before="0" w:after="120"/>
      </w:pPr>
      <w:r>
        <w:t xml:space="preserve">The effectiveness of internal communication and transfer of information, particularly </w:t>
      </w:r>
      <w:r w:rsidR="00715CCE">
        <w:t xml:space="preserve">with </w:t>
      </w:r>
      <w:r>
        <w:t>regard to inspection findings, may be improved through more regular meetings of the whole inspection teams.</w:t>
      </w:r>
    </w:p>
    <w:p w14:paraId="2A28EB4D" w14:textId="77777777" w:rsidR="004725C3" w:rsidRPr="004D7787" w:rsidRDefault="004725C3" w:rsidP="006C4E9F">
      <w:pPr>
        <w:rPr>
          <w:rFonts w:eastAsiaTheme="majorEastAsia" w:cstheme="majorBidi"/>
          <w:b/>
          <w:bCs/>
          <w:i/>
          <w:color w:val="4E1A74"/>
          <w:sz w:val="24"/>
          <w:lang w:eastAsia="en-AU"/>
        </w:rPr>
      </w:pPr>
      <w:r w:rsidRPr="004D7787">
        <w:rPr>
          <w:rFonts w:eastAsiaTheme="majorEastAsia" w:cstheme="majorBidi"/>
          <w:b/>
          <w:bCs/>
          <w:i/>
          <w:color w:val="4E1A74"/>
          <w:sz w:val="24"/>
          <w:lang w:eastAsia="en-AU"/>
        </w:rPr>
        <w:t>● Consistency</w:t>
      </w:r>
    </w:p>
    <w:p w14:paraId="5E45CB79" w14:textId="06AA7B5B" w:rsidR="006A1285" w:rsidRDefault="00617A0C" w:rsidP="006C4E9F">
      <w:pPr>
        <w:spacing w:before="0" w:after="120"/>
      </w:pPr>
      <w:r>
        <w:t xml:space="preserve">There were at times some inconsistencies in processes and outcomes. </w:t>
      </w:r>
      <w:r w:rsidR="006A1285">
        <w:t xml:space="preserve">Some notable inconsistencies were: </w:t>
      </w:r>
    </w:p>
    <w:p w14:paraId="45F3D8B3" w14:textId="43976F76" w:rsidR="006A1285" w:rsidRDefault="006A1285" w:rsidP="006C4E9F">
      <w:pPr>
        <w:spacing w:before="0" w:after="120"/>
        <w:ind w:left="284"/>
      </w:pPr>
      <w:r>
        <w:rPr>
          <w:rFonts w:cstheme="minorHAnsi"/>
        </w:rPr>
        <w:t>●</w:t>
      </w:r>
      <w:r>
        <w:t xml:space="preserve"> T</w:t>
      </w:r>
      <w:r w:rsidR="004725C3">
        <w:t>he equivalency of risk between source and facility licences</w:t>
      </w:r>
      <w:r>
        <w:t xml:space="preserve"> is not demonstrated </w:t>
      </w:r>
      <w:r w:rsidR="000B3A54" w:rsidRPr="000B3A54">
        <w:rPr>
          <w:rStyle w:val="CommentReference"/>
          <w:sz w:val="22"/>
          <w:szCs w:val="22"/>
        </w:rPr>
        <w:t>Therefore</w:t>
      </w:r>
      <w:r>
        <w:t xml:space="preserve"> it is not clear </w:t>
      </w:r>
      <w:r w:rsidR="000B68DB">
        <w:t>if</w:t>
      </w:r>
      <w:r w:rsidR="000B3A54">
        <w:t xml:space="preserve"> the same amount </w:t>
      </w:r>
      <w:r>
        <w:t xml:space="preserve">regulatory resources </w:t>
      </w:r>
      <w:r w:rsidR="000B3A54">
        <w:t xml:space="preserve">applied to a particular source or facility are protecting against the same level of overall risk. </w:t>
      </w:r>
    </w:p>
    <w:p w14:paraId="27F84608" w14:textId="3356FB12" w:rsidR="006A1285" w:rsidRDefault="006A1285" w:rsidP="006C4E9F">
      <w:pPr>
        <w:spacing w:before="0" w:after="120"/>
        <w:ind w:left="284"/>
      </w:pPr>
      <w:r>
        <w:rPr>
          <w:rFonts w:cstheme="minorHAnsi"/>
        </w:rPr>
        <w:t>●</w:t>
      </w:r>
      <w:r>
        <w:t xml:space="preserve"> Variability in scope and depth of similar inspections – reasons for this are not apparent to licence holders </w:t>
      </w:r>
    </w:p>
    <w:p w14:paraId="312972FC" w14:textId="0823A0EF" w:rsidR="004725C3" w:rsidRDefault="006A1285" w:rsidP="006C4E9F">
      <w:pPr>
        <w:spacing w:before="0" w:after="120"/>
        <w:ind w:left="284"/>
      </w:pPr>
      <w:r>
        <w:rPr>
          <w:rFonts w:cstheme="minorHAnsi"/>
        </w:rPr>
        <w:t>●</w:t>
      </w:r>
      <w:r>
        <w:t xml:space="preserve"> </w:t>
      </w:r>
      <w:r w:rsidR="004725C3">
        <w:t xml:space="preserve">The </w:t>
      </w:r>
      <w:r>
        <w:t xml:space="preserve">use </w:t>
      </w:r>
      <w:r w:rsidR="004725C3">
        <w:t xml:space="preserve">of </w:t>
      </w:r>
      <w:r w:rsidR="00AC13CE">
        <w:t>Performance Objectives and Criteria (</w:t>
      </w:r>
      <w:r w:rsidR="00F046B9">
        <w:t>PO&amp;C</w:t>
      </w:r>
      <w:r w:rsidR="00AC13CE">
        <w:t>)</w:t>
      </w:r>
      <w:r>
        <w:t xml:space="preserve"> in planning and implementing inspections </w:t>
      </w:r>
      <w:r w:rsidR="004725C3">
        <w:t>has been successful</w:t>
      </w:r>
      <w:r w:rsidR="00AC13CE">
        <w:t>. H</w:t>
      </w:r>
      <w:r w:rsidR="00F046F9">
        <w:t>owever</w:t>
      </w:r>
      <w:r w:rsidR="004725C3">
        <w:t xml:space="preserve">, while they are important for all inspections, </w:t>
      </w:r>
      <w:r w:rsidR="006C4E9F">
        <w:t xml:space="preserve">their </w:t>
      </w:r>
      <w:r w:rsidR="006C4E9F">
        <w:lastRenderedPageBreak/>
        <w:t>use is not apparent in some source inspections. T</w:t>
      </w:r>
      <w:r w:rsidR="004725C3">
        <w:t>he applicability of the current set for low haz</w:t>
      </w:r>
      <w:r>
        <w:t xml:space="preserve">ard sources should be reviewed. </w:t>
      </w:r>
    </w:p>
    <w:p w14:paraId="3E4DCBFC" w14:textId="77777777" w:rsidR="004725C3" w:rsidRPr="002C12F2" w:rsidRDefault="004725C3" w:rsidP="006C4E9F">
      <w:pPr>
        <w:rPr>
          <w:rFonts w:eastAsiaTheme="majorEastAsia" w:cstheme="majorBidi"/>
          <w:b/>
          <w:bCs/>
          <w:i/>
          <w:color w:val="4E1A74"/>
          <w:sz w:val="24"/>
          <w:lang w:eastAsia="en-AU"/>
        </w:rPr>
      </w:pPr>
      <w:r w:rsidRPr="002C12F2">
        <w:rPr>
          <w:rFonts w:eastAsiaTheme="majorEastAsia" w:cstheme="majorBidi"/>
          <w:b/>
          <w:bCs/>
          <w:i/>
          <w:color w:val="4E1A74"/>
          <w:sz w:val="24"/>
          <w:lang w:eastAsia="en-AU"/>
        </w:rPr>
        <w:t>● Information Management</w:t>
      </w:r>
    </w:p>
    <w:p w14:paraId="49975E09" w14:textId="0EB87600" w:rsidR="004725C3" w:rsidRDefault="008A7E6E" w:rsidP="006C4E9F">
      <w:pPr>
        <w:spacing w:before="0" w:after="120"/>
      </w:pPr>
      <w:r>
        <w:t xml:space="preserve">The RSB had a range of information management needs that are currently being met through a </w:t>
      </w:r>
      <w:r w:rsidR="000B68DB">
        <w:t xml:space="preserve">patchwork </w:t>
      </w:r>
      <w:r>
        <w:t xml:space="preserve">of, at times, overlapping tools. </w:t>
      </w:r>
      <w:r w:rsidR="004725C3">
        <w:t xml:space="preserve">ARPANSA and its licence holders may </w:t>
      </w:r>
      <w:r w:rsidR="00846B1D">
        <w:t xml:space="preserve">benefit from </w:t>
      </w:r>
      <w:r w:rsidR="004725C3">
        <w:t>a holistic review of its information management needs leading to an integrated and improved system that reduces duplication and ‘red-tape’.</w:t>
      </w:r>
    </w:p>
    <w:p w14:paraId="4EFF50CA" w14:textId="0232FF85" w:rsidR="004725C3" w:rsidRPr="002C12F2" w:rsidRDefault="004725C3" w:rsidP="006C4E9F">
      <w:pPr>
        <w:rPr>
          <w:rFonts w:eastAsiaTheme="majorEastAsia" w:cstheme="majorBidi"/>
          <w:b/>
          <w:bCs/>
          <w:i/>
          <w:color w:val="4E1A74"/>
          <w:sz w:val="24"/>
          <w:lang w:eastAsia="en-AU"/>
        </w:rPr>
      </w:pPr>
      <w:r w:rsidRPr="002C12F2">
        <w:rPr>
          <w:rFonts w:eastAsiaTheme="majorEastAsia" w:cstheme="majorBidi"/>
          <w:b/>
          <w:bCs/>
          <w:i/>
          <w:color w:val="4E1A74"/>
          <w:sz w:val="24"/>
          <w:lang w:eastAsia="en-AU"/>
        </w:rPr>
        <w:t>● Planning</w:t>
      </w:r>
    </w:p>
    <w:p w14:paraId="349AF44A" w14:textId="5CAAD740" w:rsidR="00AC13CE" w:rsidRDefault="004725C3" w:rsidP="00E43C50">
      <w:pPr>
        <w:spacing w:before="0" w:after="120" w:line="276" w:lineRule="auto"/>
        <w:contextualSpacing/>
      </w:pPr>
      <w:r>
        <w:t xml:space="preserve">A review of </w:t>
      </w:r>
      <w:r w:rsidR="00617A0C">
        <w:t>tasks and how they are allocated</w:t>
      </w:r>
      <w:r>
        <w:t xml:space="preserve"> may be useful to assist in setting appropriate performance targets</w:t>
      </w:r>
      <w:r w:rsidR="00E43C50">
        <w:t xml:space="preserve"> and priorities</w:t>
      </w:r>
      <w:r>
        <w:t xml:space="preserve">.  </w:t>
      </w:r>
      <w:r w:rsidR="00E43C50">
        <w:t>I</w:t>
      </w:r>
      <w:r>
        <w:t xml:space="preserve">mproved workforce planning including succession planning at a strategic level </w:t>
      </w:r>
      <w:r w:rsidR="00E43C50">
        <w:t>may also assist in balancing the workload pressures on staff</w:t>
      </w:r>
      <w:r>
        <w:t>.</w:t>
      </w:r>
    </w:p>
    <w:p w14:paraId="21109349" w14:textId="348CAA40" w:rsidR="008075B1" w:rsidRDefault="008075B1" w:rsidP="00E43C50">
      <w:pPr>
        <w:spacing w:before="0" w:after="120" w:line="276" w:lineRule="auto"/>
        <w:contextualSpacing/>
      </w:pPr>
    </w:p>
    <w:p w14:paraId="136C27B4" w14:textId="372FB831" w:rsidR="008075B1" w:rsidRDefault="008075B1" w:rsidP="00E43C50">
      <w:pPr>
        <w:spacing w:before="0" w:after="120" w:line="276" w:lineRule="auto"/>
        <w:contextualSpacing/>
      </w:pPr>
      <w:r>
        <w:lastRenderedPageBreak/>
        <w:t>Actions associated with all AFIs will be recorded and managed through the ARPANSA Issue Management Register</w:t>
      </w:r>
    </w:p>
    <w:p w14:paraId="209429DA" w14:textId="77777777" w:rsidR="008075B1" w:rsidRDefault="008075B1" w:rsidP="00E43C50">
      <w:pPr>
        <w:spacing w:before="0" w:after="120" w:line="276" w:lineRule="auto"/>
        <w:contextualSpacing/>
      </w:pPr>
    </w:p>
    <w:p w14:paraId="2A7B1477" w14:textId="77777777" w:rsidR="008075B1" w:rsidRDefault="008075B1">
      <w:pPr>
        <w:rPr>
          <w:rFonts w:ascii="Calibri" w:eastAsiaTheme="majorEastAsia" w:hAnsi="Calibri" w:cstheme="majorBidi"/>
          <w:b/>
          <w:bCs/>
          <w:color w:val="4E1A74"/>
          <w:sz w:val="32"/>
          <w:szCs w:val="28"/>
        </w:rPr>
      </w:pPr>
      <w:bookmarkStart w:id="3" w:name="_Toc492467945"/>
      <w:r>
        <w:br w:type="page"/>
      </w:r>
    </w:p>
    <w:p w14:paraId="25B1EAA1" w14:textId="104B0E95" w:rsidR="00811D28" w:rsidRDefault="00811D28" w:rsidP="00644012">
      <w:pPr>
        <w:pStyle w:val="Heading1"/>
      </w:pPr>
      <w:r>
        <w:lastRenderedPageBreak/>
        <w:t>Introduction</w:t>
      </w:r>
      <w:bookmarkEnd w:id="3"/>
    </w:p>
    <w:p w14:paraId="3582F3B6" w14:textId="77777777" w:rsidR="00644012" w:rsidRPr="00A9092B" w:rsidRDefault="00644012" w:rsidP="00644012">
      <w:pPr>
        <w:pStyle w:val="Heading2"/>
      </w:pPr>
      <w:bookmarkStart w:id="4" w:name="_Toc470173131"/>
      <w:bookmarkStart w:id="5" w:name="_Toc492467946"/>
      <w:r w:rsidRPr="00A9092B">
        <w:t>The Agency</w:t>
      </w:r>
      <w:bookmarkEnd w:id="4"/>
      <w:bookmarkEnd w:id="5"/>
    </w:p>
    <w:p w14:paraId="2F51C35E" w14:textId="6760DCE0" w:rsidR="00316767" w:rsidRPr="00316767" w:rsidRDefault="00316767" w:rsidP="00644012">
      <w:r w:rsidRPr="00A9092B">
        <w:t xml:space="preserve">The Australian Radiation Protection and Nuclear Safety Agency (ARPANSA) </w:t>
      </w:r>
      <w:r>
        <w:t>is</w:t>
      </w:r>
      <w:r>
        <w:rPr>
          <w:lang w:val="en"/>
        </w:rPr>
        <w:t xml:space="preserve"> the Australian Government’s primary authority on radiation protection and nuclear safety. We protect the Australian people and the environment from the harmful effects of radiation through understanding risks, best practice regulation, research, policy, services, partnerships and engaging with the community.</w:t>
      </w:r>
    </w:p>
    <w:p w14:paraId="7BCC630E" w14:textId="0E55ED71" w:rsidR="00644012" w:rsidRPr="00766632" w:rsidRDefault="00644012" w:rsidP="00644012">
      <w:r w:rsidRPr="00A9092B">
        <w:t xml:space="preserve">ARPANSA is a portfolio agency of the Department of Health, and is prescribed as a non-corporate Commonwealth entity under the </w:t>
      </w:r>
      <w:r w:rsidRPr="00644012">
        <w:rPr>
          <w:i/>
        </w:rPr>
        <w:t>Public Governance, Performance and Accountability Act 2013</w:t>
      </w:r>
      <w:r w:rsidRPr="00A9092B">
        <w:t>.</w:t>
      </w:r>
      <w:r>
        <w:t xml:space="preserve"> </w:t>
      </w:r>
    </w:p>
    <w:p w14:paraId="6B011D66" w14:textId="77777777" w:rsidR="00644012" w:rsidRDefault="00644012" w:rsidP="00644012">
      <w:r w:rsidRPr="00A9092B">
        <w:t xml:space="preserve">The </w:t>
      </w:r>
      <w:r w:rsidRPr="00644012">
        <w:rPr>
          <w:i/>
        </w:rPr>
        <w:t>Australian Radiation Protection and Nuclear Safety Act 1998</w:t>
      </w:r>
      <w:r w:rsidRPr="001103BB">
        <w:t xml:space="preserve"> </w:t>
      </w:r>
      <w:r>
        <w:t xml:space="preserve">(the </w:t>
      </w:r>
      <w:r w:rsidRPr="00A9092B">
        <w:t>Act</w:t>
      </w:r>
      <w:r>
        <w:t>)</w:t>
      </w:r>
      <w:r w:rsidRPr="00A9092B">
        <w:t xml:space="preserve"> establishes the CEO of ARPANSA</w:t>
      </w:r>
      <w:r>
        <w:t xml:space="preserve"> as the safety regulator of Commonwealth entities engaged in nuclear or </w:t>
      </w:r>
      <w:r>
        <w:lastRenderedPageBreak/>
        <w:t xml:space="preserve">radiation activities. The object of the Act is to protect people and the environment from the harmful effects of radiation. </w:t>
      </w:r>
    </w:p>
    <w:p w14:paraId="24D1C213" w14:textId="34823FB6" w:rsidR="00644012" w:rsidRPr="00A9092B" w:rsidRDefault="00644012" w:rsidP="00644012">
      <w:r>
        <w:t xml:space="preserve">The </w:t>
      </w:r>
      <w:r w:rsidR="002A304F">
        <w:t xml:space="preserve">last amendments to the </w:t>
      </w:r>
      <w:r>
        <w:t xml:space="preserve">Act </w:t>
      </w:r>
      <w:r w:rsidR="00316767">
        <w:t xml:space="preserve">took effect </w:t>
      </w:r>
      <w:r w:rsidR="002A304F">
        <w:t>in</w:t>
      </w:r>
      <w:r w:rsidR="000D19CF">
        <w:t xml:space="preserve"> October</w:t>
      </w:r>
      <w:r>
        <w:t xml:space="preserve"> 2015</w:t>
      </w:r>
      <w:r w:rsidR="00316767">
        <w:t xml:space="preserve"> and were designed</w:t>
      </w:r>
      <w:r>
        <w:t xml:space="preserve"> to improve the clarity of regulatory requirements related </w:t>
      </w:r>
      <w:r w:rsidRPr="000D5BA4">
        <w:t>to</w:t>
      </w:r>
      <w:r>
        <w:t xml:space="preserve"> legacy sites and for</w:t>
      </w:r>
      <w:r w:rsidRPr="000D5BA4">
        <w:t xml:space="preserve"> contractors working with Commonwealth</w:t>
      </w:r>
      <w:r>
        <w:t xml:space="preserve"> agencies. It also updated the language to be more consistent with nationally and internationally accepted terms, to make minor changes to enhance regulatory administration, and provide additional options to enhance the graded approach to non-compliance</w:t>
      </w:r>
      <w:r w:rsidR="00316767">
        <w:t xml:space="preserve"> including increased powers of the CEO to compel information and take action in the interest of safety</w:t>
      </w:r>
      <w:r>
        <w:t xml:space="preserve">. </w:t>
      </w:r>
      <w:r w:rsidR="000A3821">
        <w:t xml:space="preserve">On 1 July 2016, certain changes to the </w:t>
      </w:r>
      <w:r w:rsidR="00316767">
        <w:t xml:space="preserve">Australian Radiation Protection and Nuclear Safety </w:t>
      </w:r>
      <w:r w:rsidR="000A3821">
        <w:t xml:space="preserve">Regulations </w:t>
      </w:r>
      <w:r w:rsidR="00316767">
        <w:t xml:space="preserve">1999 </w:t>
      </w:r>
      <w:r w:rsidR="00815AED">
        <w:t xml:space="preserve">(the Regulations) </w:t>
      </w:r>
      <w:r w:rsidR="000A3821">
        <w:t xml:space="preserve">and Licence Charges </w:t>
      </w:r>
      <w:r w:rsidR="00316767">
        <w:t>R</w:t>
      </w:r>
      <w:r w:rsidR="000A3821">
        <w:t xml:space="preserve">egulations </w:t>
      </w:r>
      <w:r w:rsidR="00316767">
        <w:t>took</w:t>
      </w:r>
      <w:r w:rsidR="000A3821">
        <w:t xml:space="preserve"> effect.  These included the annual indexation of the fees and charges and consequential amendments </w:t>
      </w:r>
      <w:r w:rsidR="000D19CF">
        <w:t>flowing from the amendments to the Act.</w:t>
      </w:r>
    </w:p>
    <w:p w14:paraId="63F41F54" w14:textId="1C54638F" w:rsidR="00166052" w:rsidRPr="004C67B4" w:rsidRDefault="00316767" w:rsidP="00644012">
      <w:r w:rsidRPr="004C67B4">
        <w:lastRenderedPageBreak/>
        <w:t xml:space="preserve">The CEO has through delegations </w:t>
      </w:r>
      <w:r w:rsidR="008075B1" w:rsidRPr="004C67B4">
        <w:t>authorised staff</w:t>
      </w:r>
      <w:r w:rsidR="004908D9" w:rsidRPr="004C67B4">
        <w:t xml:space="preserve"> of the Regulatory Services Branch (</w:t>
      </w:r>
      <w:r w:rsidR="00644012" w:rsidRPr="004C67B4">
        <w:t>RSB</w:t>
      </w:r>
      <w:r w:rsidR="004908D9" w:rsidRPr="004C67B4">
        <w:t>)</w:t>
      </w:r>
      <w:r w:rsidRPr="004C67B4">
        <w:t xml:space="preserve"> to take</w:t>
      </w:r>
      <w:r w:rsidR="00166052" w:rsidRPr="004C67B4">
        <w:t xml:space="preserve"> </w:t>
      </w:r>
      <w:r w:rsidRPr="004C67B4">
        <w:t xml:space="preserve">regulatory decisions for and on behalf of the CEO. </w:t>
      </w:r>
      <w:r w:rsidR="00FC49D1">
        <w:t xml:space="preserve">The CEO and the </w:t>
      </w:r>
      <w:r w:rsidR="004908D9" w:rsidRPr="004C67B4">
        <w:t xml:space="preserve">RSB draws on expertise from other functional units of ARPANSA as required and where appropriate. </w:t>
      </w:r>
      <w:r w:rsidRPr="004C67B4">
        <w:t>The RSB staff</w:t>
      </w:r>
      <w:r w:rsidR="00F8439F" w:rsidRPr="004C67B4">
        <w:t xml:space="preserve"> and all other ARPANSA staff that carry out activities supporting </w:t>
      </w:r>
      <w:r w:rsidR="00166052" w:rsidRPr="004C67B4">
        <w:t xml:space="preserve">such </w:t>
      </w:r>
      <w:r w:rsidRPr="004C67B4">
        <w:t>decisions</w:t>
      </w:r>
      <w:r w:rsidR="00F8439F" w:rsidRPr="004C67B4">
        <w:t>, are</w:t>
      </w:r>
      <w:r w:rsidRPr="004C67B4">
        <w:t xml:space="preserve"> </w:t>
      </w:r>
      <w:r w:rsidR="00166052" w:rsidRPr="004C67B4">
        <w:t xml:space="preserve">ultimately </w:t>
      </w:r>
      <w:r w:rsidRPr="004C67B4">
        <w:t>accountable to the CEO</w:t>
      </w:r>
      <w:r w:rsidR="00166052" w:rsidRPr="004C67B4">
        <w:t xml:space="preserve">; </w:t>
      </w:r>
      <w:r w:rsidRPr="004C67B4">
        <w:t>the CEO retains responsibility for all decisions at all times</w:t>
      </w:r>
      <w:r w:rsidR="00166052" w:rsidRPr="004C67B4">
        <w:t xml:space="preserve">. </w:t>
      </w:r>
    </w:p>
    <w:p w14:paraId="25E260C1" w14:textId="5296BB22" w:rsidR="004908D9" w:rsidRDefault="004908D9" w:rsidP="00AE2F31">
      <w:r w:rsidRPr="00644012">
        <w:rPr>
          <w:spacing w:val="-4"/>
        </w:rPr>
        <w:t>In addition to licensing, compliance monitoring and enforcement, the RSB also investigates accidents and incidents, and prepares regulatory guidance</w:t>
      </w:r>
      <w:r>
        <w:rPr>
          <w:spacing w:val="-4"/>
        </w:rPr>
        <w:t>, among other</w:t>
      </w:r>
      <w:r w:rsidR="000E3A3F">
        <w:rPr>
          <w:spacing w:val="-4"/>
        </w:rPr>
        <w:t xml:space="preserve"> things</w:t>
      </w:r>
      <w:r w:rsidRPr="00644012">
        <w:rPr>
          <w:spacing w:val="-4"/>
        </w:rPr>
        <w:t xml:space="preserve">. </w:t>
      </w:r>
      <w:r w:rsidRPr="00644012">
        <w:t>Regulatory activities</w:t>
      </w:r>
      <w:r>
        <w:t xml:space="preserve"> also</w:t>
      </w:r>
      <w:r w:rsidRPr="00644012">
        <w:t xml:space="preserve"> include the assessment and issuing of new licences, amendment of licences, assessment of changes significant to safety, and monitoring compliance with the Act, Regulations and licence conditions.  </w:t>
      </w:r>
    </w:p>
    <w:p w14:paraId="7B5234D6" w14:textId="0241A02D" w:rsidR="004908D9" w:rsidRPr="00644012" w:rsidRDefault="004908D9" w:rsidP="00AE2F31">
      <w:r w:rsidRPr="00644012">
        <w:t xml:space="preserve">ARPANSA strives to continuously improve the quality and consistency of its regulatory services and implementation of </w:t>
      </w:r>
      <w:r w:rsidRPr="00644012">
        <w:lastRenderedPageBreak/>
        <w:t xml:space="preserve">the graded approach to risk. The structure of the RSB </w:t>
      </w:r>
      <w:r>
        <w:t xml:space="preserve">is arranged around </w:t>
      </w:r>
      <w:r w:rsidRPr="00644012">
        <w:t>functional areas</w:t>
      </w:r>
      <w:r w:rsidR="00092C7E">
        <w:t xml:space="preserve">. One </w:t>
      </w:r>
      <w:r w:rsidRPr="00644012">
        <w:t xml:space="preserve">section </w:t>
      </w:r>
      <w:r w:rsidR="00092C7E">
        <w:t xml:space="preserve">is </w:t>
      </w:r>
      <w:r w:rsidRPr="00644012">
        <w:t xml:space="preserve">dedicated to </w:t>
      </w:r>
      <w:r w:rsidR="00282ED2">
        <w:t xml:space="preserve">internal </w:t>
      </w:r>
      <w:r w:rsidRPr="00644012">
        <w:t>performance monitoring and continuous improvement</w:t>
      </w:r>
      <w:r w:rsidR="00092C7E">
        <w:t>. A</w:t>
      </w:r>
      <w:r w:rsidRPr="00644012">
        <w:t xml:space="preserve">nother </w:t>
      </w:r>
      <w:r w:rsidR="00092C7E" w:rsidRPr="00644012">
        <w:t>focus</w:t>
      </w:r>
      <w:r w:rsidR="00092C7E">
        <w:t>es</w:t>
      </w:r>
      <w:r w:rsidR="00092C7E" w:rsidRPr="00644012">
        <w:t xml:space="preserve"> </w:t>
      </w:r>
      <w:r w:rsidRPr="00644012">
        <w:t xml:space="preserve">on </w:t>
      </w:r>
      <w:r w:rsidR="00092C7E">
        <w:t xml:space="preserve">assuring that </w:t>
      </w:r>
      <w:r w:rsidRPr="00644012">
        <w:t xml:space="preserve">regulatory services meet international excellence, including </w:t>
      </w:r>
      <w:r w:rsidR="00092C7E">
        <w:t xml:space="preserve">by </w:t>
      </w:r>
      <w:r w:rsidRPr="00644012">
        <w:t>the promotion and use</w:t>
      </w:r>
      <w:r w:rsidR="000B68DB">
        <w:t xml:space="preserve"> </w:t>
      </w:r>
      <w:r w:rsidRPr="00644012">
        <w:t>of international standards</w:t>
      </w:r>
      <w:r>
        <w:t xml:space="preserve"> and risk assessments</w:t>
      </w:r>
      <w:r w:rsidRPr="00644012">
        <w:t xml:space="preserve"> in regulatory decision making</w:t>
      </w:r>
      <w:r w:rsidR="007A5AD0">
        <w:rPr>
          <w:rStyle w:val="FootnoteReference"/>
        </w:rPr>
        <w:footnoteReference w:id="1"/>
      </w:r>
      <w:r>
        <w:t xml:space="preserve"> </w:t>
      </w:r>
    </w:p>
    <w:p w14:paraId="6B1E2A88" w14:textId="36158C7C" w:rsidR="00783128" w:rsidRDefault="00166052" w:rsidP="00644012">
      <w:pPr>
        <w:rPr>
          <w:spacing w:val="-4"/>
        </w:rPr>
      </w:pPr>
      <w:r>
        <w:rPr>
          <w:spacing w:val="-4"/>
        </w:rPr>
        <w:t xml:space="preserve">The CEO and all </w:t>
      </w:r>
      <w:r w:rsidR="00F8439F">
        <w:rPr>
          <w:spacing w:val="-4"/>
        </w:rPr>
        <w:t xml:space="preserve">ARPANSA staff </w:t>
      </w:r>
      <w:r>
        <w:rPr>
          <w:spacing w:val="-4"/>
        </w:rPr>
        <w:t xml:space="preserve">carrying out activities </w:t>
      </w:r>
      <w:r w:rsidR="00F8439F">
        <w:rPr>
          <w:spacing w:val="-4"/>
        </w:rPr>
        <w:t xml:space="preserve">that support </w:t>
      </w:r>
      <w:r w:rsidR="004908D9">
        <w:rPr>
          <w:spacing w:val="-4"/>
        </w:rPr>
        <w:t xml:space="preserve">the </w:t>
      </w:r>
      <w:r w:rsidR="00F8439F">
        <w:rPr>
          <w:spacing w:val="-4"/>
        </w:rPr>
        <w:t xml:space="preserve">regulatory </w:t>
      </w:r>
      <w:r w:rsidR="004908D9">
        <w:rPr>
          <w:spacing w:val="-4"/>
        </w:rPr>
        <w:t>function</w:t>
      </w:r>
      <w:r>
        <w:rPr>
          <w:spacing w:val="-4"/>
        </w:rPr>
        <w:t xml:space="preserve"> should take reasonable steps to avoid conflict of interest between the regulatory and other functions</w:t>
      </w:r>
      <w:r w:rsidR="00783128">
        <w:rPr>
          <w:spacing w:val="-4"/>
        </w:rPr>
        <w:t>;</w:t>
      </w:r>
      <w:r>
        <w:rPr>
          <w:spacing w:val="-4"/>
        </w:rPr>
        <w:t xml:space="preserve"> disclose any </w:t>
      </w:r>
      <w:r w:rsidR="00F8439F">
        <w:rPr>
          <w:spacing w:val="-4"/>
        </w:rPr>
        <w:t xml:space="preserve">potential, perceived or real </w:t>
      </w:r>
      <w:r>
        <w:rPr>
          <w:spacing w:val="-4"/>
        </w:rPr>
        <w:t>interests</w:t>
      </w:r>
      <w:r w:rsidR="00783128">
        <w:rPr>
          <w:spacing w:val="-4"/>
        </w:rPr>
        <w:t>;</w:t>
      </w:r>
      <w:r>
        <w:rPr>
          <w:spacing w:val="-4"/>
        </w:rPr>
        <w:t xml:space="preserve"> and manage any such situations carefully. </w:t>
      </w:r>
      <w:r w:rsidR="00F8439F">
        <w:rPr>
          <w:spacing w:val="-4"/>
        </w:rPr>
        <w:t>The approach to managing the regulatory interse</w:t>
      </w:r>
      <w:r w:rsidR="00783128">
        <w:rPr>
          <w:spacing w:val="-4"/>
        </w:rPr>
        <w:t xml:space="preserve">ction with other activities is </w:t>
      </w:r>
      <w:r w:rsidR="00F8439F">
        <w:rPr>
          <w:spacing w:val="-4"/>
        </w:rPr>
        <w:lastRenderedPageBreak/>
        <w:t>outlined on ARPANSA’s website</w:t>
      </w:r>
      <w:r w:rsidR="00815AED">
        <w:rPr>
          <w:spacing w:val="-4"/>
        </w:rPr>
        <w:t xml:space="preserve"> (</w:t>
      </w:r>
      <w:hyperlink r:id="rId13" w:history="1">
        <w:r w:rsidR="00815AED" w:rsidRPr="00AE49E7">
          <w:rPr>
            <w:rStyle w:val="Hyperlink"/>
            <w:spacing w:val="-4"/>
          </w:rPr>
          <w:t>https://www.arpansa.gov.au/regulation-and-licensing/regulation/our-regulatory-services/regulatory-intersection-other-functions</w:t>
        </w:r>
      </w:hyperlink>
      <w:r w:rsidR="00815AED">
        <w:rPr>
          <w:spacing w:val="-4"/>
        </w:rPr>
        <w:t>)</w:t>
      </w:r>
      <w:r w:rsidR="00D97B12">
        <w:rPr>
          <w:spacing w:val="-4"/>
        </w:rPr>
        <w:t>. ARPANSA was also developing its</w:t>
      </w:r>
      <w:r w:rsidR="00783128">
        <w:rPr>
          <w:spacing w:val="-4"/>
        </w:rPr>
        <w:t xml:space="preserve"> </w:t>
      </w:r>
      <w:r w:rsidR="00783128" w:rsidRPr="00AE2F31">
        <w:rPr>
          <w:i/>
          <w:spacing w:val="-4"/>
        </w:rPr>
        <w:t>Policy for ARPANSA’s Regulatory Activities</w:t>
      </w:r>
      <w:r w:rsidR="00D97B12">
        <w:rPr>
          <w:spacing w:val="-4"/>
        </w:rPr>
        <w:t xml:space="preserve"> that was expected to be published in the following quarter</w:t>
      </w:r>
      <w:r w:rsidR="00FC49D1">
        <w:rPr>
          <w:rStyle w:val="FootnoteReference"/>
          <w:spacing w:val="-4"/>
        </w:rPr>
        <w:footnoteReference w:id="2"/>
      </w:r>
      <w:r w:rsidR="00D97B12">
        <w:rPr>
          <w:spacing w:val="-4"/>
        </w:rPr>
        <w:t>.</w:t>
      </w:r>
      <w:r w:rsidR="00D97B12">
        <w:rPr>
          <w:rStyle w:val="CommentReference"/>
        </w:rPr>
        <w:t xml:space="preserve"> </w:t>
      </w:r>
    </w:p>
    <w:p w14:paraId="44A4E42E" w14:textId="4D88B288" w:rsidR="00644012" w:rsidRPr="00644012" w:rsidRDefault="00644012" w:rsidP="00644012">
      <w:r w:rsidRPr="00644012">
        <w:t>To meet the object of the Act, ARPANSA regulat</w:t>
      </w:r>
      <w:r w:rsidR="00C765F1">
        <w:t>es</w:t>
      </w:r>
      <w:r w:rsidR="006F4DB0">
        <w:t xml:space="preserve"> </w:t>
      </w:r>
      <w:r w:rsidRPr="00644012">
        <w:t xml:space="preserve">nuclear and radiation facilities under </w:t>
      </w:r>
      <w:r w:rsidR="006916E5">
        <w:t>35</w:t>
      </w:r>
      <w:r w:rsidR="006916E5" w:rsidRPr="00644012">
        <w:t xml:space="preserve"> </w:t>
      </w:r>
      <w:r w:rsidRPr="00644012">
        <w:t xml:space="preserve">facility licences and approximately 70,000 radiation sources under </w:t>
      </w:r>
      <w:r w:rsidR="006916E5">
        <w:t>56</w:t>
      </w:r>
      <w:r w:rsidR="006916E5" w:rsidRPr="00644012">
        <w:t xml:space="preserve"> </w:t>
      </w:r>
      <w:r w:rsidRPr="00644012">
        <w:t>source licences. The complexity of these licensed activities range from the 20 megawatt</w:t>
      </w:r>
      <w:r w:rsidR="00C765F1">
        <w:t xml:space="preserve"> </w:t>
      </w:r>
      <w:r w:rsidR="00C765F1" w:rsidRPr="00C765F1">
        <w:t>(thermal)</w:t>
      </w:r>
      <w:r w:rsidRPr="00C765F1">
        <w:t xml:space="preserve"> </w:t>
      </w:r>
      <w:r w:rsidRPr="00644012">
        <w:t>OPAL reactor</w:t>
      </w:r>
      <w:r w:rsidR="0003487B">
        <w:t xml:space="preserve"> and associated medical radioisotope production</w:t>
      </w:r>
      <w:r w:rsidRPr="00644012">
        <w:t xml:space="preserve"> to</w:t>
      </w:r>
      <w:r w:rsidR="0003487B">
        <w:t xml:space="preserve"> the use of</w:t>
      </w:r>
      <w:r w:rsidRPr="00644012">
        <w:t xml:space="preserve"> low risk </w:t>
      </w:r>
      <w:r w:rsidR="0003487B">
        <w:t>equipment</w:t>
      </w:r>
      <w:r w:rsidRPr="00644012">
        <w:t xml:space="preserve"> such as </w:t>
      </w:r>
      <w:r w:rsidR="00C765F1">
        <w:t>X</w:t>
      </w:r>
      <w:r w:rsidRPr="00644012">
        <w:t>-ray baggage scanners</w:t>
      </w:r>
      <w:r w:rsidR="0003487B">
        <w:t xml:space="preserve">, </w:t>
      </w:r>
      <w:r w:rsidRPr="00644012">
        <w:t xml:space="preserve">handheld radiofrequency and ultraviolet sources. A full list of the </w:t>
      </w:r>
      <w:r w:rsidR="00846B1D">
        <w:t xml:space="preserve">49 </w:t>
      </w:r>
      <w:r w:rsidRPr="00644012">
        <w:t xml:space="preserve">Commonwealth entities </w:t>
      </w:r>
      <w:r w:rsidRPr="00644012">
        <w:lastRenderedPageBreak/>
        <w:t>that held licences as at 30 June 201</w:t>
      </w:r>
      <w:r w:rsidR="00CF004D">
        <w:t>7</w:t>
      </w:r>
      <w:r w:rsidRPr="00644012">
        <w:t xml:space="preserve"> is provided in Appendix A.</w:t>
      </w:r>
    </w:p>
    <w:p w14:paraId="20101D15" w14:textId="77777777" w:rsidR="00644012" w:rsidRPr="00931668" w:rsidRDefault="00644012" w:rsidP="00644012">
      <w:r>
        <w:t>R</w:t>
      </w:r>
      <w:r w:rsidRPr="00A9092B">
        <w:t xml:space="preserve">esources </w:t>
      </w:r>
      <w:r>
        <w:t>for</w:t>
      </w:r>
      <w:r w:rsidRPr="00A9092B">
        <w:t xml:space="preserve"> </w:t>
      </w:r>
      <w:r>
        <w:t xml:space="preserve">compliance monitoring and </w:t>
      </w:r>
      <w:r w:rsidRPr="00A9092B">
        <w:t xml:space="preserve">inspection </w:t>
      </w:r>
      <w:r>
        <w:t xml:space="preserve">are allocated </w:t>
      </w:r>
      <w:r w:rsidRPr="00A9092B">
        <w:t>using a risk-</w:t>
      </w:r>
      <w:r>
        <w:t>based</w:t>
      </w:r>
      <w:r w:rsidR="006F4DB0">
        <w:t>,</w:t>
      </w:r>
      <w:r>
        <w:t xml:space="preserve"> graded </w:t>
      </w:r>
      <w:r w:rsidRPr="00A9092B">
        <w:t>approach</w:t>
      </w:r>
      <w:r>
        <w:t>.</w:t>
      </w:r>
      <w:r w:rsidRPr="00A9092B">
        <w:t xml:space="preserve"> </w:t>
      </w:r>
      <w:r>
        <w:t xml:space="preserve">This includes </w:t>
      </w:r>
      <w:r w:rsidRPr="00A9092B">
        <w:t>leveraging short-term contractual arrangements</w:t>
      </w:r>
      <w:r>
        <w:t xml:space="preserve">, where appropriate, to ensure the availability of specialist skills and knowledge. </w:t>
      </w:r>
      <w:r w:rsidRPr="00A9092B">
        <w:t>C</w:t>
      </w:r>
      <w:r w:rsidRPr="00644012">
        <w:rPr>
          <w:spacing w:val="-2"/>
        </w:rPr>
        <w:t xml:space="preserve">osts of ARPANSA’s regulatory operations are recovered through licence application fees and annual licence charges. </w:t>
      </w:r>
    </w:p>
    <w:p w14:paraId="253877B0" w14:textId="77777777" w:rsidR="00644012" w:rsidRPr="00A9092B" w:rsidRDefault="00644012" w:rsidP="00644012">
      <w:pPr>
        <w:pStyle w:val="Heading2"/>
      </w:pPr>
      <w:bookmarkStart w:id="6" w:name="_Toc470173132"/>
      <w:bookmarkStart w:id="7" w:name="_Toc492467947"/>
      <w:r w:rsidRPr="00A9092B">
        <w:t>The Report</w:t>
      </w:r>
      <w:bookmarkEnd w:id="6"/>
      <w:bookmarkEnd w:id="7"/>
    </w:p>
    <w:p w14:paraId="0254523D" w14:textId="676AF5DA" w:rsidR="00644012" w:rsidRPr="00644012" w:rsidRDefault="00644012" w:rsidP="00210FBB">
      <w:r w:rsidRPr="00644012">
        <w:t>In October 2014, the Australian Government released the Regulator Performance Framework (RPF), ISBN 978-925237-08, as part of the commitment to reduce unnecessary or inefficient regulation imposed on individuals, business and community organisations. In December 2014, ARPANSA aligned its Regulatory Delivery Model with the RPF to emphasise</w:t>
      </w:r>
      <w:r w:rsidRPr="00644012">
        <w:rPr>
          <w:color w:val="000000"/>
        </w:rPr>
        <w:t xml:space="preserve"> openness, clarity, reliability, efficiency and effectiveness. </w:t>
      </w:r>
    </w:p>
    <w:p w14:paraId="73077886" w14:textId="25FFB03F" w:rsidR="00644012" w:rsidRPr="00644012" w:rsidRDefault="00644012" w:rsidP="00210FBB">
      <w:r w:rsidRPr="00644012">
        <w:lastRenderedPageBreak/>
        <w:t xml:space="preserve">The framework established by the RPF includes a common set of six Key Performance Indicators (KPIs) to allow for a comprehensive assessment of regulator performance and engagement with stakeholders. </w:t>
      </w:r>
      <w:r w:rsidR="009D5AB3">
        <w:t xml:space="preserve">In 2015, </w:t>
      </w:r>
      <w:r w:rsidRPr="00644012">
        <w:t xml:space="preserve">ARPANSA obtained ministerial approval for a set of 12 quantitative Performance Indicators (PIs) </w:t>
      </w:r>
      <w:r w:rsidR="00F046F9">
        <w:t>that</w:t>
      </w:r>
      <w:r w:rsidR="00F046F9" w:rsidRPr="00644012">
        <w:t xml:space="preserve"> </w:t>
      </w:r>
      <w:r w:rsidRPr="00644012">
        <w:t>relate to the six RPF KPIs. Data collection began in March 2015</w:t>
      </w:r>
      <w:r w:rsidR="009D5AB3">
        <w:t xml:space="preserve"> and this report details the second year of assessment against these measures</w:t>
      </w:r>
      <w:r w:rsidRPr="00644012">
        <w:t xml:space="preserve">. </w:t>
      </w:r>
      <w:r w:rsidR="009A1B50" w:rsidRPr="00644012">
        <w:t>A list of data and documents provided to the assessment team is in Appendix B</w:t>
      </w:r>
      <w:r w:rsidRPr="009A1B50">
        <w:t>.</w:t>
      </w:r>
      <w:r w:rsidRPr="00644012">
        <w:t xml:space="preserve"> </w:t>
      </w:r>
    </w:p>
    <w:p w14:paraId="0901EEEE" w14:textId="414594B2" w:rsidR="00187A7C" w:rsidRPr="00644012" w:rsidRDefault="00644012" w:rsidP="00210FBB">
      <w:r w:rsidRPr="00644012">
        <w:t>The 12 ARPANSA PIs were developed in parallel with the Regulatory Delivery Model and had not been tested</w:t>
      </w:r>
      <w:r w:rsidR="001027DB">
        <w:t xml:space="preserve"> before they were implemented</w:t>
      </w:r>
      <w:r w:rsidRPr="00644012">
        <w:t>. Th</w:t>
      </w:r>
      <w:r w:rsidR="008476E0">
        <w:t>e</w:t>
      </w:r>
      <w:r w:rsidRPr="00644012">
        <w:t xml:space="preserve"> </w:t>
      </w:r>
      <w:r w:rsidR="007F5E44">
        <w:t>2015-</w:t>
      </w:r>
      <w:r w:rsidR="00F5243B">
        <w:t>16</w:t>
      </w:r>
      <w:r w:rsidRPr="00644012">
        <w:t xml:space="preserve"> self-assessment</w:t>
      </w:r>
      <w:r w:rsidR="002D23E3">
        <w:t xml:space="preserve">, undertaken in July </w:t>
      </w:r>
      <w:r w:rsidR="007B6D72">
        <w:t xml:space="preserve">2016, </w:t>
      </w:r>
      <w:r w:rsidR="001027DB">
        <w:t>found</w:t>
      </w:r>
      <w:r w:rsidRPr="00644012">
        <w:t xml:space="preserve"> that some PIs </w:t>
      </w:r>
      <w:r w:rsidR="007F5E44">
        <w:t>we</w:t>
      </w:r>
      <w:r w:rsidR="000871B0">
        <w:t>re</w:t>
      </w:r>
      <w:r w:rsidRPr="00644012">
        <w:t xml:space="preserve"> not adequately aligned with the RPF KPIs and some individual targets ha</w:t>
      </w:r>
      <w:r w:rsidR="007F5E44">
        <w:t>d</w:t>
      </w:r>
      <w:r w:rsidRPr="00644012">
        <w:t xml:space="preserve"> been set at inappropriate levels. </w:t>
      </w:r>
      <w:r w:rsidR="00F5243B">
        <w:t>Some adjusted</w:t>
      </w:r>
      <w:r w:rsidRPr="00644012">
        <w:t xml:space="preserve"> targets </w:t>
      </w:r>
      <w:r w:rsidR="00F5243B">
        <w:t>were</w:t>
      </w:r>
      <w:r w:rsidRPr="00644012">
        <w:t xml:space="preserve"> implemented for the 2016-17 financial year</w:t>
      </w:r>
      <w:r w:rsidR="00D26383">
        <w:t xml:space="preserve"> but more extensive improvements to the PIs, following ministerial approval, </w:t>
      </w:r>
      <w:r w:rsidR="007F5E44">
        <w:t>were</w:t>
      </w:r>
      <w:r w:rsidR="00D26383">
        <w:t xml:space="preserve"> implemented </w:t>
      </w:r>
      <w:r w:rsidR="007F5E44">
        <w:t>on</w:t>
      </w:r>
      <w:r w:rsidR="00D26383">
        <w:t xml:space="preserve"> 1 July 2017 and will be assessed in fu</w:t>
      </w:r>
      <w:r w:rsidR="00D26383">
        <w:lastRenderedPageBreak/>
        <w:t xml:space="preserve">ture </w:t>
      </w:r>
      <w:r w:rsidR="007F5E44">
        <w:t>reviews</w:t>
      </w:r>
      <w:r w:rsidRPr="00644012">
        <w:t xml:space="preserve">. </w:t>
      </w:r>
      <w:r w:rsidR="007B6D72">
        <w:t xml:space="preserve">The </w:t>
      </w:r>
      <w:r w:rsidRPr="00644012">
        <w:t xml:space="preserve">PIs </w:t>
      </w:r>
      <w:r w:rsidR="007B6D72">
        <w:t xml:space="preserve">forming the basis of this report </w:t>
      </w:r>
      <w:r w:rsidRPr="00644012">
        <w:t xml:space="preserve">were insufficient to </w:t>
      </w:r>
      <w:r w:rsidR="00062E93">
        <w:t>properly</w:t>
      </w:r>
      <w:r w:rsidRPr="00644012">
        <w:t xml:space="preserve"> assess regulatory performance against the RPF KPIs, therefore additional evidence </w:t>
      </w:r>
      <w:r w:rsidR="00F046F9">
        <w:t>was</w:t>
      </w:r>
      <w:r w:rsidR="007B6D72">
        <w:t xml:space="preserve"> used to provide </w:t>
      </w:r>
      <w:r w:rsidR="00815AED">
        <w:t>a more informed</w:t>
      </w:r>
      <w:r w:rsidR="007B6D72">
        <w:t xml:space="preserve"> assessment.</w:t>
      </w:r>
      <w:r w:rsidR="000871B0" w:rsidRPr="000871B0">
        <w:t xml:space="preserve"> </w:t>
      </w:r>
      <w:r w:rsidR="00062E93">
        <w:t xml:space="preserve">Where feasible, </w:t>
      </w:r>
      <w:r w:rsidR="000871B0">
        <w:t>this report take</w:t>
      </w:r>
      <w:r w:rsidR="00062E93">
        <w:t>s</w:t>
      </w:r>
      <w:r w:rsidR="000871B0">
        <w:t xml:space="preserve"> account of </w:t>
      </w:r>
      <w:r w:rsidR="00913080">
        <w:t xml:space="preserve">performance against </w:t>
      </w:r>
      <w:r w:rsidR="000871B0">
        <w:t>the new indicator</w:t>
      </w:r>
      <w:r w:rsidR="00062E93">
        <w:t>s</w:t>
      </w:r>
      <w:r w:rsidR="000871B0">
        <w:t>.</w:t>
      </w:r>
    </w:p>
    <w:p w14:paraId="3A75394D" w14:textId="1A8E4F6D" w:rsidR="00644012" w:rsidRPr="00644012" w:rsidRDefault="00644012" w:rsidP="00210FBB">
      <w:pPr>
        <w:rPr>
          <w:rFonts w:cs="Times New Roman"/>
          <w:b/>
        </w:rPr>
      </w:pPr>
      <w:r w:rsidRPr="00644012">
        <w:t>Th</w:t>
      </w:r>
      <w:r w:rsidR="00201652">
        <w:t xml:space="preserve">is </w:t>
      </w:r>
      <w:r w:rsidRPr="00644012">
        <w:t>assessment sets out to support a continuous improvement cycle by the critical analysi</w:t>
      </w:r>
      <w:r w:rsidR="00BA6DDF">
        <w:t>s of</w:t>
      </w:r>
      <w:r w:rsidRPr="00644012">
        <w:t xml:space="preserve"> regulatory performance and identification of good practices and areas for improvement. This report outlines the implementation of the ARPANSA Self-Assessment Plan 201</w:t>
      </w:r>
      <w:r w:rsidR="00201652">
        <w:t>7</w:t>
      </w:r>
      <w:r w:rsidR="00364DEC">
        <w:t xml:space="preserve"> </w:t>
      </w:r>
      <w:r w:rsidRPr="00644012">
        <w:t xml:space="preserve">and provides details of </w:t>
      </w:r>
      <w:r w:rsidR="00D97B12">
        <w:t xml:space="preserve">the assessment and its </w:t>
      </w:r>
      <w:r w:rsidRPr="00644012">
        <w:t>outcomes</w:t>
      </w:r>
      <w:r w:rsidRPr="00644012">
        <w:rPr>
          <w:b/>
        </w:rPr>
        <w:t>.</w:t>
      </w:r>
    </w:p>
    <w:p w14:paraId="3E23FF90" w14:textId="77777777" w:rsidR="00644012" w:rsidRPr="00A9092B" w:rsidRDefault="00644012" w:rsidP="00210FBB">
      <w:pPr>
        <w:pStyle w:val="Heading2"/>
      </w:pPr>
      <w:bookmarkStart w:id="8" w:name="_Toc470173133"/>
      <w:bookmarkStart w:id="9" w:name="_Toc492467948"/>
      <w:r w:rsidRPr="00A9092B">
        <w:t>Methodology</w:t>
      </w:r>
      <w:bookmarkEnd w:id="8"/>
      <w:bookmarkEnd w:id="9"/>
    </w:p>
    <w:p w14:paraId="06100C49" w14:textId="26CC5E65" w:rsidR="00644012" w:rsidRPr="00644012" w:rsidRDefault="00644012" w:rsidP="00210FBB">
      <w:r w:rsidRPr="00644012">
        <w:t>Th</w:t>
      </w:r>
      <w:r w:rsidR="006765EA">
        <w:t>e</w:t>
      </w:r>
      <w:r w:rsidRPr="00644012">
        <w:t xml:space="preserve"> report is based on the outcomes of a self-assessment undertaken from </w:t>
      </w:r>
      <w:r w:rsidR="00364DEC">
        <w:t xml:space="preserve">23 </w:t>
      </w:r>
      <w:r w:rsidRPr="00644012">
        <w:t>July to</w:t>
      </w:r>
      <w:r w:rsidR="00364DEC">
        <w:t xml:space="preserve"> 28</w:t>
      </w:r>
      <w:r w:rsidRPr="00644012">
        <w:t xml:space="preserve"> July</w:t>
      </w:r>
      <w:r w:rsidR="006765EA">
        <w:t xml:space="preserve"> 2017</w:t>
      </w:r>
      <w:r w:rsidRPr="00644012">
        <w:t xml:space="preserve">, </w:t>
      </w:r>
      <w:r w:rsidR="00F046F9">
        <w:t>and that</w:t>
      </w:r>
      <w:r w:rsidRPr="00644012">
        <w:t xml:space="preserve"> included fieldwork</w:t>
      </w:r>
      <w:r w:rsidR="006765EA">
        <w:t xml:space="preserve"> as well as consideration of the previous assessment from 2016. </w:t>
      </w:r>
      <w:r w:rsidRPr="00644012">
        <w:t>It considered all ARPANSA regulatory activities undertaken in the period from 1</w:t>
      </w:r>
      <w:r w:rsidR="00364DEC">
        <w:t> </w:t>
      </w:r>
      <w:r w:rsidRPr="00644012">
        <w:t>July 201</w:t>
      </w:r>
      <w:r w:rsidR="00BE5591">
        <w:t>6</w:t>
      </w:r>
      <w:r w:rsidRPr="00644012">
        <w:t xml:space="preserve"> to 30 June 201</w:t>
      </w:r>
      <w:r w:rsidR="00BE5591">
        <w:t>7</w:t>
      </w:r>
      <w:r w:rsidRPr="00644012">
        <w:t>.</w:t>
      </w:r>
    </w:p>
    <w:p w14:paraId="30B3FF3F" w14:textId="77777777" w:rsidR="00644012" w:rsidRPr="00644012" w:rsidRDefault="00644012" w:rsidP="00210FBB">
      <w:r w:rsidRPr="00644012">
        <w:lastRenderedPageBreak/>
        <w:t>Performance against the framework was assessed by a five-person team that included two members external to ARPANSA and one ARPANSA staff member external to RSB.</w:t>
      </w:r>
    </w:p>
    <w:p w14:paraId="0453EC9B" w14:textId="77777777" w:rsidR="00644012" w:rsidRPr="00644012" w:rsidRDefault="00644012" w:rsidP="00210FBB">
      <w:pPr>
        <w:pStyle w:val="Subtitle"/>
      </w:pPr>
      <w:r w:rsidRPr="00644012">
        <w:t>Team Leader</w:t>
      </w:r>
    </w:p>
    <w:p w14:paraId="22A8AC2F" w14:textId="77777777" w:rsidR="00644012" w:rsidRPr="009A4BD4" w:rsidRDefault="00644012" w:rsidP="00210FBB">
      <w:pPr>
        <w:pStyle w:val="ListParagraph"/>
        <w:rPr>
          <w:rFonts w:cs="Times New Roman"/>
        </w:rPr>
      </w:pPr>
      <w:r w:rsidRPr="009A4BD4">
        <w:t xml:space="preserve">John Ward </w:t>
      </w:r>
      <w:r>
        <w:t>–</w:t>
      </w:r>
      <w:r w:rsidRPr="009A4BD4">
        <w:t xml:space="preserve"> </w:t>
      </w:r>
      <w:r w:rsidR="00BE5591">
        <w:t>Director,</w:t>
      </w:r>
      <w:r w:rsidRPr="009A4BD4">
        <w:t xml:space="preserve"> Continuous Improvement, Regulatory Services Branch, ARPANSA</w:t>
      </w:r>
    </w:p>
    <w:p w14:paraId="3BE2518E" w14:textId="77777777" w:rsidR="00644012" w:rsidRPr="00644012" w:rsidRDefault="00644012" w:rsidP="00210FBB">
      <w:pPr>
        <w:pStyle w:val="Subtitle"/>
      </w:pPr>
      <w:r w:rsidRPr="00644012">
        <w:t>Team Members</w:t>
      </w:r>
    </w:p>
    <w:p w14:paraId="745F7D30" w14:textId="453AF329" w:rsidR="00644012" w:rsidRPr="00A9092B" w:rsidRDefault="00C44C4C" w:rsidP="00210FBB">
      <w:pPr>
        <w:pStyle w:val="ListParagraph"/>
      </w:pPr>
      <w:r>
        <w:t xml:space="preserve">Dr </w:t>
      </w:r>
      <w:r w:rsidR="0003487B">
        <w:t>Joe</w:t>
      </w:r>
      <w:r>
        <w:t xml:space="preserve"> Smith</w:t>
      </w:r>
      <w:r w:rsidR="00644012" w:rsidRPr="00A9092B">
        <w:t xml:space="preserve"> </w:t>
      </w:r>
      <w:r w:rsidR="00644012">
        <w:t xml:space="preserve">– </w:t>
      </w:r>
      <w:r>
        <w:t>Consultant – R</w:t>
      </w:r>
      <w:r w:rsidR="0003487B">
        <w:t>OJO</w:t>
      </w:r>
      <w:r>
        <w:t xml:space="preserve"> Advisory </w:t>
      </w:r>
      <w:r w:rsidR="0003487B">
        <w:t>– Former Gene Technology Regulator and former CEO of the Australian Pesticides and Veterinary Medicines Authority (APVMA)</w:t>
      </w:r>
    </w:p>
    <w:p w14:paraId="0E529B05" w14:textId="77777777" w:rsidR="00644012" w:rsidRPr="00A9092B" w:rsidRDefault="008302A7" w:rsidP="00210FBB">
      <w:pPr>
        <w:pStyle w:val="ListParagraph"/>
      </w:pPr>
      <w:r>
        <w:t>Kaylene Pickering</w:t>
      </w:r>
      <w:r w:rsidR="00644012" w:rsidRPr="00A9092B">
        <w:t xml:space="preserve"> – </w:t>
      </w:r>
      <w:r>
        <w:t>Corporate HSE Manager, C</w:t>
      </w:r>
      <w:r w:rsidR="000F6703">
        <w:t>ommonwealth Scientific and Industrial Research Organisation (C</w:t>
      </w:r>
      <w:r>
        <w:t>SIRO</w:t>
      </w:r>
      <w:r w:rsidR="000F6703">
        <w:t>)</w:t>
      </w:r>
    </w:p>
    <w:p w14:paraId="1211B69B" w14:textId="77777777" w:rsidR="00644012" w:rsidRPr="00A9092B" w:rsidRDefault="00CA5C3B" w:rsidP="00210FBB">
      <w:pPr>
        <w:pStyle w:val="ListParagraph"/>
      </w:pPr>
      <w:r>
        <w:t>Don Wijayasinghe</w:t>
      </w:r>
      <w:r w:rsidR="00644012" w:rsidRPr="00A9092B">
        <w:t xml:space="preserve"> –</w:t>
      </w:r>
      <w:r w:rsidR="00644012">
        <w:t xml:space="preserve"> </w:t>
      </w:r>
      <w:r w:rsidR="000F6703">
        <w:t>Technical Specialist</w:t>
      </w:r>
      <w:r w:rsidR="00592621">
        <w:t>, Radiation Health Services, ARPANSA</w:t>
      </w:r>
      <w:r w:rsidR="00644012" w:rsidRPr="00A9092B">
        <w:t xml:space="preserve"> </w:t>
      </w:r>
    </w:p>
    <w:p w14:paraId="4C971D18" w14:textId="461A3C4C" w:rsidR="00644012" w:rsidRPr="009A4BD4" w:rsidRDefault="00592621" w:rsidP="00210FBB">
      <w:pPr>
        <w:pStyle w:val="ListParagraph"/>
        <w:rPr>
          <w:rFonts w:cs="Times New Roman"/>
        </w:rPr>
      </w:pPr>
      <w:r>
        <w:t>Jul</w:t>
      </w:r>
      <w:r w:rsidR="0003487B">
        <w:t>ie</w:t>
      </w:r>
      <w:r>
        <w:t xml:space="preserve"> Murray</w:t>
      </w:r>
      <w:r w:rsidR="00644012" w:rsidRPr="009A4BD4">
        <w:t xml:space="preserve"> – </w:t>
      </w:r>
      <w:r>
        <w:t>Agency Security Advis</w:t>
      </w:r>
      <w:r w:rsidR="006765EA">
        <w:t>e</w:t>
      </w:r>
      <w:r>
        <w:t>r, Regulatory Services Branch, ARPANSA</w:t>
      </w:r>
    </w:p>
    <w:p w14:paraId="5C43F1D1" w14:textId="1C77E821" w:rsidR="00644012" w:rsidRPr="00644012" w:rsidRDefault="00644012" w:rsidP="00210FBB">
      <w:r w:rsidRPr="00644012">
        <w:lastRenderedPageBreak/>
        <w:t xml:space="preserve">The assessment focussed on a review of performance against the 12 PIs to ensure that the intent of the six RPF KPIs </w:t>
      </w:r>
      <w:r w:rsidR="006765EA">
        <w:t>are</w:t>
      </w:r>
      <w:r w:rsidRPr="00644012">
        <w:t xml:space="preserve"> met and to verify that quantitative data was accurately recorded. </w:t>
      </w:r>
      <w:r w:rsidR="00592621">
        <w:t>Additional data has been taken into account to provide a balanced and objective assessment of performance.</w:t>
      </w:r>
    </w:p>
    <w:p w14:paraId="35A0BF6F" w14:textId="40AB7AE6" w:rsidR="00644012" w:rsidRPr="00644012" w:rsidRDefault="00644012" w:rsidP="00210FBB">
      <w:r w:rsidRPr="00644012">
        <w:t>The team set out to identify AFI</w:t>
      </w:r>
      <w:r w:rsidR="00B93415">
        <w:t>s</w:t>
      </w:r>
      <w:r w:rsidRPr="00644012">
        <w:t xml:space="preserve"> to assist ARPANSA improve the accuracy of the PIs as well as regulatory outcomes</w:t>
      </w:r>
      <w:r w:rsidR="006765EA">
        <w:t xml:space="preserve"> including good practices</w:t>
      </w:r>
      <w:r w:rsidRPr="00644012">
        <w:t xml:space="preserve">. </w:t>
      </w:r>
    </w:p>
    <w:p w14:paraId="72DCDD5D" w14:textId="77777777" w:rsidR="00644012" w:rsidRPr="00644012" w:rsidRDefault="00644012" w:rsidP="00210FBB">
      <w:r w:rsidRPr="00644012">
        <w:t>To provide qualitative information on performance, the assessment team also examined underlying data and information by:</w:t>
      </w:r>
    </w:p>
    <w:p w14:paraId="1E252309" w14:textId="77777777" w:rsidR="00644012" w:rsidRPr="00A9092B" w:rsidRDefault="00644012" w:rsidP="00210FBB">
      <w:pPr>
        <w:pStyle w:val="ListParagraph"/>
      </w:pPr>
      <w:r w:rsidRPr="00A9092B">
        <w:t>reviewing various data sources (</w:t>
      </w:r>
      <w:r>
        <w:t xml:space="preserve">e.g. </w:t>
      </w:r>
      <w:r w:rsidRPr="00A9092B">
        <w:t xml:space="preserve">inspection data and </w:t>
      </w:r>
      <w:r>
        <w:t>findings, surveys, records</w:t>
      </w:r>
      <w:r w:rsidRPr="00A9092B">
        <w:t>)</w:t>
      </w:r>
    </w:p>
    <w:p w14:paraId="11BDD9A1" w14:textId="77777777" w:rsidR="00644012" w:rsidRPr="00A9092B" w:rsidRDefault="00644012" w:rsidP="00210FBB">
      <w:pPr>
        <w:pStyle w:val="ListParagraph"/>
      </w:pPr>
      <w:r w:rsidRPr="00A9092B">
        <w:t xml:space="preserve">reviewing the inspection processes and procedures </w:t>
      </w:r>
    </w:p>
    <w:p w14:paraId="3B52A24C" w14:textId="2AAA8DB4" w:rsidR="00644012" w:rsidRPr="00A9092B" w:rsidRDefault="00644012" w:rsidP="00210FBB">
      <w:pPr>
        <w:pStyle w:val="ListParagraph"/>
      </w:pPr>
      <w:r w:rsidRPr="00A9092B">
        <w:t xml:space="preserve">interviewing </w:t>
      </w:r>
      <w:r w:rsidR="00282ED2">
        <w:t xml:space="preserve">12 </w:t>
      </w:r>
      <w:r>
        <w:t>ARPANSA</w:t>
      </w:r>
      <w:r w:rsidRPr="00A9092B">
        <w:t xml:space="preserve"> staff </w:t>
      </w:r>
      <w:r w:rsidR="00282ED2">
        <w:t>including</w:t>
      </w:r>
      <w:r w:rsidR="00282ED2" w:rsidRPr="00A9092B">
        <w:t xml:space="preserve"> </w:t>
      </w:r>
      <w:r w:rsidRPr="00A9092B">
        <w:t xml:space="preserve">management </w:t>
      </w:r>
    </w:p>
    <w:p w14:paraId="6C2908E9" w14:textId="70A347C1" w:rsidR="00644012" w:rsidRPr="00A9092B" w:rsidRDefault="00644012" w:rsidP="00210FBB">
      <w:pPr>
        <w:pStyle w:val="ListParagraph"/>
      </w:pPr>
      <w:r w:rsidRPr="00A9092B">
        <w:t xml:space="preserve">observing </w:t>
      </w:r>
      <w:r w:rsidR="00592621">
        <w:t>two</w:t>
      </w:r>
      <w:r w:rsidRPr="00A9092B">
        <w:t xml:space="preserve"> </w:t>
      </w:r>
      <w:r w:rsidR="00592621">
        <w:t>regulatory</w:t>
      </w:r>
      <w:r w:rsidRPr="00A9092B">
        <w:t xml:space="preserve"> </w:t>
      </w:r>
      <w:r>
        <w:t>i</w:t>
      </w:r>
      <w:r w:rsidRPr="00A9092B">
        <w:t>nspection</w:t>
      </w:r>
      <w:r w:rsidR="006765EA">
        <w:t>s</w:t>
      </w:r>
      <w:r w:rsidRPr="00A9092B">
        <w:t xml:space="preserve"> </w:t>
      </w:r>
    </w:p>
    <w:p w14:paraId="7D47C189" w14:textId="7F3C59F5" w:rsidR="00644012" w:rsidRPr="00A9092B" w:rsidRDefault="00644012" w:rsidP="00210FBB">
      <w:pPr>
        <w:pStyle w:val="ListParagraph"/>
      </w:pPr>
      <w:r w:rsidRPr="00A9092B">
        <w:t xml:space="preserve">interviewing </w:t>
      </w:r>
      <w:r w:rsidR="00F06FD8">
        <w:t>five</w:t>
      </w:r>
      <w:r>
        <w:t xml:space="preserve"> </w:t>
      </w:r>
      <w:r w:rsidR="0003487B">
        <w:t xml:space="preserve">staff of </w:t>
      </w:r>
      <w:r>
        <w:t>licence holders.</w:t>
      </w:r>
    </w:p>
    <w:p w14:paraId="44D89E61" w14:textId="298C365A" w:rsidR="00592621" w:rsidRDefault="00644012" w:rsidP="00210FBB">
      <w:r w:rsidRPr="00644012">
        <w:lastRenderedPageBreak/>
        <w:t xml:space="preserve">A list of data and documents provided to the assessment team is </w:t>
      </w:r>
      <w:r w:rsidR="006765EA">
        <w:t>at</w:t>
      </w:r>
      <w:r w:rsidRPr="00644012">
        <w:t xml:space="preserve"> Appendix B.</w:t>
      </w:r>
    </w:p>
    <w:p w14:paraId="4540C196" w14:textId="77777777" w:rsidR="00592621" w:rsidRDefault="00592621">
      <w:r>
        <w:br w:type="page"/>
      </w:r>
    </w:p>
    <w:p w14:paraId="604F62DE" w14:textId="77777777" w:rsidR="00592621" w:rsidRDefault="00592621" w:rsidP="00592621">
      <w:pPr>
        <w:pStyle w:val="Heading1"/>
        <w:keepNext w:val="0"/>
        <w:keepLines w:val="0"/>
        <w:spacing w:before="120" w:after="120" w:line="240" w:lineRule="auto"/>
      </w:pPr>
      <w:bookmarkStart w:id="10" w:name="_Toc470173134"/>
      <w:bookmarkStart w:id="11" w:name="_Toc492467949"/>
      <w:r w:rsidRPr="00A9092B">
        <w:lastRenderedPageBreak/>
        <w:t>Performance Assessment</w:t>
      </w:r>
      <w:bookmarkEnd w:id="10"/>
      <w:bookmarkEnd w:id="11"/>
    </w:p>
    <w:p w14:paraId="6090D482" w14:textId="77777777" w:rsidR="00EB714D" w:rsidRPr="00EB714D" w:rsidRDefault="00EB714D" w:rsidP="00EB714D"/>
    <w:p w14:paraId="2F3574B7" w14:textId="77777777" w:rsidR="00EB714D" w:rsidRDefault="00592621" w:rsidP="00592621">
      <w:pPr>
        <w:pStyle w:val="Heading2"/>
        <w:keepLines w:val="0"/>
        <w:spacing w:before="120" w:after="120" w:line="240" w:lineRule="auto"/>
        <w:ind w:left="578" w:hanging="578"/>
        <w:rPr>
          <w:lang w:eastAsia="en-AU"/>
        </w:rPr>
      </w:pPr>
      <w:bookmarkStart w:id="12" w:name="_Toc470173135"/>
      <w:bookmarkStart w:id="13" w:name="_Toc492467950"/>
      <w:r w:rsidRPr="00A9092B">
        <w:rPr>
          <w:lang w:eastAsia="en-AU"/>
        </w:rPr>
        <w:t>KPI 1</w:t>
      </w:r>
      <w:r>
        <w:rPr>
          <w:lang w:eastAsia="en-AU"/>
        </w:rPr>
        <w:t xml:space="preserve"> –</w:t>
      </w:r>
      <w:r w:rsidRPr="00A9092B">
        <w:rPr>
          <w:lang w:eastAsia="en-AU"/>
        </w:rPr>
        <w:t xml:space="preserve"> Regulators do not unnecessarily impede the efficient operation of regulated entities</w:t>
      </w:r>
      <w:bookmarkEnd w:id="12"/>
      <w:bookmarkEnd w:id="13"/>
    </w:p>
    <w:p w14:paraId="30CB6321" w14:textId="37182062" w:rsidR="00EB714D" w:rsidRPr="00A9092B" w:rsidRDefault="00EB714D" w:rsidP="00EB714D">
      <w:pPr>
        <w:pStyle w:val="Heading3"/>
        <w:keepLines w:val="0"/>
        <w:spacing w:before="120" w:after="120" w:line="240" w:lineRule="auto"/>
        <w:jc w:val="both"/>
        <w:rPr>
          <w:lang w:eastAsia="en-AU"/>
        </w:rPr>
      </w:pPr>
      <w:r>
        <w:rPr>
          <w:lang w:eastAsia="en-AU"/>
        </w:rPr>
        <w:t>Overview of</w:t>
      </w:r>
      <w:r w:rsidRPr="00A9092B">
        <w:rPr>
          <w:lang w:eastAsia="en-AU"/>
        </w:rPr>
        <w:t xml:space="preserve"> KPI </w:t>
      </w:r>
      <w:r w:rsidR="006C24DF">
        <w:rPr>
          <w:lang w:eastAsia="en-AU"/>
        </w:rPr>
        <w:t>1</w:t>
      </w:r>
    </w:p>
    <w:p w14:paraId="05A6A9E1" w14:textId="02C7B2F3" w:rsidR="00592621" w:rsidRDefault="00592621" w:rsidP="00592621">
      <w:pPr>
        <w:rPr>
          <w:lang w:eastAsia="en-AU"/>
        </w:rPr>
      </w:pPr>
      <w:r>
        <w:rPr>
          <w:lang w:eastAsia="en-AU"/>
        </w:rPr>
        <w:t>ARPANSA follows the internationally agreed principle that the prime responsibility for protecting people and the environment</w:t>
      </w:r>
      <w:r w:rsidR="00B93415">
        <w:rPr>
          <w:lang w:eastAsia="en-AU"/>
        </w:rPr>
        <w:t>, i.e. for carrying out activities safely and securely,</w:t>
      </w:r>
      <w:r>
        <w:rPr>
          <w:lang w:eastAsia="en-AU"/>
        </w:rPr>
        <w:t xml:space="preserve"> rests with the licence holder</w:t>
      </w:r>
      <w:r w:rsidRPr="0081143A">
        <w:rPr>
          <w:lang w:eastAsia="en-AU"/>
        </w:rPr>
        <w:t xml:space="preserve">. </w:t>
      </w:r>
      <w:r w:rsidR="006C4E9F">
        <w:rPr>
          <w:lang w:eastAsia="en-AU"/>
        </w:rPr>
        <w:t xml:space="preserve">To achieve this ARPANSA has sought to improve communication and consultation that </w:t>
      </w:r>
      <w:r w:rsidR="00B93415">
        <w:rPr>
          <w:lang w:eastAsia="en-AU"/>
        </w:rPr>
        <w:t xml:space="preserve">supports and encourages </w:t>
      </w:r>
      <w:r w:rsidR="006C4E9F">
        <w:rPr>
          <w:lang w:eastAsia="en-AU"/>
        </w:rPr>
        <w:t xml:space="preserve">licence holders to </w:t>
      </w:r>
      <w:r w:rsidR="00107DCC">
        <w:rPr>
          <w:lang w:eastAsia="en-AU"/>
        </w:rPr>
        <w:t xml:space="preserve">be effective in managing nuclear safety and radiation protection. </w:t>
      </w:r>
      <w:r w:rsidRPr="0081143A">
        <w:rPr>
          <w:lang w:eastAsia="en-AU"/>
        </w:rPr>
        <w:t>ARPANSA has developed</w:t>
      </w:r>
      <w:r w:rsidR="00676422">
        <w:rPr>
          <w:lang w:eastAsia="en-AU"/>
        </w:rPr>
        <w:t>,</w:t>
      </w:r>
      <w:r w:rsidRPr="0081143A">
        <w:rPr>
          <w:lang w:eastAsia="en-AU"/>
        </w:rPr>
        <w:t xml:space="preserve"> </w:t>
      </w:r>
      <w:r w:rsidR="00796B1B">
        <w:rPr>
          <w:lang w:eastAsia="en-AU"/>
        </w:rPr>
        <w:t xml:space="preserve">and </w:t>
      </w:r>
      <w:r w:rsidR="00676422">
        <w:rPr>
          <w:lang w:eastAsia="en-AU"/>
        </w:rPr>
        <w:t xml:space="preserve">regularly </w:t>
      </w:r>
      <w:r w:rsidR="00796B1B">
        <w:rPr>
          <w:lang w:eastAsia="en-AU"/>
        </w:rPr>
        <w:t>updates</w:t>
      </w:r>
      <w:r w:rsidR="00676422">
        <w:rPr>
          <w:lang w:eastAsia="en-AU"/>
        </w:rPr>
        <w:t>,</w:t>
      </w:r>
      <w:r w:rsidR="00796B1B">
        <w:rPr>
          <w:lang w:eastAsia="en-AU"/>
        </w:rPr>
        <w:t xml:space="preserve"> </w:t>
      </w:r>
      <w:r w:rsidRPr="0081143A">
        <w:rPr>
          <w:lang w:eastAsia="en-AU"/>
        </w:rPr>
        <w:t xml:space="preserve">guidelines that assist licence holders to develop their own plans and arrangements to fulfil </w:t>
      </w:r>
      <w:r w:rsidR="006765EA" w:rsidRPr="0081143A">
        <w:rPr>
          <w:lang w:eastAsia="en-AU"/>
        </w:rPr>
        <w:t>the</w:t>
      </w:r>
      <w:r w:rsidR="006765EA">
        <w:rPr>
          <w:lang w:eastAsia="en-AU"/>
        </w:rPr>
        <w:t>ir responsibilities</w:t>
      </w:r>
      <w:r w:rsidRPr="0081143A">
        <w:rPr>
          <w:lang w:eastAsia="en-AU"/>
        </w:rPr>
        <w:t xml:space="preserve"> and to demonstrate compliance with the Act and Regulations</w:t>
      </w:r>
      <w:r>
        <w:rPr>
          <w:lang w:eastAsia="en-AU"/>
        </w:rPr>
        <w:t>.</w:t>
      </w:r>
    </w:p>
    <w:p w14:paraId="65CFDBC0" w14:textId="3466148E" w:rsidR="00592621" w:rsidRDefault="00592621" w:rsidP="00592621">
      <w:pPr>
        <w:keepLines/>
        <w:autoSpaceDE w:val="0"/>
        <w:autoSpaceDN w:val="0"/>
        <w:adjustRightInd w:val="0"/>
        <w:spacing w:after="120"/>
        <w:rPr>
          <w:rFonts w:cs="Times New Roman"/>
          <w:bCs/>
          <w:szCs w:val="24"/>
          <w:lang w:eastAsia="en-AU"/>
        </w:rPr>
      </w:pPr>
      <w:r>
        <w:rPr>
          <w:rFonts w:cs="Times New Roman"/>
          <w:bCs/>
          <w:szCs w:val="24"/>
          <w:lang w:eastAsia="en-AU"/>
        </w:rPr>
        <w:lastRenderedPageBreak/>
        <w:t xml:space="preserve">ARPANSA strives to create a regulatory environment that is risk-informed, proportionate and effective. Regulatory guidance has </w:t>
      </w:r>
      <w:r w:rsidR="00AE2F31">
        <w:rPr>
          <w:rFonts w:cs="Times New Roman"/>
          <w:bCs/>
          <w:szCs w:val="24"/>
          <w:lang w:eastAsia="en-AU"/>
        </w:rPr>
        <w:t>expanded</w:t>
      </w:r>
      <w:r>
        <w:rPr>
          <w:rFonts w:cs="Times New Roman"/>
          <w:bCs/>
          <w:szCs w:val="24"/>
          <w:lang w:eastAsia="en-AU"/>
        </w:rPr>
        <w:t xml:space="preserve"> and </w:t>
      </w:r>
      <w:r w:rsidR="00BA6DDF">
        <w:rPr>
          <w:rFonts w:cs="Times New Roman"/>
          <w:bCs/>
          <w:szCs w:val="24"/>
          <w:lang w:eastAsia="en-AU"/>
        </w:rPr>
        <w:t xml:space="preserve">been </w:t>
      </w:r>
      <w:r w:rsidR="006545E6">
        <w:rPr>
          <w:rFonts w:cs="Times New Roman"/>
          <w:bCs/>
          <w:szCs w:val="24"/>
          <w:lang w:eastAsia="en-AU"/>
        </w:rPr>
        <w:t>improved in scope and depth</w:t>
      </w:r>
      <w:r>
        <w:rPr>
          <w:rFonts w:cs="Times New Roman"/>
          <w:bCs/>
          <w:szCs w:val="24"/>
          <w:lang w:eastAsia="en-AU"/>
        </w:rPr>
        <w:t xml:space="preserve"> using the ARPANSA website, and through meetings, forums and workshops. ARPANSA has </w:t>
      </w:r>
      <w:r w:rsidR="006765EA">
        <w:rPr>
          <w:rFonts w:cs="Times New Roman"/>
          <w:bCs/>
          <w:szCs w:val="24"/>
          <w:lang w:eastAsia="en-AU"/>
        </w:rPr>
        <w:t xml:space="preserve">also </w:t>
      </w:r>
      <w:r>
        <w:rPr>
          <w:rFonts w:cs="Times New Roman"/>
          <w:bCs/>
          <w:szCs w:val="24"/>
          <w:lang w:eastAsia="en-AU"/>
        </w:rPr>
        <w:t>streamlined its risk-based approach to regulation, especially for low hazard activities.</w:t>
      </w:r>
    </w:p>
    <w:p w14:paraId="722E4BBC" w14:textId="28ABDAD4" w:rsidR="00592621" w:rsidRPr="00A9092B" w:rsidRDefault="00592621" w:rsidP="00592621">
      <w:pPr>
        <w:keepLines/>
        <w:autoSpaceDE w:val="0"/>
        <w:autoSpaceDN w:val="0"/>
        <w:adjustRightInd w:val="0"/>
        <w:spacing w:after="120"/>
        <w:rPr>
          <w:rFonts w:cs="Times New Roman"/>
          <w:bCs/>
          <w:szCs w:val="24"/>
          <w:lang w:eastAsia="en-AU"/>
        </w:rPr>
      </w:pPr>
      <w:r w:rsidRPr="00A9092B">
        <w:rPr>
          <w:rFonts w:cs="Times New Roman"/>
          <w:bCs/>
          <w:szCs w:val="24"/>
          <w:lang w:eastAsia="en-AU"/>
        </w:rPr>
        <w:t>ARPANSA receive</w:t>
      </w:r>
      <w:r>
        <w:rPr>
          <w:rFonts w:cs="Times New Roman"/>
          <w:bCs/>
          <w:szCs w:val="24"/>
          <w:lang w:eastAsia="en-AU"/>
        </w:rPr>
        <w:t>s</w:t>
      </w:r>
      <w:r w:rsidRPr="00A9092B">
        <w:rPr>
          <w:rFonts w:cs="Times New Roman"/>
          <w:bCs/>
          <w:szCs w:val="24"/>
          <w:lang w:eastAsia="en-AU"/>
        </w:rPr>
        <w:t xml:space="preserve"> various </w:t>
      </w:r>
      <w:r>
        <w:rPr>
          <w:rFonts w:cs="Times New Roman"/>
          <w:bCs/>
          <w:szCs w:val="24"/>
          <w:lang w:eastAsia="en-AU"/>
        </w:rPr>
        <w:t xml:space="preserve">types of </w:t>
      </w:r>
      <w:r w:rsidRPr="00A9092B">
        <w:rPr>
          <w:rFonts w:cs="Times New Roman"/>
          <w:bCs/>
          <w:szCs w:val="24"/>
          <w:lang w:eastAsia="en-AU"/>
        </w:rPr>
        <w:t>applications</w:t>
      </w:r>
      <w:r>
        <w:rPr>
          <w:rFonts w:cs="Times New Roman"/>
          <w:bCs/>
          <w:szCs w:val="24"/>
          <w:lang w:eastAsia="en-AU"/>
        </w:rPr>
        <w:t xml:space="preserve"> for nuclear and radiation facilities and sources,</w:t>
      </w:r>
      <w:r w:rsidRPr="00A9092B">
        <w:rPr>
          <w:rFonts w:cs="Times New Roman"/>
          <w:bCs/>
          <w:szCs w:val="24"/>
          <w:lang w:eastAsia="en-AU"/>
        </w:rPr>
        <w:t xml:space="preserve"> </w:t>
      </w:r>
      <w:r>
        <w:rPr>
          <w:rFonts w:cs="Times New Roman"/>
          <w:bCs/>
          <w:szCs w:val="24"/>
          <w:lang w:eastAsia="en-AU"/>
        </w:rPr>
        <w:t>including</w:t>
      </w:r>
      <w:r w:rsidRPr="00A9092B">
        <w:rPr>
          <w:rFonts w:cs="Times New Roman"/>
          <w:bCs/>
          <w:szCs w:val="24"/>
          <w:lang w:eastAsia="en-AU"/>
        </w:rPr>
        <w:t xml:space="preserve"> licences</w:t>
      </w:r>
      <w:r>
        <w:rPr>
          <w:rFonts w:cs="Times New Roman"/>
          <w:bCs/>
          <w:szCs w:val="24"/>
          <w:lang w:eastAsia="en-AU"/>
        </w:rPr>
        <w:t xml:space="preserve"> for new activities</w:t>
      </w:r>
      <w:r w:rsidRPr="00A9092B">
        <w:rPr>
          <w:rFonts w:cs="Times New Roman"/>
          <w:bCs/>
          <w:szCs w:val="24"/>
          <w:lang w:eastAsia="en-AU"/>
        </w:rPr>
        <w:t>, requests for approval to construct items important to safety, requests for safety</w:t>
      </w:r>
      <w:r>
        <w:rPr>
          <w:rFonts w:cs="Times New Roman"/>
          <w:bCs/>
          <w:szCs w:val="24"/>
          <w:lang w:eastAsia="en-AU"/>
        </w:rPr>
        <w:t>-</w:t>
      </w:r>
      <w:r w:rsidRPr="00A9092B">
        <w:rPr>
          <w:rFonts w:cs="Times New Roman"/>
          <w:bCs/>
          <w:szCs w:val="24"/>
          <w:lang w:eastAsia="en-AU"/>
        </w:rPr>
        <w:t>significant changes</w:t>
      </w:r>
      <w:r>
        <w:rPr>
          <w:rFonts w:cs="Times New Roman"/>
          <w:bCs/>
          <w:szCs w:val="24"/>
          <w:lang w:eastAsia="en-AU"/>
        </w:rPr>
        <w:t xml:space="preserve"> to activities</w:t>
      </w:r>
      <w:r w:rsidRPr="00A9092B">
        <w:rPr>
          <w:rFonts w:cs="Times New Roman"/>
          <w:bCs/>
          <w:szCs w:val="24"/>
          <w:lang w:eastAsia="en-AU"/>
        </w:rPr>
        <w:t>, transfer</w:t>
      </w:r>
      <w:r>
        <w:rPr>
          <w:rFonts w:cs="Times New Roman"/>
          <w:bCs/>
          <w:szCs w:val="24"/>
          <w:lang w:eastAsia="en-AU"/>
        </w:rPr>
        <w:t xml:space="preserve"> or disposal of sources, and </w:t>
      </w:r>
      <w:r w:rsidRPr="00A9092B">
        <w:rPr>
          <w:rFonts w:cs="Times New Roman"/>
          <w:bCs/>
          <w:szCs w:val="24"/>
          <w:lang w:eastAsia="en-AU"/>
        </w:rPr>
        <w:t xml:space="preserve">transport </w:t>
      </w:r>
      <w:r>
        <w:rPr>
          <w:rFonts w:cs="Times New Roman"/>
          <w:bCs/>
          <w:szCs w:val="24"/>
          <w:lang w:eastAsia="en-AU"/>
        </w:rPr>
        <w:t>of radioactive material</w:t>
      </w:r>
      <w:r w:rsidRPr="00A9092B">
        <w:rPr>
          <w:rFonts w:cs="Times New Roman"/>
          <w:bCs/>
          <w:szCs w:val="24"/>
          <w:lang w:eastAsia="en-AU"/>
        </w:rPr>
        <w:t xml:space="preserve">. </w:t>
      </w:r>
      <w:r>
        <w:rPr>
          <w:rFonts w:cs="Times New Roman"/>
          <w:bCs/>
          <w:szCs w:val="24"/>
          <w:lang w:eastAsia="en-AU"/>
        </w:rPr>
        <w:t>The scope and de</w:t>
      </w:r>
      <w:r w:rsidR="006765EA">
        <w:rPr>
          <w:rFonts w:cs="Times New Roman"/>
          <w:bCs/>
          <w:szCs w:val="24"/>
          <w:lang w:eastAsia="en-AU"/>
        </w:rPr>
        <w:t>tail</w:t>
      </w:r>
      <w:r>
        <w:rPr>
          <w:rFonts w:cs="Times New Roman"/>
          <w:bCs/>
          <w:szCs w:val="24"/>
          <w:lang w:eastAsia="en-AU"/>
        </w:rPr>
        <w:t xml:space="preserve"> of documentation needed to demonstrate safety depends on the risk of the proposed activity. ARPANSA strives to assess</w:t>
      </w:r>
      <w:r w:rsidRPr="00A9092B">
        <w:rPr>
          <w:rFonts w:cs="Times New Roman"/>
          <w:bCs/>
          <w:szCs w:val="24"/>
          <w:lang w:eastAsia="en-AU"/>
        </w:rPr>
        <w:t xml:space="preserve"> applications in a timely manner</w:t>
      </w:r>
      <w:r>
        <w:rPr>
          <w:rFonts w:cs="Times New Roman"/>
          <w:bCs/>
          <w:szCs w:val="24"/>
          <w:lang w:eastAsia="en-AU"/>
        </w:rPr>
        <w:t xml:space="preserve"> and within a timeframe agreed with the applicant. The timeframe depends</w:t>
      </w:r>
      <w:r w:rsidRPr="00A9092B">
        <w:rPr>
          <w:rFonts w:cs="Times New Roman"/>
          <w:bCs/>
          <w:szCs w:val="24"/>
          <w:lang w:eastAsia="en-AU"/>
        </w:rPr>
        <w:t xml:space="preserve"> on the nature </w:t>
      </w:r>
      <w:r>
        <w:rPr>
          <w:rFonts w:cs="Times New Roman"/>
          <w:bCs/>
          <w:szCs w:val="24"/>
          <w:lang w:eastAsia="en-AU"/>
        </w:rPr>
        <w:t>and complexity of the application and takes account of the licence holder’s programs and priorities</w:t>
      </w:r>
      <w:r w:rsidRPr="00A9092B">
        <w:rPr>
          <w:rFonts w:cs="Times New Roman"/>
          <w:bCs/>
          <w:szCs w:val="24"/>
          <w:lang w:eastAsia="en-AU"/>
        </w:rPr>
        <w:t>.</w:t>
      </w:r>
    </w:p>
    <w:p w14:paraId="751C5637" w14:textId="4953FF3E" w:rsidR="00592621" w:rsidRPr="00E561F8" w:rsidRDefault="00592621" w:rsidP="00592621">
      <w:pPr>
        <w:spacing w:after="120"/>
        <w:rPr>
          <w:rFonts w:ascii="Times" w:eastAsia="Times New Roman" w:hAnsi="Times" w:cs="Times New Roman"/>
          <w:sz w:val="20"/>
          <w:szCs w:val="20"/>
        </w:rPr>
      </w:pPr>
      <w:r>
        <w:rPr>
          <w:rFonts w:cs="Times New Roman"/>
          <w:bCs/>
          <w:szCs w:val="24"/>
          <w:lang w:eastAsia="en-AU"/>
        </w:rPr>
        <w:lastRenderedPageBreak/>
        <w:t>ARPANSA maintains a risk-based inspection program. I</w:t>
      </w:r>
      <w:r w:rsidRPr="00A9092B">
        <w:rPr>
          <w:rFonts w:cs="Times New Roman"/>
          <w:bCs/>
          <w:szCs w:val="24"/>
          <w:lang w:eastAsia="en-AU"/>
        </w:rPr>
        <w:t xml:space="preserve">nspections </w:t>
      </w:r>
      <w:r>
        <w:rPr>
          <w:rFonts w:cs="Times New Roman"/>
          <w:bCs/>
          <w:szCs w:val="24"/>
          <w:lang w:eastAsia="en-AU"/>
        </w:rPr>
        <w:t xml:space="preserve">of licensed activities follow </w:t>
      </w:r>
      <w:r w:rsidRPr="00A9092B">
        <w:rPr>
          <w:rFonts w:cs="Times New Roman"/>
          <w:bCs/>
          <w:szCs w:val="24"/>
          <w:lang w:eastAsia="en-AU"/>
        </w:rPr>
        <w:t>a three</w:t>
      </w:r>
      <w:r>
        <w:rPr>
          <w:rFonts w:cs="Times New Roman"/>
          <w:bCs/>
          <w:szCs w:val="24"/>
          <w:lang w:eastAsia="en-AU"/>
        </w:rPr>
        <w:t>-</w:t>
      </w:r>
      <w:r w:rsidRPr="00A9092B">
        <w:rPr>
          <w:rFonts w:cs="Times New Roman"/>
          <w:bCs/>
          <w:szCs w:val="24"/>
          <w:lang w:eastAsia="en-AU"/>
        </w:rPr>
        <w:t xml:space="preserve">year </w:t>
      </w:r>
      <w:r>
        <w:rPr>
          <w:rFonts w:cs="Times New Roman"/>
          <w:bCs/>
          <w:szCs w:val="24"/>
          <w:lang w:eastAsia="en-AU"/>
        </w:rPr>
        <w:t xml:space="preserve">schedule for facilities and a </w:t>
      </w:r>
      <w:r w:rsidR="008B162B">
        <w:rPr>
          <w:rFonts w:cs="Times New Roman"/>
          <w:bCs/>
          <w:szCs w:val="24"/>
          <w:lang w:eastAsia="en-AU"/>
        </w:rPr>
        <w:t>six</w:t>
      </w:r>
      <w:r>
        <w:rPr>
          <w:rFonts w:cs="Times New Roman"/>
          <w:bCs/>
          <w:szCs w:val="24"/>
          <w:lang w:eastAsia="en-AU"/>
        </w:rPr>
        <w:t xml:space="preserve">-year schedule for sources. The schedule identifies the scope of each inspection in terms of </w:t>
      </w:r>
      <w:r w:rsidR="004A0820">
        <w:rPr>
          <w:rStyle w:val="Hyperlink"/>
          <w:rFonts w:cs="Times New Roman"/>
          <w:bCs/>
          <w:szCs w:val="24"/>
          <w:lang w:eastAsia="en-AU"/>
        </w:rPr>
        <w:t>P</w:t>
      </w:r>
      <w:r w:rsidR="007A5AD0">
        <w:rPr>
          <w:rStyle w:val="Hyperlink"/>
          <w:rFonts w:cs="Times New Roman"/>
          <w:bCs/>
          <w:szCs w:val="24"/>
          <w:lang w:eastAsia="en-AU"/>
        </w:rPr>
        <w:t>erformance Objectives and Criteria (P</w:t>
      </w:r>
      <w:r w:rsidR="004A0820">
        <w:rPr>
          <w:rStyle w:val="Hyperlink"/>
          <w:rFonts w:cs="Times New Roman"/>
          <w:bCs/>
          <w:szCs w:val="24"/>
          <w:lang w:eastAsia="en-AU"/>
        </w:rPr>
        <w:t>O&amp;</w:t>
      </w:r>
      <w:r w:rsidR="007A5AD0">
        <w:rPr>
          <w:rStyle w:val="Hyperlink"/>
          <w:rFonts w:cs="Times New Roman"/>
          <w:bCs/>
          <w:szCs w:val="24"/>
          <w:lang w:eastAsia="en-AU"/>
        </w:rPr>
        <w:t>C)</w:t>
      </w:r>
      <w:r>
        <w:rPr>
          <w:rFonts w:cs="Times New Roman"/>
          <w:bCs/>
          <w:szCs w:val="24"/>
          <w:lang w:eastAsia="en-AU"/>
        </w:rPr>
        <w:t xml:space="preserve"> made available to licence holders via the ARPANSA website. These were developed based on international best practice to inform licence holders and the public of ARPANSA’s safety and security expectations</w:t>
      </w:r>
      <w:r w:rsidRPr="00E561F8">
        <w:rPr>
          <w:rFonts w:cs="Times New Roman"/>
          <w:bCs/>
          <w:szCs w:val="24"/>
          <w:lang w:eastAsia="en-AU"/>
        </w:rPr>
        <w:t xml:space="preserve">. They </w:t>
      </w:r>
      <w:r w:rsidRPr="00E561F8">
        <w:rPr>
          <w:rFonts w:eastAsia="Times New Roman" w:cs="Times New Roman"/>
          <w:color w:val="000000"/>
          <w:szCs w:val="24"/>
          <w:shd w:val="clear" w:color="auto" w:fill="FFFFFF"/>
        </w:rPr>
        <w:t>provide a comprehensive list of features, controls and behaviours that contribute to safety</w:t>
      </w:r>
      <w:r>
        <w:rPr>
          <w:rFonts w:eastAsia="Times New Roman" w:cs="Times New Roman"/>
          <w:color w:val="000000"/>
          <w:szCs w:val="24"/>
          <w:shd w:val="clear" w:color="auto" w:fill="FFFFFF"/>
        </w:rPr>
        <w:t>,</w:t>
      </w:r>
      <w:r w:rsidRPr="00926A7B">
        <w:rPr>
          <w:rFonts w:cs="Times New Roman"/>
          <w:bCs/>
          <w:szCs w:val="24"/>
          <w:lang w:eastAsia="en-AU"/>
        </w:rPr>
        <w:t xml:space="preserve"> arranged into eight baseline modules and three cross cutting modules</w:t>
      </w:r>
      <w:r w:rsidRPr="00E561F8">
        <w:rPr>
          <w:rFonts w:cs="Times New Roman"/>
          <w:bCs/>
          <w:szCs w:val="24"/>
          <w:lang w:eastAsia="en-AU"/>
        </w:rPr>
        <w:t>.</w:t>
      </w:r>
    </w:p>
    <w:p w14:paraId="5B2483F9" w14:textId="3673D573" w:rsidR="00592621" w:rsidRPr="00A9092B" w:rsidRDefault="00592621" w:rsidP="00592621">
      <w:pPr>
        <w:autoSpaceDE w:val="0"/>
        <w:autoSpaceDN w:val="0"/>
        <w:adjustRightInd w:val="0"/>
        <w:spacing w:after="120"/>
        <w:rPr>
          <w:rFonts w:cs="Times New Roman"/>
          <w:bCs/>
          <w:szCs w:val="24"/>
          <w:lang w:eastAsia="en-AU"/>
        </w:rPr>
      </w:pPr>
      <w:r>
        <w:rPr>
          <w:rFonts w:cs="Times New Roman"/>
          <w:bCs/>
          <w:szCs w:val="24"/>
          <w:lang w:eastAsia="en-AU"/>
        </w:rPr>
        <w:t xml:space="preserve">Publishing the </w:t>
      </w:r>
      <w:r w:rsidR="004A0820">
        <w:rPr>
          <w:rFonts w:cs="Times New Roman"/>
          <w:bCs/>
          <w:szCs w:val="24"/>
          <w:lang w:eastAsia="en-AU"/>
        </w:rPr>
        <w:t>PO&amp;C</w:t>
      </w:r>
      <w:r w:rsidR="00F7097C">
        <w:rPr>
          <w:rFonts w:cs="Times New Roman"/>
          <w:bCs/>
          <w:szCs w:val="24"/>
          <w:lang w:eastAsia="en-AU"/>
        </w:rPr>
        <w:t xml:space="preserve"> increased</w:t>
      </w:r>
      <w:r>
        <w:rPr>
          <w:rFonts w:cs="Times New Roman"/>
          <w:bCs/>
          <w:szCs w:val="24"/>
          <w:lang w:eastAsia="en-AU"/>
        </w:rPr>
        <w:t xml:space="preserve"> ARPANSA’s transparency and, together with </w:t>
      </w:r>
      <w:r w:rsidR="00282ED2">
        <w:rPr>
          <w:rFonts w:cs="Times New Roman"/>
          <w:bCs/>
          <w:szCs w:val="24"/>
          <w:lang w:eastAsia="en-AU"/>
        </w:rPr>
        <w:t xml:space="preserve">an inspection </w:t>
      </w:r>
      <w:r>
        <w:rPr>
          <w:rFonts w:cs="Times New Roman"/>
          <w:bCs/>
          <w:szCs w:val="24"/>
          <w:lang w:eastAsia="en-AU"/>
        </w:rPr>
        <w:t>schedule</w:t>
      </w:r>
      <w:r w:rsidR="00282ED2">
        <w:rPr>
          <w:rFonts w:cs="Times New Roman"/>
          <w:bCs/>
          <w:szCs w:val="24"/>
          <w:lang w:eastAsia="en-AU"/>
        </w:rPr>
        <w:t xml:space="preserve"> that identifies </w:t>
      </w:r>
      <w:r w:rsidR="00C2709D">
        <w:rPr>
          <w:rFonts w:cs="Times New Roman"/>
          <w:bCs/>
          <w:szCs w:val="24"/>
          <w:lang w:eastAsia="en-AU"/>
        </w:rPr>
        <w:t xml:space="preserve">PO&amp;C </w:t>
      </w:r>
      <w:r w:rsidR="00282ED2">
        <w:rPr>
          <w:rFonts w:cs="Times New Roman"/>
          <w:bCs/>
          <w:szCs w:val="24"/>
          <w:lang w:eastAsia="en-AU"/>
        </w:rPr>
        <w:t>areas to be inspected</w:t>
      </w:r>
      <w:r>
        <w:rPr>
          <w:rFonts w:cs="Times New Roman"/>
          <w:bCs/>
          <w:szCs w:val="24"/>
          <w:lang w:eastAsia="en-AU"/>
        </w:rPr>
        <w:t>, allows the licence holder to prepare for an inspection. The s</w:t>
      </w:r>
      <w:r w:rsidRPr="00A9092B">
        <w:rPr>
          <w:rFonts w:cs="Times New Roman"/>
          <w:bCs/>
          <w:szCs w:val="24"/>
          <w:lang w:eastAsia="en-AU"/>
        </w:rPr>
        <w:t>pecific date</w:t>
      </w:r>
      <w:r w:rsidR="00C2709D">
        <w:rPr>
          <w:rFonts w:cs="Times New Roman"/>
          <w:bCs/>
          <w:szCs w:val="24"/>
          <w:lang w:eastAsia="en-AU"/>
        </w:rPr>
        <w:t xml:space="preserve"> and a schedule of activities</w:t>
      </w:r>
      <w:r w:rsidRPr="00A9092B">
        <w:rPr>
          <w:rFonts w:cs="Times New Roman"/>
          <w:bCs/>
          <w:szCs w:val="24"/>
          <w:lang w:eastAsia="en-AU"/>
        </w:rPr>
        <w:t xml:space="preserve"> for inspection</w:t>
      </w:r>
      <w:r>
        <w:rPr>
          <w:rFonts w:cs="Times New Roman"/>
          <w:bCs/>
          <w:szCs w:val="24"/>
          <w:lang w:eastAsia="en-AU"/>
        </w:rPr>
        <w:t>s</w:t>
      </w:r>
      <w:r w:rsidRPr="00A9092B">
        <w:rPr>
          <w:rFonts w:cs="Times New Roman"/>
          <w:bCs/>
          <w:szCs w:val="24"/>
          <w:lang w:eastAsia="en-AU"/>
        </w:rPr>
        <w:t xml:space="preserve"> </w:t>
      </w:r>
      <w:r>
        <w:rPr>
          <w:rFonts w:cs="Times New Roman"/>
          <w:bCs/>
          <w:szCs w:val="24"/>
          <w:lang w:eastAsia="en-AU"/>
        </w:rPr>
        <w:t>is</w:t>
      </w:r>
      <w:r w:rsidRPr="00A9092B">
        <w:rPr>
          <w:rFonts w:cs="Times New Roman"/>
          <w:bCs/>
          <w:szCs w:val="24"/>
          <w:lang w:eastAsia="en-AU"/>
        </w:rPr>
        <w:t xml:space="preserve"> </w:t>
      </w:r>
      <w:r w:rsidR="00F7097C">
        <w:rPr>
          <w:rFonts w:cs="Times New Roman"/>
          <w:bCs/>
          <w:szCs w:val="24"/>
          <w:lang w:eastAsia="en-AU"/>
        </w:rPr>
        <w:t xml:space="preserve">then </w:t>
      </w:r>
      <w:r w:rsidRPr="00A9092B">
        <w:rPr>
          <w:rFonts w:cs="Times New Roman"/>
          <w:bCs/>
          <w:szCs w:val="24"/>
          <w:lang w:eastAsia="en-AU"/>
        </w:rPr>
        <w:t xml:space="preserve">agreed with </w:t>
      </w:r>
      <w:r>
        <w:rPr>
          <w:rFonts w:cs="Times New Roman"/>
          <w:bCs/>
          <w:szCs w:val="24"/>
          <w:lang w:eastAsia="en-AU"/>
        </w:rPr>
        <w:t>the licence holder</w:t>
      </w:r>
      <w:r w:rsidRPr="00A9092B">
        <w:rPr>
          <w:rFonts w:cs="Times New Roman"/>
          <w:bCs/>
          <w:szCs w:val="24"/>
          <w:lang w:eastAsia="en-AU"/>
        </w:rPr>
        <w:t xml:space="preserve"> well in advance</w:t>
      </w:r>
      <w:r>
        <w:rPr>
          <w:rFonts w:cs="Times New Roman"/>
          <w:bCs/>
          <w:szCs w:val="24"/>
          <w:lang w:eastAsia="en-AU"/>
        </w:rPr>
        <w:t xml:space="preserve"> of the</w:t>
      </w:r>
      <w:r w:rsidR="00284FB4">
        <w:rPr>
          <w:rFonts w:cs="Times New Roman"/>
          <w:bCs/>
          <w:szCs w:val="24"/>
          <w:lang w:eastAsia="en-AU"/>
        </w:rPr>
        <w:t xml:space="preserve"> </w:t>
      </w:r>
      <w:r w:rsidRPr="00A9092B">
        <w:rPr>
          <w:rFonts w:cs="Times New Roman"/>
          <w:bCs/>
          <w:szCs w:val="24"/>
          <w:lang w:eastAsia="en-AU"/>
        </w:rPr>
        <w:t>two</w:t>
      </w:r>
      <w:r>
        <w:rPr>
          <w:rFonts w:cs="Times New Roman"/>
          <w:bCs/>
          <w:szCs w:val="24"/>
          <w:lang w:eastAsia="en-AU"/>
        </w:rPr>
        <w:t>-</w:t>
      </w:r>
      <w:r w:rsidRPr="00A9092B">
        <w:rPr>
          <w:rFonts w:cs="Times New Roman"/>
          <w:bCs/>
          <w:szCs w:val="24"/>
          <w:lang w:eastAsia="en-AU"/>
        </w:rPr>
        <w:t>week formal noti</w:t>
      </w:r>
      <w:r>
        <w:rPr>
          <w:rFonts w:cs="Times New Roman"/>
          <w:bCs/>
          <w:szCs w:val="24"/>
          <w:lang w:eastAsia="en-AU"/>
        </w:rPr>
        <w:t xml:space="preserve">fication </w:t>
      </w:r>
      <w:r w:rsidRPr="00A9092B">
        <w:rPr>
          <w:rFonts w:cs="Times New Roman"/>
          <w:bCs/>
          <w:szCs w:val="24"/>
          <w:lang w:eastAsia="en-AU"/>
        </w:rPr>
        <w:t xml:space="preserve">period. Conformance to the inspection schedule is monitored. </w:t>
      </w:r>
    </w:p>
    <w:p w14:paraId="33D7A547" w14:textId="3AC8A9A0" w:rsidR="00592621" w:rsidRPr="00F7097C" w:rsidRDefault="00592621" w:rsidP="00592621">
      <w:pPr>
        <w:spacing w:after="120"/>
      </w:pPr>
      <w:r>
        <w:rPr>
          <w:rFonts w:cs="Times New Roman"/>
          <w:bCs/>
          <w:szCs w:val="24"/>
          <w:lang w:eastAsia="en-AU"/>
        </w:rPr>
        <w:lastRenderedPageBreak/>
        <w:t>F</w:t>
      </w:r>
      <w:r w:rsidRPr="00A9092B">
        <w:rPr>
          <w:rFonts w:cs="Times New Roman"/>
          <w:bCs/>
          <w:szCs w:val="24"/>
          <w:lang w:eastAsia="en-AU"/>
        </w:rPr>
        <w:t xml:space="preserve">ees </w:t>
      </w:r>
      <w:r>
        <w:rPr>
          <w:rFonts w:cs="Times New Roman"/>
          <w:bCs/>
          <w:szCs w:val="24"/>
          <w:lang w:eastAsia="en-AU"/>
        </w:rPr>
        <w:t xml:space="preserve">and charges </w:t>
      </w:r>
      <w:r w:rsidRPr="00A9092B">
        <w:rPr>
          <w:rFonts w:cs="Times New Roman"/>
          <w:bCs/>
          <w:szCs w:val="24"/>
          <w:lang w:eastAsia="en-AU"/>
        </w:rPr>
        <w:t xml:space="preserve">are set </w:t>
      </w:r>
      <w:r>
        <w:rPr>
          <w:rFonts w:cs="Times New Roman"/>
          <w:bCs/>
          <w:szCs w:val="24"/>
          <w:lang w:eastAsia="en-AU"/>
        </w:rPr>
        <w:t>in</w:t>
      </w:r>
      <w:r w:rsidRPr="00A9092B">
        <w:rPr>
          <w:rFonts w:cs="Times New Roman"/>
          <w:bCs/>
          <w:szCs w:val="24"/>
          <w:lang w:eastAsia="en-AU"/>
        </w:rPr>
        <w:t xml:space="preserve"> </w:t>
      </w:r>
      <w:r>
        <w:rPr>
          <w:rFonts w:cs="Times New Roman"/>
          <w:bCs/>
          <w:szCs w:val="24"/>
          <w:lang w:eastAsia="en-AU"/>
        </w:rPr>
        <w:t>legislation</w:t>
      </w:r>
      <w:r w:rsidRPr="00A9092B">
        <w:rPr>
          <w:rFonts w:cs="Times New Roman"/>
          <w:bCs/>
          <w:szCs w:val="24"/>
          <w:lang w:eastAsia="en-AU"/>
        </w:rPr>
        <w:t xml:space="preserve">. To </w:t>
      </w:r>
      <w:r>
        <w:rPr>
          <w:rFonts w:cs="Times New Roman"/>
          <w:bCs/>
          <w:szCs w:val="24"/>
          <w:lang w:eastAsia="en-AU"/>
        </w:rPr>
        <w:t>ensure that</w:t>
      </w:r>
      <w:r w:rsidRPr="00A9092B">
        <w:rPr>
          <w:rFonts w:cs="Times New Roman"/>
          <w:bCs/>
          <w:szCs w:val="24"/>
          <w:lang w:eastAsia="en-AU"/>
        </w:rPr>
        <w:t xml:space="preserve"> </w:t>
      </w:r>
      <w:r w:rsidR="00F7097C">
        <w:rPr>
          <w:rFonts w:cs="Times New Roman"/>
          <w:bCs/>
          <w:szCs w:val="24"/>
          <w:lang w:eastAsia="en-AU"/>
        </w:rPr>
        <w:t xml:space="preserve">any </w:t>
      </w:r>
      <w:r w:rsidRPr="00A9092B">
        <w:rPr>
          <w:rFonts w:cs="Times New Roman"/>
          <w:bCs/>
          <w:szCs w:val="24"/>
          <w:lang w:eastAsia="en-AU"/>
        </w:rPr>
        <w:t xml:space="preserve">financial impact to </w:t>
      </w:r>
      <w:r>
        <w:rPr>
          <w:rFonts w:cs="Times New Roman"/>
          <w:bCs/>
          <w:szCs w:val="24"/>
          <w:lang w:eastAsia="en-AU"/>
        </w:rPr>
        <w:t>a licence holder is fair and appropriate</w:t>
      </w:r>
      <w:r w:rsidRPr="00A9092B">
        <w:rPr>
          <w:rFonts w:cs="Times New Roman"/>
          <w:bCs/>
          <w:szCs w:val="24"/>
          <w:lang w:eastAsia="en-AU"/>
        </w:rPr>
        <w:t xml:space="preserve">, </w:t>
      </w:r>
      <w:r w:rsidRPr="00A9092B">
        <w:t xml:space="preserve">ARPANSA </w:t>
      </w:r>
      <w:r w:rsidR="00300784">
        <w:t>is undertaking</w:t>
      </w:r>
      <w:r>
        <w:t xml:space="preserve"> a cost recovery project</w:t>
      </w:r>
      <w:r w:rsidRPr="00A9092B">
        <w:t xml:space="preserve"> to </w:t>
      </w:r>
      <w:r>
        <w:t>ensure that</w:t>
      </w:r>
      <w:r w:rsidRPr="00A9092B">
        <w:t xml:space="preserve"> financial burden on </w:t>
      </w:r>
      <w:r>
        <w:t>licence holder</w:t>
      </w:r>
      <w:r w:rsidRPr="00A9092B">
        <w:t>s</w:t>
      </w:r>
      <w:r>
        <w:t xml:space="preserve"> is </w:t>
      </w:r>
      <w:r w:rsidRPr="00A9092B">
        <w:rPr>
          <w:rFonts w:cs="Times New Roman"/>
          <w:bCs/>
          <w:szCs w:val="24"/>
          <w:lang w:eastAsia="en-AU"/>
        </w:rPr>
        <w:t>proportionate to the cost of regulati</w:t>
      </w:r>
      <w:r>
        <w:rPr>
          <w:rFonts w:cs="Times New Roman"/>
          <w:bCs/>
          <w:szCs w:val="24"/>
          <w:lang w:eastAsia="en-AU"/>
        </w:rPr>
        <w:t>on</w:t>
      </w:r>
      <w:r w:rsidR="00DC67AC">
        <w:rPr>
          <w:rFonts w:cs="Times New Roman"/>
          <w:bCs/>
          <w:szCs w:val="24"/>
          <w:lang w:eastAsia="en-AU"/>
        </w:rPr>
        <w:t xml:space="preserve"> and that regulatory services are streamlined, efficient and effective</w:t>
      </w:r>
      <w:r>
        <w:t>.</w:t>
      </w:r>
      <w:r w:rsidRPr="00A9092B">
        <w:t xml:space="preserve"> The project aims to improve </w:t>
      </w:r>
      <w:r>
        <w:t>implementation of</w:t>
      </w:r>
      <w:r w:rsidR="00DC08B4">
        <w:t>, and</w:t>
      </w:r>
      <w:r>
        <w:t xml:space="preserve"> </w:t>
      </w:r>
      <w:r w:rsidR="00DC67AC">
        <w:t>meet the goals of</w:t>
      </w:r>
      <w:r w:rsidR="00DC08B4">
        <w:t>,</w:t>
      </w:r>
      <w:r w:rsidR="00DC67AC">
        <w:t xml:space="preserve"> </w:t>
      </w:r>
      <w:r w:rsidRPr="00A9092B">
        <w:t xml:space="preserve">the Australian Government </w:t>
      </w:r>
      <w:r w:rsidR="00DC67AC">
        <w:t>Charging Framework</w:t>
      </w:r>
      <w:r w:rsidRPr="00A9092B">
        <w:t xml:space="preserve">, </w:t>
      </w:r>
      <w:r w:rsidR="006545E6">
        <w:t>that</w:t>
      </w:r>
      <w:r w:rsidRPr="00A9092B">
        <w:t xml:space="preserve"> establish</w:t>
      </w:r>
      <w:r w:rsidR="00DC67AC">
        <w:t>es</w:t>
      </w:r>
      <w:r w:rsidRPr="00A9092B">
        <w:t xml:space="preserve"> that those who create the need for regulation should incur the costs.</w:t>
      </w:r>
      <w:r w:rsidR="00F7097C">
        <w:t xml:space="preserve"> </w:t>
      </w:r>
      <w:r w:rsidR="00703713">
        <w:t>The project has identified areas for improvement to the business and costing models of ARPANSA’s regulatory functions. The new cost recovery model will improve the transparency of ARPANSA’s charging regime and make annual charges more reliable and predictable for small and large licence holders.</w:t>
      </w:r>
    </w:p>
    <w:p w14:paraId="72EC5F7E" w14:textId="77777777" w:rsidR="00592621" w:rsidRDefault="00592621" w:rsidP="00592621">
      <w:pPr>
        <w:pStyle w:val="Heading3"/>
        <w:keepLines w:val="0"/>
        <w:spacing w:before="120" w:after="120" w:line="240" w:lineRule="auto"/>
        <w:jc w:val="both"/>
      </w:pPr>
      <w:bookmarkStart w:id="14" w:name="_Toc470173137"/>
      <w:r w:rsidRPr="00D629D3">
        <w:t>Approved evidence metrics for KPI 1</w:t>
      </w:r>
      <w:bookmarkEnd w:id="14"/>
    </w:p>
    <w:tbl>
      <w:tblPr>
        <w:tblStyle w:val="GenericARPANSA"/>
        <w:tblW w:w="9527" w:type="dxa"/>
        <w:tblInd w:w="0" w:type="dxa"/>
        <w:tblLook w:val="04A0" w:firstRow="1" w:lastRow="0" w:firstColumn="1" w:lastColumn="0" w:noHBand="0" w:noVBand="1"/>
      </w:tblPr>
      <w:tblGrid>
        <w:gridCol w:w="2381"/>
        <w:gridCol w:w="2379"/>
        <w:gridCol w:w="4767"/>
      </w:tblGrid>
      <w:tr w:rsidR="001709C9" w14:paraId="2E36BE4A" w14:textId="77777777" w:rsidTr="003C23B9">
        <w:trPr>
          <w:cnfStyle w:val="100000000000" w:firstRow="1" w:lastRow="0" w:firstColumn="0" w:lastColumn="0" w:oddVBand="0" w:evenVBand="0" w:oddHBand="0" w:evenHBand="0" w:firstRowFirstColumn="0" w:firstRowLastColumn="0" w:lastRowFirstColumn="0" w:lastRowLastColumn="0"/>
        </w:trPr>
        <w:tc>
          <w:tcPr>
            <w:tcW w:w="2381" w:type="dxa"/>
          </w:tcPr>
          <w:p w14:paraId="711868A5" w14:textId="77777777" w:rsidR="001709C9" w:rsidRDefault="001709C9" w:rsidP="00172661">
            <w:r>
              <w:t>Indicator</w:t>
            </w:r>
          </w:p>
        </w:tc>
        <w:tc>
          <w:tcPr>
            <w:tcW w:w="2379" w:type="dxa"/>
          </w:tcPr>
          <w:p w14:paraId="50737628" w14:textId="77777777" w:rsidR="001709C9" w:rsidRDefault="001709C9" w:rsidP="00172661">
            <w:r>
              <w:t>Evidence</w:t>
            </w:r>
          </w:p>
        </w:tc>
        <w:tc>
          <w:tcPr>
            <w:tcW w:w="4767" w:type="dxa"/>
          </w:tcPr>
          <w:p w14:paraId="7888ABE1" w14:textId="77777777" w:rsidR="001709C9" w:rsidRDefault="001709C9" w:rsidP="00172661">
            <w:r>
              <w:t>Comment</w:t>
            </w:r>
          </w:p>
        </w:tc>
      </w:tr>
      <w:tr w:rsidR="001709C9" w14:paraId="466ED2AB" w14:textId="77777777" w:rsidTr="003C23B9">
        <w:tc>
          <w:tcPr>
            <w:tcW w:w="2381" w:type="dxa"/>
            <w:vAlign w:val="top"/>
          </w:tcPr>
          <w:p w14:paraId="052EF7ED" w14:textId="77777777" w:rsidR="001709C9" w:rsidRDefault="001709C9" w:rsidP="001709C9">
            <w:pPr>
              <w:jc w:val="left"/>
            </w:pPr>
            <w:r w:rsidRPr="00486505">
              <w:rPr>
                <w:lang w:eastAsia="en-AU"/>
              </w:rPr>
              <w:t xml:space="preserve">PI 1.1 Percentage of inspections conducted in accordance with established inspection </w:t>
            </w:r>
            <w:r w:rsidRPr="00486505">
              <w:rPr>
                <w:lang w:eastAsia="en-AU"/>
              </w:rPr>
              <w:lastRenderedPageBreak/>
              <w:t>schedule (schedule adherence)</w:t>
            </w:r>
            <w:r>
              <w:rPr>
                <w:lang w:eastAsia="en-AU"/>
              </w:rPr>
              <w:t>.</w:t>
            </w:r>
          </w:p>
        </w:tc>
        <w:tc>
          <w:tcPr>
            <w:tcW w:w="2379" w:type="dxa"/>
            <w:vAlign w:val="top"/>
          </w:tcPr>
          <w:p w14:paraId="23F8BD4B" w14:textId="77777777" w:rsidR="00EB4F1B" w:rsidRDefault="004A5DAA" w:rsidP="00676422">
            <w:pPr>
              <w:jc w:val="left"/>
              <w:rPr>
                <w:lang w:eastAsia="en-AU"/>
              </w:rPr>
            </w:pPr>
            <w:r>
              <w:rPr>
                <w:noProof/>
                <w:lang w:eastAsia="en-AU"/>
              </w:rPr>
              <w:lastRenderedPageBreak/>
              <w:drawing>
                <wp:inline distT="0" distB="0" distL="0" distR="0" wp14:anchorId="13A2D2EA" wp14:editId="3B81D490">
                  <wp:extent cx="252000" cy="25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b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14:paraId="75E9E6CF" w14:textId="3BD2E06E" w:rsidR="001709C9" w:rsidRDefault="007243AA" w:rsidP="00676422">
            <w:pPr>
              <w:jc w:val="left"/>
            </w:pPr>
            <w:r>
              <w:rPr>
                <w:lang w:eastAsia="en-AU"/>
              </w:rPr>
              <w:t>86</w:t>
            </w:r>
            <w:r w:rsidR="001709C9" w:rsidRPr="00486505">
              <w:rPr>
                <w:lang w:eastAsia="en-AU"/>
              </w:rPr>
              <w:t xml:space="preserve">% of inspections in accordance with schedule – </w:t>
            </w:r>
            <w:r w:rsidR="00676422" w:rsidRPr="00486505">
              <w:rPr>
                <w:lang w:eastAsia="en-AU"/>
              </w:rPr>
              <w:t xml:space="preserve">significant </w:t>
            </w:r>
            <w:r w:rsidR="00676422" w:rsidRPr="00486505">
              <w:rPr>
                <w:lang w:eastAsia="en-AU"/>
              </w:rPr>
              <w:lastRenderedPageBreak/>
              <w:t xml:space="preserve">progress towards target </w:t>
            </w:r>
            <w:r w:rsidR="001709C9" w:rsidRPr="00486505">
              <w:rPr>
                <w:lang w:eastAsia="en-AU"/>
              </w:rPr>
              <w:t>(</w:t>
            </w:r>
            <w:r>
              <w:rPr>
                <w:lang w:eastAsia="en-AU"/>
              </w:rPr>
              <w:t>90%</w:t>
            </w:r>
            <w:r w:rsidR="001709C9" w:rsidRPr="00486505">
              <w:rPr>
                <w:lang w:eastAsia="en-AU"/>
              </w:rPr>
              <w:t>).</w:t>
            </w:r>
          </w:p>
        </w:tc>
        <w:tc>
          <w:tcPr>
            <w:tcW w:w="4767" w:type="dxa"/>
            <w:vAlign w:val="top"/>
          </w:tcPr>
          <w:p w14:paraId="29487761" w14:textId="0ACE8F06" w:rsidR="001709C9" w:rsidRDefault="007A4555" w:rsidP="007A4555">
            <w:pPr>
              <w:pStyle w:val="ListParagraph"/>
              <w:numPr>
                <w:ilvl w:val="0"/>
                <w:numId w:val="62"/>
              </w:numPr>
              <w:spacing w:before="60"/>
              <w:ind w:left="264" w:hanging="264"/>
              <w:jc w:val="left"/>
              <w:rPr>
                <w:lang w:eastAsia="en-AU"/>
              </w:rPr>
            </w:pPr>
            <w:r>
              <w:rPr>
                <w:lang w:eastAsia="en-AU"/>
              </w:rPr>
              <w:lastRenderedPageBreak/>
              <w:t>All d</w:t>
            </w:r>
            <w:r w:rsidR="001709C9" w:rsidRPr="00486505">
              <w:rPr>
                <w:lang w:eastAsia="en-AU"/>
              </w:rPr>
              <w:t xml:space="preserve">eviations from the </w:t>
            </w:r>
            <w:r w:rsidR="00C2709D">
              <w:rPr>
                <w:lang w:eastAsia="en-AU"/>
              </w:rPr>
              <w:t xml:space="preserve">inspection </w:t>
            </w:r>
            <w:r w:rsidR="001709C9" w:rsidRPr="00486505">
              <w:rPr>
                <w:lang w:eastAsia="en-AU"/>
              </w:rPr>
              <w:t xml:space="preserve">schedule were </w:t>
            </w:r>
            <w:r>
              <w:rPr>
                <w:lang w:eastAsia="en-AU"/>
              </w:rPr>
              <w:t xml:space="preserve">measured regardless of whether responsibility laid </w:t>
            </w:r>
            <w:r w:rsidR="00715CCE">
              <w:rPr>
                <w:lang w:eastAsia="en-AU"/>
              </w:rPr>
              <w:t>with</w:t>
            </w:r>
            <w:r w:rsidR="00445AFA">
              <w:rPr>
                <w:lang w:eastAsia="en-AU"/>
              </w:rPr>
              <w:t xml:space="preserve"> </w:t>
            </w:r>
            <w:r>
              <w:rPr>
                <w:lang w:eastAsia="en-AU"/>
              </w:rPr>
              <w:t>ARPANSA or the licence holder</w:t>
            </w:r>
            <w:r w:rsidR="001709C9">
              <w:rPr>
                <w:lang w:eastAsia="en-AU"/>
              </w:rPr>
              <w:t>.</w:t>
            </w:r>
          </w:p>
          <w:p w14:paraId="5C189888" w14:textId="1BDC2F84" w:rsidR="007A4555" w:rsidRDefault="007A4555" w:rsidP="007A4555">
            <w:pPr>
              <w:pStyle w:val="ListParagraph"/>
              <w:numPr>
                <w:ilvl w:val="0"/>
                <w:numId w:val="62"/>
              </w:numPr>
              <w:spacing w:before="60"/>
              <w:ind w:left="264" w:hanging="264"/>
              <w:jc w:val="left"/>
              <w:rPr>
                <w:lang w:eastAsia="en-AU"/>
              </w:rPr>
            </w:pPr>
            <w:r>
              <w:rPr>
                <w:lang w:eastAsia="en-AU"/>
              </w:rPr>
              <w:lastRenderedPageBreak/>
              <w:t xml:space="preserve">A value of </w:t>
            </w:r>
            <w:r w:rsidR="006E680B">
              <w:rPr>
                <w:lang w:eastAsia="en-AU"/>
              </w:rPr>
              <w:t>9</w:t>
            </w:r>
            <w:r w:rsidR="00DB7E28">
              <w:rPr>
                <w:lang w:eastAsia="en-AU"/>
              </w:rPr>
              <w:t>2</w:t>
            </w:r>
            <w:r>
              <w:rPr>
                <w:lang w:eastAsia="en-AU"/>
              </w:rPr>
              <w:t xml:space="preserve">% is recorded when factors outside of ARPANSA’s control </w:t>
            </w:r>
            <w:r w:rsidR="00445AFA">
              <w:rPr>
                <w:lang w:eastAsia="en-AU"/>
              </w:rPr>
              <w:t xml:space="preserve">are </w:t>
            </w:r>
            <w:r>
              <w:rPr>
                <w:lang w:eastAsia="en-AU"/>
              </w:rPr>
              <w:t>taken into account.</w:t>
            </w:r>
          </w:p>
          <w:p w14:paraId="36A08082" w14:textId="77777777" w:rsidR="007A4555" w:rsidRDefault="007A4555" w:rsidP="007A4555">
            <w:pPr>
              <w:jc w:val="left"/>
            </w:pPr>
          </w:p>
        </w:tc>
      </w:tr>
      <w:tr w:rsidR="007243AA" w14:paraId="7500A1F6" w14:textId="77777777" w:rsidTr="003C23B9">
        <w:trPr>
          <w:cnfStyle w:val="000000010000" w:firstRow="0" w:lastRow="0" w:firstColumn="0" w:lastColumn="0" w:oddVBand="0" w:evenVBand="0" w:oddHBand="0" w:evenHBand="1" w:firstRowFirstColumn="0" w:firstRowLastColumn="0" w:lastRowFirstColumn="0" w:lastRowLastColumn="0"/>
        </w:trPr>
        <w:tc>
          <w:tcPr>
            <w:tcW w:w="2381" w:type="dxa"/>
            <w:vAlign w:val="top"/>
          </w:tcPr>
          <w:p w14:paraId="2494C2FD" w14:textId="77777777" w:rsidR="007243AA" w:rsidRDefault="007243AA" w:rsidP="007243AA">
            <w:pPr>
              <w:jc w:val="left"/>
            </w:pPr>
            <w:r w:rsidRPr="00486505">
              <w:rPr>
                <w:lang w:eastAsia="en-AU"/>
              </w:rPr>
              <w:lastRenderedPageBreak/>
              <w:t>PI 1.2 Percentage of applications assessed within agreed licence holder expectations</w:t>
            </w:r>
            <w:r>
              <w:rPr>
                <w:lang w:eastAsia="en-AU"/>
              </w:rPr>
              <w:t>.</w:t>
            </w:r>
          </w:p>
        </w:tc>
        <w:tc>
          <w:tcPr>
            <w:tcW w:w="2379" w:type="dxa"/>
            <w:vAlign w:val="top"/>
          </w:tcPr>
          <w:p w14:paraId="09EE0122" w14:textId="60AB482F" w:rsidR="00263E57" w:rsidRDefault="004A5DAA" w:rsidP="007243AA">
            <w:pPr>
              <w:jc w:val="left"/>
              <w:rPr>
                <w:lang w:eastAsia="en-AU"/>
              </w:rPr>
            </w:pPr>
            <w:r>
              <w:rPr>
                <w:noProof/>
                <w:lang w:eastAsia="en-AU"/>
              </w:rPr>
              <w:drawing>
                <wp:inline distT="0" distB="0" distL="0" distR="0" wp14:anchorId="49312C68" wp14:editId="7E816CE4">
                  <wp:extent cx="252000" cy="25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b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14:paraId="7A0927B8" w14:textId="0C49E54A" w:rsidR="007243AA" w:rsidRDefault="007243AA" w:rsidP="007243AA">
            <w:pPr>
              <w:jc w:val="left"/>
            </w:pPr>
            <w:r>
              <w:rPr>
                <w:lang w:eastAsia="en-AU"/>
              </w:rPr>
              <w:t>79</w:t>
            </w:r>
            <w:r w:rsidRPr="00486505">
              <w:rPr>
                <w:lang w:eastAsia="en-AU"/>
              </w:rPr>
              <w:t>% of assessments within agreed timeframes – significant progress towards target (90%).</w:t>
            </w:r>
          </w:p>
        </w:tc>
        <w:tc>
          <w:tcPr>
            <w:tcW w:w="4767" w:type="dxa"/>
            <w:vAlign w:val="top"/>
          </w:tcPr>
          <w:p w14:paraId="4C45A671" w14:textId="77777777" w:rsidR="007A4555" w:rsidRDefault="007243AA" w:rsidP="007243AA">
            <w:pPr>
              <w:pStyle w:val="Tabletext"/>
              <w:numPr>
                <w:ilvl w:val="0"/>
                <w:numId w:val="18"/>
              </w:numPr>
              <w:spacing w:before="0" w:after="0"/>
              <w:ind w:left="303"/>
              <w:jc w:val="left"/>
              <w:rPr>
                <w:lang w:eastAsia="en-AU"/>
              </w:rPr>
            </w:pPr>
            <w:r w:rsidRPr="00486505">
              <w:rPr>
                <w:lang w:eastAsia="en-AU"/>
              </w:rPr>
              <w:t xml:space="preserve">Agreed timeframes were considered important, as they provide certainty to licence holders. </w:t>
            </w:r>
          </w:p>
          <w:p w14:paraId="270F2CC5" w14:textId="09E29937" w:rsidR="007243AA" w:rsidRPr="00486505" w:rsidRDefault="005720FA" w:rsidP="007243AA">
            <w:pPr>
              <w:pStyle w:val="Tabletext"/>
              <w:numPr>
                <w:ilvl w:val="0"/>
                <w:numId w:val="18"/>
              </w:numPr>
              <w:spacing w:before="0" w:after="0"/>
              <w:ind w:left="303"/>
              <w:jc w:val="left"/>
              <w:rPr>
                <w:lang w:eastAsia="en-AU"/>
              </w:rPr>
            </w:pPr>
            <w:r>
              <w:rPr>
                <w:lang w:eastAsia="en-AU"/>
              </w:rPr>
              <w:t xml:space="preserve">There has been a general improvement in the recording of performance data relating to applications since the </w:t>
            </w:r>
            <w:r w:rsidR="007F5E44">
              <w:rPr>
                <w:lang w:eastAsia="en-AU"/>
              </w:rPr>
              <w:t>2015-</w:t>
            </w:r>
            <w:r w:rsidR="007A4555">
              <w:rPr>
                <w:lang w:eastAsia="en-AU"/>
              </w:rPr>
              <w:t>16</w:t>
            </w:r>
            <w:r>
              <w:rPr>
                <w:lang w:eastAsia="en-AU"/>
              </w:rPr>
              <w:t xml:space="preserve"> report.</w:t>
            </w:r>
          </w:p>
          <w:p w14:paraId="0C3554BE" w14:textId="14D07426" w:rsidR="007243AA" w:rsidRDefault="007243AA" w:rsidP="00DD21F1">
            <w:pPr>
              <w:pStyle w:val="Tabletext"/>
              <w:numPr>
                <w:ilvl w:val="0"/>
                <w:numId w:val="18"/>
              </w:numPr>
              <w:spacing w:before="0" w:after="0"/>
              <w:ind w:left="303"/>
              <w:jc w:val="left"/>
            </w:pPr>
            <w:r w:rsidRPr="00486505">
              <w:rPr>
                <w:lang w:eastAsia="en-AU"/>
              </w:rPr>
              <w:t xml:space="preserve">The 90% target was too demanding due to uncertainties in the quality of </w:t>
            </w:r>
            <w:r w:rsidR="007A5AD0">
              <w:rPr>
                <w:lang w:eastAsia="en-AU"/>
              </w:rPr>
              <w:t xml:space="preserve">proponent’s </w:t>
            </w:r>
            <w:r w:rsidRPr="00486505">
              <w:rPr>
                <w:lang w:eastAsia="en-AU"/>
              </w:rPr>
              <w:t xml:space="preserve">application </w:t>
            </w:r>
            <w:r w:rsidR="00DD21F1">
              <w:rPr>
                <w:lang w:eastAsia="en-AU"/>
              </w:rPr>
              <w:t>that makes the</w:t>
            </w:r>
            <w:r w:rsidR="00DD21F1" w:rsidRPr="00486505">
              <w:rPr>
                <w:lang w:eastAsia="en-AU"/>
              </w:rPr>
              <w:t xml:space="preserve"> </w:t>
            </w:r>
            <w:r w:rsidRPr="00486505">
              <w:rPr>
                <w:lang w:eastAsia="en-AU"/>
              </w:rPr>
              <w:t>assessment process</w:t>
            </w:r>
            <w:r w:rsidR="00DD21F1">
              <w:rPr>
                <w:lang w:eastAsia="en-AU"/>
              </w:rPr>
              <w:t xml:space="preserve"> more time consuming</w:t>
            </w:r>
            <w:r w:rsidRPr="00486505">
              <w:rPr>
                <w:lang w:eastAsia="en-AU"/>
              </w:rPr>
              <w:t>. A target of 75% will be applied in the future.</w:t>
            </w:r>
          </w:p>
        </w:tc>
      </w:tr>
    </w:tbl>
    <w:p w14:paraId="34524943" w14:textId="77777777" w:rsidR="005720FA" w:rsidRPr="00B70C67" w:rsidRDefault="005720FA" w:rsidP="005720FA">
      <w:pPr>
        <w:pStyle w:val="Heading3"/>
        <w:keepLines w:val="0"/>
        <w:spacing w:before="200" w:after="120" w:line="240" w:lineRule="auto"/>
        <w:jc w:val="both"/>
        <w:rPr>
          <w:lang w:eastAsia="en-AU"/>
        </w:rPr>
      </w:pPr>
      <w:bookmarkStart w:id="15" w:name="_Toc470173138"/>
      <w:r w:rsidRPr="00A9092B">
        <w:rPr>
          <w:lang w:eastAsia="en-AU"/>
        </w:rPr>
        <w:t>Other evidence to indicate compliance with KPI 1</w:t>
      </w:r>
      <w:bookmarkEnd w:id="15"/>
    </w:p>
    <w:p w14:paraId="53D16296" w14:textId="23B7DEBD" w:rsidR="005720FA" w:rsidRDefault="005720FA" w:rsidP="005720FA">
      <w:pPr>
        <w:spacing w:after="120"/>
      </w:pPr>
      <w:r>
        <w:t>ARPANSA</w:t>
      </w:r>
      <w:r w:rsidRPr="00A9092B">
        <w:t>, th</w:t>
      </w:r>
      <w:r>
        <w:t>r</w:t>
      </w:r>
      <w:r w:rsidRPr="00A9092B">
        <w:t>ough</w:t>
      </w:r>
      <w:r>
        <w:t xml:space="preserve"> alignment with</w:t>
      </w:r>
      <w:r w:rsidRPr="00A9092B">
        <w:t xml:space="preserve"> international standards</w:t>
      </w:r>
      <w:r>
        <w:t>,</w:t>
      </w:r>
      <w:r w:rsidRPr="00A9092B">
        <w:t xml:space="preserve"> ensures that best practice regulation informs decision</w:t>
      </w:r>
      <w:r>
        <w:t>-</w:t>
      </w:r>
      <w:r w:rsidRPr="00A9092B">
        <w:t>making</w:t>
      </w:r>
      <w:r>
        <w:t xml:space="preserve"> and promotes regulatory certainty. The use</w:t>
      </w:r>
      <w:r w:rsidRPr="00A9092B">
        <w:t xml:space="preserve"> of international standards </w:t>
      </w:r>
      <w:r>
        <w:t>is important in meeting community expectations for nuclear and radiation safety and provides confidence in ARPANSA’s regulatory processes and outcomes. It</w:t>
      </w:r>
      <w:r w:rsidRPr="00A9092B">
        <w:t xml:space="preserve"> allows </w:t>
      </w:r>
      <w:r>
        <w:t>a licence holder</w:t>
      </w:r>
      <w:r w:rsidRPr="00A9092B">
        <w:t xml:space="preserve"> to adopt emerging technologies and facilitates the movement of </w:t>
      </w:r>
      <w:r>
        <w:t xml:space="preserve">knowledge and </w:t>
      </w:r>
      <w:r w:rsidRPr="00A9092B">
        <w:t>expertise internationally.</w:t>
      </w:r>
      <w:r w:rsidRPr="0047516F">
        <w:t xml:space="preserve"> </w:t>
      </w:r>
      <w:r>
        <w:t xml:space="preserve">To achieve this alignment, </w:t>
      </w:r>
      <w:r w:rsidRPr="00A9092B">
        <w:t xml:space="preserve">ARPANSA works closely with international organisations such as the International </w:t>
      </w:r>
      <w:r w:rsidRPr="00A9092B">
        <w:lastRenderedPageBreak/>
        <w:t>Atomic Energy Agency</w:t>
      </w:r>
      <w:r>
        <w:t xml:space="preserve"> (IAEA) and regulatory agencies in comparable OECD countries. ARPANSA staff are </w:t>
      </w:r>
      <w:r w:rsidR="00445AFA">
        <w:t xml:space="preserve">directly </w:t>
      </w:r>
      <w:r>
        <w:t>involved in the development of international safety</w:t>
      </w:r>
      <w:r w:rsidR="008C20DF">
        <w:t xml:space="preserve"> and security</w:t>
      </w:r>
      <w:r>
        <w:t xml:space="preserve"> </w:t>
      </w:r>
      <w:r w:rsidR="00445AFA">
        <w:t xml:space="preserve">requirements </w:t>
      </w:r>
      <w:r w:rsidR="008C20DF">
        <w:t>and guidance documents</w:t>
      </w:r>
      <w:r>
        <w:t xml:space="preserve">. </w:t>
      </w:r>
    </w:p>
    <w:p w14:paraId="22BFE6C4" w14:textId="37CFB6D2" w:rsidR="005720FA" w:rsidRDefault="005720FA" w:rsidP="005720FA">
      <w:pPr>
        <w:spacing w:after="120"/>
      </w:pPr>
      <w:r>
        <w:t xml:space="preserve">Using this approach, </w:t>
      </w:r>
      <w:r w:rsidRPr="006A296C">
        <w:t xml:space="preserve">ARPANSA </w:t>
      </w:r>
      <w:r w:rsidR="0034014E">
        <w:t>published</w:t>
      </w:r>
      <w:r w:rsidRPr="006A296C">
        <w:t xml:space="preserve"> </w:t>
      </w:r>
      <w:r w:rsidR="00C2709D">
        <w:t xml:space="preserve">additional </w:t>
      </w:r>
      <w:r w:rsidRPr="006A296C">
        <w:t>guid</w:t>
      </w:r>
      <w:r>
        <w:t>ance</w:t>
      </w:r>
      <w:r w:rsidRPr="006A296C">
        <w:t xml:space="preserve"> </w:t>
      </w:r>
      <w:r w:rsidR="004416FC">
        <w:t>in 2016-17</w:t>
      </w:r>
      <w:r w:rsidR="004416FC" w:rsidRPr="006A296C">
        <w:t xml:space="preserve"> </w:t>
      </w:r>
      <w:r w:rsidRPr="006A296C">
        <w:t>such as</w:t>
      </w:r>
      <w:r>
        <w:t xml:space="preserve"> a regulatory guide on </w:t>
      </w:r>
      <w:r w:rsidRPr="006A296C">
        <w:t>licen</w:t>
      </w:r>
      <w:r>
        <w:t>sing a facility for the</w:t>
      </w:r>
      <w:r w:rsidRPr="006A296C">
        <w:t xml:space="preserve"> dispos</w:t>
      </w:r>
      <w:r>
        <w:t>al</w:t>
      </w:r>
      <w:r w:rsidRPr="006A296C">
        <w:t xml:space="preserve"> or stor</w:t>
      </w:r>
      <w:r>
        <w:t>age of</w:t>
      </w:r>
      <w:r w:rsidRPr="006A296C">
        <w:t xml:space="preserve"> radioactive waste</w:t>
      </w:r>
      <w:r w:rsidR="0034014E">
        <w:t xml:space="preserve"> and </w:t>
      </w:r>
      <w:r>
        <w:t xml:space="preserve">an accompanying stakeholder information </w:t>
      </w:r>
      <w:r w:rsidR="00445AFA">
        <w:t>publication</w:t>
      </w:r>
      <w:r w:rsidR="0034014E">
        <w:t>. ARPANSA also published a major update on its guide for licence holder plans and arrangements</w:t>
      </w:r>
      <w:r w:rsidR="00445AFA">
        <w:t xml:space="preserve"> for managing safety,</w:t>
      </w:r>
      <w:r>
        <w:t xml:space="preserve"> </w:t>
      </w:r>
      <w:r w:rsidR="0034014E">
        <w:t>based on international standards</w:t>
      </w:r>
      <w:r>
        <w:t xml:space="preserve">. </w:t>
      </w:r>
    </w:p>
    <w:p w14:paraId="3704B19D" w14:textId="2E33F043" w:rsidR="005720FA" w:rsidRDefault="005720FA" w:rsidP="005720FA">
      <w:pPr>
        <w:spacing w:after="120"/>
      </w:pPr>
      <w:r>
        <w:t xml:space="preserve">ARPANSA has a consultative approach to the development of regulatory guides. This is subject to PI 5.2 </w:t>
      </w:r>
      <w:r w:rsidRPr="009A1B50">
        <w:t>(</w:t>
      </w:r>
      <w:hyperlink w:anchor="_KPI_5_–" w:history="1">
        <w:r w:rsidRPr="009A1B50">
          <w:rPr>
            <w:rStyle w:val="Hyperlink"/>
          </w:rPr>
          <w:t>See section 2.5</w:t>
        </w:r>
      </w:hyperlink>
      <w:r w:rsidRPr="009A1B50">
        <w:t>).</w:t>
      </w:r>
      <w:r>
        <w:t xml:space="preserve"> ARPANSA has published a wide range of </w:t>
      </w:r>
      <w:hyperlink r:id="rId15" w:history="1">
        <w:r w:rsidR="00C21524" w:rsidRPr="00C21524">
          <w:rPr>
            <w:rStyle w:val="Hyperlink"/>
          </w:rPr>
          <w:t>information for licence holders</w:t>
        </w:r>
      </w:hyperlink>
      <w:r w:rsidR="00C21524">
        <w:t xml:space="preserve"> </w:t>
      </w:r>
      <w:r w:rsidR="008C20DF">
        <w:t>that</w:t>
      </w:r>
      <w:r w:rsidR="00C21524">
        <w:t xml:space="preserve"> is publicly available on its </w:t>
      </w:r>
      <w:r w:rsidR="00DD0E94">
        <w:t>website</w:t>
      </w:r>
      <w:r w:rsidR="00C21524">
        <w:t xml:space="preserve">. </w:t>
      </w:r>
    </w:p>
    <w:p w14:paraId="4A1EA7A8" w14:textId="39AF1937" w:rsidR="005720FA" w:rsidRDefault="005720FA" w:rsidP="005720FA">
      <w:pPr>
        <w:spacing w:after="120"/>
      </w:pPr>
      <w:r>
        <w:t xml:space="preserve">Through the IAEA Integrated Regulatory Review Service (IRRS), ARPANSA’s regulatory processes </w:t>
      </w:r>
      <w:r w:rsidR="00DD0E94">
        <w:t>were</w:t>
      </w:r>
      <w:r>
        <w:t xml:space="preserve"> subject to </w:t>
      </w:r>
      <w:r w:rsidR="00DD0E94">
        <w:t xml:space="preserve">an </w:t>
      </w:r>
      <w:r>
        <w:t>international peer review</w:t>
      </w:r>
      <w:r w:rsidR="00C21524">
        <w:t xml:space="preserve"> in 2007</w:t>
      </w:r>
      <w:r w:rsidR="008E622E">
        <w:t xml:space="preserve"> </w:t>
      </w:r>
      <w:r w:rsidR="00806B3F">
        <w:t xml:space="preserve">(with follow-up in 2011) </w:t>
      </w:r>
      <w:r w:rsidR="008C20DF">
        <w:lastRenderedPageBreak/>
        <w:t>that</w:t>
      </w:r>
      <w:r w:rsidR="008E622E">
        <w:t xml:space="preserve"> set out to determine how closely ARPANSA’s regulatory service meets international standards</w:t>
      </w:r>
      <w:r>
        <w:t xml:space="preserve">. </w:t>
      </w:r>
      <w:r w:rsidR="00C21524">
        <w:t xml:space="preserve">Following </w:t>
      </w:r>
      <w:r w:rsidR="00445AFA">
        <w:t>established international practice</w:t>
      </w:r>
      <w:r w:rsidR="00C21524">
        <w:t xml:space="preserve"> that IRRS reviews</w:t>
      </w:r>
      <w:r w:rsidR="00635B63">
        <w:t xml:space="preserve"> (or similar peer reviews)</w:t>
      </w:r>
      <w:r w:rsidR="00C21524">
        <w:t xml:space="preserve"> should be conducted at approximately </w:t>
      </w:r>
      <w:r w:rsidR="008E622E">
        <w:t>ten-year</w:t>
      </w:r>
      <w:r w:rsidR="00C21524">
        <w:t xml:space="preserve"> intervals, a</w:t>
      </w:r>
      <w:r>
        <w:t xml:space="preserve"> second review is scheduled for 2018</w:t>
      </w:r>
      <w:r w:rsidR="00C21524">
        <w:t>.</w:t>
      </w:r>
      <w:r w:rsidR="0034014E">
        <w:t xml:space="preserve"> ARPANSA staff are currently undertaking a self-assessment of processes and practices against IRRS guidance</w:t>
      </w:r>
      <w:r>
        <w:t xml:space="preserve">. ARPANSA staff also participate in the IRRS review of other nuclear and radiation regulatory bodies. </w:t>
      </w:r>
      <w:r w:rsidRPr="00A14222">
        <w:t xml:space="preserve">This international cooperation helps to </w:t>
      </w:r>
      <w:r>
        <w:t xml:space="preserve">inform and streamline </w:t>
      </w:r>
      <w:r w:rsidRPr="00A14222">
        <w:t xml:space="preserve">ARPANSA’s </w:t>
      </w:r>
      <w:r>
        <w:t xml:space="preserve">approach to </w:t>
      </w:r>
      <w:r w:rsidRPr="00A14222">
        <w:t>regulat</w:t>
      </w:r>
      <w:r>
        <w:t>ion</w:t>
      </w:r>
      <w:r w:rsidRPr="00A14222">
        <w:t xml:space="preserve"> and embed good regulatory practices.</w:t>
      </w:r>
    </w:p>
    <w:p w14:paraId="1512A6C9" w14:textId="0F9C61C3" w:rsidR="005720FA" w:rsidRPr="00A9092B" w:rsidRDefault="005720FA" w:rsidP="005720FA">
      <w:pPr>
        <w:spacing w:after="120"/>
      </w:pPr>
      <w:r>
        <w:t xml:space="preserve">ARPANSA undertakes regular meetings, forums and site visits </w:t>
      </w:r>
      <w:r w:rsidRPr="006A296C">
        <w:t xml:space="preserve">to explain </w:t>
      </w:r>
      <w:r>
        <w:t>regulatory requirements</w:t>
      </w:r>
      <w:r w:rsidRPr="006A296C">
        <w:t xml:space="preserve"> to </w:t>
      </w:r>
      <w:r>
        <w:t>licence holder representatives</w:t>
      </w:r>
      <w:r w:rsidRPr="006A296C">
        <w:t xml:space="preserve"> and to gain understanding of operation</w:t>
      </w:r>
      <w:r>
        <w:t xml:space="preserve">al needs. This informs the licence holder how ARPANSA conducts its regulatory business. During the reporting period, </w:t>
      </w:r>
      <w:r w:rsidR="0034014E">
        <w:t>32</w:t>
      </w:r>
      <w:r>
        <w:t xml:space="preserve"> information-sharing meetings and </w:t>
      </w:r>
      <w:r w:rsidR="0034014E">
        <w:t>60</w:t>
      </w:r>
      <w:r>
        <w:t xml:space="preserve"> site visits </w:t>
      </w:r>
      <w:r w:rsidR="0034014E">
        <w:t xml:space="preserve">to facilities </w:t>
      </w:r>
      <w:r>
        <w:t xml:space="preserve">were </w:t>
      </w:r>
      <w:r w:rsidR="0034014E">
        <w:t xml:space="preserve">undertaken. </w:t>
      </w:r>
      <w:r w:rsidR="00DD0E94">
        <w:t xml:space="preserve">Ninety </w:t>
      </w:r>
      <w:r w:rsidR="0034014E">
        <w:t>licence hold</w:t>
      </w:r>
      <w:r w:rsidR="00BD1F1E">
        <w:t>er</w:t>
      </w:r>
      <w:r w:rsidR="0034014E">
        <w:t xml:space="preserve"> </w:t>
      </w:r>
      <w:r w:rsidR="00BD1F1E">
        <w:t xml:space="preserve">staff </w:t>
      </w:r>
      <w:r w:rsidR="0034014E">
        <w:t xml:space="preserve">attended ARPANSA’s </w:t>
      </w:r>
      <w:r w:rsidR="0034014E">
        <w:lastRenderedPageBreak/>
        <w:t xml:space="preserve">annual licence holder forum </w:t>
      </w:r>
      <w:r w:rsidR="008C20DF">
        <w:t>that</w:t>
      </w:r>
      <w:r w:rsidR="0034014E">
        <w:t xml:space="preserve"> took place in June </w:t>
      </w:r>
      <w:r w:rsidR="00F40690">
        <w:t xml:space="preserve">2017 </w:t>
      </w:r>
      <w:r w:rsidR="0034014E">
        <w:t>at the Australian National University</w:t>
      </w:r>
      <w:r w:rsidR="008C20DF">
        <w:t xml:space="preserve"> in Canberra</w:t>
      </w:r>
      <w:r w:rsidR="0034014E">
        <w:t>.</w:t>
      </w:r>
    </w:p>
    <w:p w14:paraId="07951CD4" w14:textId="77777777" w:rsidR="005720FA" w:rsidRDefault="005720FA" w:rsidP="005720FA">
      <w:pPr>
        <w:pStyle w:val="Heading3"/>
        <w:keepLines w:val="0"/>
        <w:spacing w:before="120" w:after="120" w:line="240" w:lineRule="auto"/>
        <w:jc w:val="both"/>
        <w:rPr>
          <w:lang w:eastAsia="en-AU"/>
        </w:rPr>
      </w:pPr>
      <w:bookmarkStart w:id="16" w:name="_Toc470173139"/>
      <w:r>
        <w:rPr>
          <w:lang w:eastAsia="en-AU"/>
        </w:rPr>
        <w:t>Analysis of evidence presented</w:t>
      </w:r>
      <w:bookmarkEnd w:id="16"/>
    </w:p>
    <w:p w14:paraId="7E7FA024" w14:textId="77777777" w:rsidR="005720FA" w:rsidRDefault="005720FA" w:rsidP="005720FA">
      <w:pPr>
        <w:spacing w:after="120"/>
      </w:pPr>
      <w:r>
        <w:t>These two PIs only partially capture the potential impact of regulation on the efficient operation of regulated entities.</w:t>
      </w:r>
    </w:p>
    <w:p w14:paraId="012F8EF3" w14:textId="3F7EEC5E" w:rsidR="005720FA" w:rsidRDefault="005720FA" w:rsidP="005720FA">
      <w:pPr>
        <w:spacing w:after="120"/>
        <w:rPr>
          <w:rFonts w:cs="Arial"/>
          <w:szCs w:val="24"/>
        </w:rPr>
      </w:pPr>
      <w:r w:rsidRPr="00710B07">
        <w:rPr>
          <w:b/>
        </w:rPr>
        <w:t>PI 1.1</w:t>
      </w:r>
      <w:r w:rsidRPr="00A9092B">
        <w:t xml:space="preserve"> </w:t>
      </w:r>
      <w:r w:rsidRPr="00A9092B">
        <w:rPr>
          <w:rFonts w:cs="Arial"/>
          <w:szCs w:val="24"/>
        </w:rPr>
        <w:t>measure</w:t>
      </w:r>
      <w:r>
        <w:rPr>
          <w:rFonts w:cs="Arial"/>
          <w:szCs w:val="24"/>
        </w:rPr>
        <w:t>s adherence to inspection schedules.</w:t>
      </w:r>
      <w:r w:rsidRPr="00A9092B">
        <w:rPr>
          <w:rFonts w:cs="Arial"/>
          <w:szCs w:val="24"/>
        </w:rPr>
        <w:t xml:space="preserve"> </w:t>
      </w:r>
      <w:r w:rsidR="00353FCC">
        <w:rPr>
          <w:rFonts w:cs="Arial"/>
          <w:szCs w:val="24"/>
        </w:rPr>
        <w:t xml:space="preserve">The target of 90% is associated with, and locked into </w:t>
      </w:r>
      <w:r w:rsidR="00DD0E94">
        <w:rPr>
          <w:rFonts w:cs="Arial"/>
          <w:szCs w:val="24"/>
        </w:rPr>
        <w:t>Parliamentary Budget Statement (</w:t>
      </w:r>
      <w:r w:rsidR="00353FCC">
        <w:rPr>
          <w:rFonts w:cs="Arial"/>
          <w:szCs w:val="24"/>
        </w:rPr>
        <w:t>PBS</w:t>
      </w:r>
      <w:r w:rsidR="00DD0E94">
        <w:rPr>
          <w:rFonts w:cs="Arial"/>
          <w:szCs w:val="24"/>
        </w:rPr>
        <w:t>)</w:t>
      </w:r>
      <w:r w:rsidR="00353FCC">
        <w:rPr>
          <w:rFonts w:cs="Arial"/>
          <w:szCs w:val="24"/>
        </w:rPr>
        <w:t xml:space="preserve"> reporting, and was known to be highly demanding. From 1 July 2017 this target </w:t>
      </w:r>
      <w:r w:rsidR="008C20DF">
        <w:rPr>
          <w:rFonts w:cs="Arial"/>
          <w:szCs w:val="24"/>
        </w:rPr>
        <w:t>wa</w:t>
      </w:r>
      <w:r w:rsidR="00353FCC">
        <w:rPr>
          <w:rFonts w:cs="Arial"/>
          <w:szCs w:val="24"/>
        </w:rPr>
        <w:t xml:space="preserve">s reduced to 85%.  </w:t>
      </w:r>
      <w:r w:rsidR="00131881">
        <w:rPr>
          <w:rFonts w:cs="Arial"/>
          <w:szCs w:val="24"/>
        </w:rPr>
        <w:t>An</w:t>
      </w:r>
      <w:r w:rsidRPr="00A9092B">
        <w:rPr>
          <w:rFonts w:cs="Arial"/>
          <w:szCs w:val="24"/>
        </w:rPr>
        <w:t xml:space="preserve"> </w:t>
      </w:r>
      <w:r w:rsidR="00020655">
        <w:rPr>
          <w:rFonts w:cs="Arial"/>
          <w:szCs w:val="24"/>
        </w:rPr>
        <w:t>86</w:t>
      </w:r>
      <w:r w:rsidRPr="00A9092B">
        <w:rPr>
          <w:rFonts w:cs="Arial"/>
          <w:szCs w:val="24"/>
        </w:rPr>
        <w:t xml:space="preserve">% </w:t>
      </w:r>
      <w:r>
        <w:rPr>
          <w:rFonts w:cs="Arial"/>
          <w:szCs w:val="24"/>
        </w:rPr>
        <w:t xml:space="preserve">result </w:t>
      </w:r>
      <w:r w:rsidRPr="00A9092B">
        <w:rPr>
          <w:rFonts w:cs="Arial"/>
          <w:szCs w:val="24"/>
        </w:rPr>
        <w:t>reflects well on ARPANSA</w:t>
      </w:r>
      <w:r>
        <w:rPr>
          <w:rFonts w:cs="Arial"/>
          <w:szCs w:val="24"/>
        </w:rPr>
        <w:t>’s</w:t>
      </w:r>
      <w:r w:rsidRPr="00A9092B">
        <w:rPr>
          <w:rFonts w:cs="Arial"/>
          <w:szCs w:val="24"/>
        </w:rPr>
        <w:t xml:space="preserve"> performance in this area. </w:t>
      </w:r>
      <w:r w:rsidR="00DD0E94">
        <w:rPr>
          <w:rFonts w:cs="Arial"/>
          <w:szCs w:val="24"/>
        </w:rPr>
        <w:t xml:space="preserve">Twelve </w:t>
      </w:r>
      <w:r w:rsidR="004A30F6">
        <w:rPr>
          <w:rFonts w:cs="Arial"/>
          <w:szCs w:val="24"/>
        </w:rPr>
        <w:t xml:space="preserve">of 85 inspections were not conducted in accordance with the schedule. </w:t>
      </w:r>
      <w:r w:rsidR="00155B3B">
        <w:rPr>
          <w:rFonts w:cs="Arial"/>
          <w:szCs w:val="24"/>
        </w:rPr>
        <w:t xml:space="preserve">When </w:t>
      </w:r>
      <w:r w:rsidR="00564A25">
        <w:rPr>
          <w:rFonts w:cs="Arial"/>
          <w:szCs w:val="24"/>
        </w:rPr>
        <w:t xml:space="preserve">the number of inspections cancelled or </w:t>
      </w:r>
      <w:r w:rsidR="004A30F6">
        <w:rPr>
          <w:rFonts w:cs="Arial"/>
          <w:szCs w:val="24"/>
        </w:rPr>
        <w:t>postponed</w:t>
      </w:r>
      <w:r w:rsidR="00564A25">
        <w:rPr>
          <w:rFonts w:cs="Arial"/>
          <w:szCs w:val="24"/>
        </w:rPr>
        <w:t xml:space="preserve"> for justifiable reasons</w:t>
      </w:r>
      <w:r w:rsidR="009A4EDF">
        <w:rPr>
          <w:rFonts w:cs="Arial"/>
          <w:szCs w:val="24"/>
        </w:rPr>
        <w:t xml:space="preserve"> </w:t>
      </w:r>
      <w:r w:rsidR="00723A12">
        <w:rPr>
          <w:rFonts w:cs="Arial"/>
          <w:szCs w:val="24"/>
        </w:rPr>
        <w:t>(</w:t>
      </w:r>
      <w:r w:rsidR="00E41F29">
        <w:rPr>
          <w:rFonts w:cs="Arial"/>
          <w:szCs w:val="24"/>
        </w:rPr>
        <w:t xml:space="preserve">such as </w:t>
      </w:r>
      <w:r w:rsidR="004A30F6">
        <w:rPr>
          <w:rFonts w:cs="Arial"/>
          <w:szCs w:val="24"/>
        </w:rPr>
        <w:t>at the request of the operator</w:t>
      </w:r>
      <w:r w:rsidR="00723A12">
        <w:rPr>
          <w:rFonts w:cs="Arial"/>
          <w:szCs w:val="24"/>
        </w:rPr>
        <w:t>)</w:t>
      </w:r>
      <w:r w:rsidR="00FD6AD3">
        <w:rPr>
          <w:rFonts w:cs="Arial"/>
          <w:szCs w:val="24"/>
        </w:rPr>
        <w:t xml:space="preserve"> </w:t>
      </w:r>
      <w:r w:rsidR="00564A25">
        <w:rPr>
          <w:rFonts w:cs="Arial"/>
          <w:szCs w:val="24"/>
        </w:rPr>
        <w:t xml:space="preserve">is </w:t>
      </w:r>
      <w:r w:rsidR="00140D7D">
        <w:rPr>
          <w:rFonts w:cs="Arial"/>
          <w:szCs w:val="24"/>
        </w:rPr>
        <w:t>taken into</w:t>
      </w:r>
      <w:r w:rsidR="00155B3B">
        <w:rPr>
          <w:rFonts w:cs="Arial"/>
          <w:szCs w:val="24"/>
        </w:rPr>
        <w:t xml:space="preserve"> account</w:t>
      </w:r>
      <w:r w:rsidR="008C20DF">
        <w:rPr>
          <w:rFonts w:cs="Arial"/>
          <w:szCs w:val="24"/>
        </w:rPr>
        <w:t>,</w:t>
      </w:r>
      <w:r w:rsidR="00155B3B">
        <w:rPr>
          <w:rFonts w:cs="Arial"/>
          <w:szCs w:val="24"/>
        </w:rPr>
        <w:t xml:space="preserve"> the </w:t>
      </w:r>
      <w:r w:rsidR="00E41F29">
        <w:rPr>
          <w:rFonts w:cs="Arial"/>
          <w:szCs w:val="24"/>
        </w:rPr>
        <w:t>actual schedule adherence by ARPANSA</w:t>
      </w:r>
      <w:r w:rsidR="00155B3B">
        <w:rPr>
          <w:rFonts w:cs="Arial"/>
          <w:szCs w:val="24"/>
        </w:rPr>
        <w:t xml:space="preserve"> is 9</w:t>
      </w:r>
      <w:r w:rsidR="00DB7E28">
        <w:rPr>
          <w:rFonts w:cs="Arial"/>
          <w:szCs w:val="24"/>
        </w:rPr>
        <w:t>2</w:t>
      </w:r>
      <w:r w:rsidR="00155B3B">
        <w:rPr>
          <w:rFonts w:cs="Arial"/>
          <w:szCs w:val="24"/>
        </w:rPr>
        <w:t xml:space="preserve">%. </w:t>
      </w:r>
      <w:r>
        <w:rPr>
          <w:rFonts w:cs="Arial"/>
          <w:szCs w:val="24"/>
        </w:rPr>
        <w:t>D</w:t>
      </w:r>
      <w:r w:rsidRPr="00A9092B">
        <w:rPr>
          <w:rFonts w:cs="Arial"/>
          <w:szCs w:val="24"/>
        </w:rPr>
        <w:t>eviation</w:t>
      </w:r>
      <w:r>
        <w:rPr>
          <w:rFonts w:cs="Arial"/>
          <w:szCs w:val="24"/>
        </w:rPr>
        <w:t>s</w:t>
      </w:r>
      <w:r w:rsidR="00020655">
        <w:rPr>
          <w:rFonts w:cs="Arial"/>
          <w:szCs w:val="24"/>
        </w:rPr>
        <w:t xml:space="preserve"> </w:t>
      </w:r>
      <w:r w:rsidRPr="00A9092B">
        <w:rPr>
          <w:rFonts w:cs="Arial"/>
          <w:szCs w:val="24"/>
        </w:rPr>
        <w:t xml:space="preserve">from the schedule </w:t>
      </w:r>
      <w:r>
        <w:rPr>
          <w:rFonts w:cs="Arial"/>
          <w:szCs w:val="24"/>
        </w:rPr>
        <w:t>were</w:t>
      </w:r>
      <w:r w:rsidRPr="00A9092B">
        <w:rPr>
          <w:rFonts w:cs="Arial"/>
          <w:szCs w:val="24"/>
        </w:rPr>
        <w:t xml:space="preserve"> communicated to </w:t>
      </w:r>
      <w:r>
        <w:rPr>
          <w:rFonts w:cs="Arial"/>
          <w:szCs w:val="24"/>
        </w:rPr>
        <w:t>the licence holder</w:t>
      </w:r>
      <w:r w:rsidRPr="00A9092B">
        <w:rPr>
          <w:rFonts w:cs="Arial"/>
          <w:szCs w:val="24"/>
        </w:rPr>
        <w:t xml:space="preserve"> in advance with explanation</w:t>
      </w:r>
      <w:r w:rsidR="00723A12">
        <w:rPr>
          <w:rFonts w:cs="Arial"/>
          <w:szCs w:val="24"/>
        </w:rPr>
        <w:t>s</w:t>
      </w:r>
      <w:r w:rsidRPr="00A9092B">
        <w:rPr>
          <w:rFonts w:cs="Arial"/>
          <w:szCs w:val="24"/>
        </w:rPr>
        <w:t xml:space="preserve">. </w:t>
      </w:r>
      <w:r>
        <w:rPr>
          <w:rFonts w:cs="Arial"/>
          <w:szCs w:val="24"/>
        </w:rPr>
        <w:t xml:space="preserve">This is </w:t>
      </w:r>
      <w:r w:rsidRPr="00A9092B">
        <w:rPr>
          <w:rFonts w:cs="Arial"/>
          <w:szCs w:val="24"/>
        </w:rPr>
        <w:t>good practice</w:t>
      </w:r>
      <w:r>
        <w:rPr>
          <w:rFonts w:cs="Arial"/>
          <w:szCs w:val="24"/>
        </w:rPr>
        <w:t xml:space="preserve"> and demonstrates a commitment to </w:t>
      </w:r>
      <w:r w:rsidRPr="00A9092B">
        <w:rPr>
          <w:rFonts w:cs="Arial"/>
          <w:szCs w:val="24"/>
        </w:rPr>
        <w:t>the intent</w:t>
      </w:r>
      <w:r>
        <w:rPr>
          <w:rFonts w:cs="Arial"/>
          <w:szCs w:val="24"/>
        </w:rPr>
        <w:t xml:space="preserve"> of the</w:t>
      </w:r>
      <w:r w:rsidRPr="00A9092B">
        <w:rPr>
          <w:rFonts w:cs="Arial"/>
          <w:szCs w:val="24"/>
        </w:rPr>
        <w:t xml:space="preserve"> </w:t>
      </w:r>
      <w:r>
        <w:rPr>
          <w:rFonts w:cs="Arial"/>
          <w:szCs w:val="24"/>
        </w:rPr>
        <w:t xml:space="preserve">RPF, in </w:t>
      </w:r>
      <w:r>
        <w:rPr>
          <w:rFonts w:cs="Arial"/>
          <w:szCs w:val="24"/>
        </w:rPr>
        <w:lastRenderedPageBreak/>
        <w:t>terms of predictability and transparency of regulatory services</w:t>
      </w:r>
      <w:r w:rsidRPr="00A9092B">
        <w:rPr>
          <w:rFonts w:cs="Arial"/>
          <w:szCs w:val="24"/>
        </w:rPr>
        <w:t>.</w:t>
      </w:r>
    </w:p>
    <w:p w14:paraId="188BBC26" w14:textId="54800541" w:rsidR="005720FA" w:rsidRPr="00A9092B" w:rsidRDefault="00902DCD" w:rsidP="005720FA">
      <w:pPr>
        <w:spacing w:after="120"/>
        <w:rPr>
          <w:rFonts w:cs="Arial"/>
          <w:szCs w:val="24"/>
        </w:rPr>
      </w:pPr>
      <w:r>
        <w:rPr>
          <w:rFonts w:cs="Arial"/>
          <w:szCs w:val="24"/>
        </w:rPr>
        <w:t xml:space="preserve">From </w:t>
      </w:r>
      <w:r w:rsidR="00FA0F4A">
        <w:rPr>
          <w:rFonts w:cs="Arial"/>
          <w:szCs w:val="24"/>
        </w:rPr>
        <w:t>1 July 2017,</w:t>
      </w:r>
      <w:r>
        <w:rPr>
          <w:rFonts w:cs="Arial"/>
          <w:szCs w:val="24"/>
        </w:rPr>
        <w:t xml:space="preserve"> this PI </w:t>
      </w:r>
      <w:r w:rsidR="008C20DF">
        <w:rPr>
          <w:rFonts w:cs="Arial"/>
          <w:szCs w:val="24"/>
        </w:rPr>
        <w:t>was</w:t>
      </w:r>
      <w:r>
        <w:rPr>
          <w:rFonts w:cs="Arial"/>
          <w:szCs w:val="24"/>
        </w:rPr>
        <w:t xml:space="preserve"> formally </w:t>
      </w:r>
      <w:r w:rsidR="00BF7CF5">
        <w:rPr>
          <w:rFonts w:cs="Arial"/>
          <w:szCs w:val="24"/>
        </w:rPr>
        <w:t>updated</w:t>
      </w:r>
      <w:r>
        <w:rPr>
          <w:rFonts w:cs="Arial"/>
          <w:szCs w:val="24"/>
        </w:rPr>
        <w:t xml:space="preserve"> to include source licences rath</w:t>
      </w:r>
      <w:r w:rsidR="00727E67">
        <w:rPr>
          <w:rFonts w:cs="Arial"/>
          <w:szCs w:val="24"/>
        </w:rPr>
        <w:t>er than</w:t>
      </w:r>
      <w:r w:rsidR="008C20DF">
        <w:rPr>
          <w:rFonts w:cs="Arial"/>
          <w:szCs w:val="24"/>
        </w:rPr>
        <w:t xml:space="preserve"> just</w:t>
      </w:r>
      <w:r w:rsidR="00727E67">
        <w:rPr>
          <w:rFonts w:cs="Arial"/>
          <w:szCs w:val="24"/>
        </w:rPr>
        <w:t xml:space="preserve"> facility licences</w:t>
      </w:r>
      <w:r w:rsidR="005720FA">
        <w:rPr>
          <w:rFonts w:cs="Arial"/>
          <w:szCs w:val="24"/>
        </w:rPr>
        <w:t xml:space="preserve">. In practice, ARPANSA </w:t>
      </w:r>
      <w:r w:rsidR="00FA0F4A">
        <w:rPr>
          <w:rFonts w:cs="Arial"/>
          <w:szCs w:val="24"/>
        </w:rPr>
        <w:t>always</w:t>
      </w:r>
      <w:r w:rsidR="005720FA">
        <w:rPr>
          <w:rFonts w:cs="Arial"/>
          <w:szCs w:val="24"/>
        </w:rPr>
        <w:t xml:space="preserve"> include</w:t>
      </w:r>
      <w:r w:rsidR="00FA0F4A">
        <w:rPr>
          <w:rFonts w:cs="Arial"/>
          <w:szCs w:val="24"/>
        </w:rPr>
        <w:t>d</w:t>
      </w:r>
      <w:r w:rsidR="005720FA">
        <w:rPr>
          <w:rFonts w:cs="Arial"/>
          <w:szCs w:val="24"/>
        </w:rPr>
        <w:t xml:space="preserve"> source inspections</w:t>
      </w:r>
      <w:r w:rsidR="00FA0F4A">
        <w:rPr>
          <w:rFonts w:cs="Arial"/>
          <w:szCs w:val="24"/>
        </w:rPr>
        <w:t xml:space="preserve"> in this measure</w:t>
      </w:r>
      <w:r w:rsidR="00BF7CF5">
        <w:rPr>
          <w:rFonts w:cs="Arial"/>
          <w:szCs w:val="24"/>
        </w:rPr>
        <w:t xml:space="preserve"> </w:t>
      </w:r>
      <w:r w:rsidR="008C20DF">
        <w:rPr>
          <w:rFonts w:cs="Arial"/>
          <w:szCs w:val="24"/>
        </w:rPr>
        <w:t>that</w:t>
      </w:r>
      <w:r w:rsidR="004619C7">
        <w:rPr>
          <w:rFonts w:cs="Arial"/>
          <w:szCs w:val="24"/>
        </w:rPr>
        <w:t>,</w:t>
      </w:r>
      <w:r w:rsidR="00BF7CF5">
        <w:rPr>
          <w:rFonts w:cs="Arial"/>
          <w:szCs w:val="24"/>
        </w:rPr>
        <w:t xml:space="preserve"> unlike the </w:t>
      </w:r>
      <w:r w:rsidR="00FA0F4A">
        <w:rPr>
          <w:rFonts w:cs="Arial"/>
          <w:szCs w:val="24"/>
        </w:rPr>
        <w:t>three-year</w:t>
      </w:r>
      <w:r w:rsidR="00BF7CF5">
        <w:rPr>
          <w:rFonts w:cs="Arial"/>
          <w:szCs w:val="24"/>
        </w:rPr>
        <w:t xml:space="preserve"> facility schedule, operate over a </w:t>
      </w:r>
      <w:r w:rsidR="00FA0F4A">
        <w:rPr>
          <w:rFonts w:cs="Arial"/>
          <w:szCs w:val="24"/>
        </w:rPr>
        <w:t>six-year</w:t>
      </w:r>
      <w:r w:rsidR="00BF7CF5">
        <w:rPr>
          <w:rFonts w:cs="Arial"/>
          <w:szCs w:val="24"/>
        </w:rPr>
        <w:t xml:space="preserve"> inspection cycle</w:t>
      </w:r>
      <w:r w:rsidR="005720FA">
        <w:rPr>
          <w:rFonts w:cs="Arial"/>
          <w:szCs w:val="24"/>
        </w:rPr>
        <w:t xml:space="preserve">. Inspection frequencies </w:t>
      </w:r>
      <w:r w:rsidR="005720FA" w:rsidRPr="00A9092B">
        <w:rPr>
          <w:rFonts w:cs="Arial"/>
          <w:szCs w:val="24"/>
        </w:rPr>
        <w:t xml:space="preserve">range </w:t>
      </w:r>
      <w:r w:rsidR="005720FA">
        <w:rPr>
          <w:rFonts w:cs="Arial"/>
          <w:szCs w:val="24"/>
        </w:rPr>
        <w:t xml:space="preserve">from </w:t>
      </w:r>
      <w:r w:rsidR="00FA0F4A">
        <w:rPr>
          <w:rFonts w:cs="Arial"/>
          <w:szCs w:val="24"/>
        </w:rPr>
        <w:t xml:space="preserve">three per year </w:t>
      </w:r>
      <w:r w:rsidR="005720FA">
        <w:rPr>
          <w:rFonts w:cs="Arial"/>
          <w:szCs w:val="24"/>
        </w:rPr>
        <w:t xml:space="preserve">for the </w:t>
      </w:r>
      <w:r w:rsidR="00FA0F4A">
        <w:rPr>
          <w:rFonts w:cs="Arial"/>
          <w:szCs w:val="24"/>
        </w:rPr>
        <w:t xml:space="preserve">most </w:t>
      </w:r>
      <w:r w:rsidR="005720FA">
        <w:rPr>
          <w:rFonts w:cs="Arial"/>
          <w:szCs w:val="24"/>
        </w:rPr>
        <w:t xml:space="preserve">hazardous facilities to once every </w:t>
      </w:r>
      <w:r w:rsidR="00BF7CF5">
        <w:rPr>
          <w:rFonts w:cs="Arial"/>
          <w:szCs w:val="24"/>
        </w:rPr>
        <w:t xml:space="preserve">six </w:t>
      </w:r>
      <w:r w:rsidR="005720FA" w:rsidRPr="00A9092B">
        <w:rPr>
          <w:rFonts w:cs="Arial"/>
          <w:szCs w:val="24"/>
        </w:rPr>
        <w:t>year</w:t>
      </w:r>
      <w:r w:rsidR="005720FA">
        <w:rPr>
          <w:rFonts w:cs="Arial"/>
          <w:szCs w:val="24"/>
        </w:rPr>
        <w:t>s</w:t>
      </w:r>
      <w:r w:rsidR="005720FA" w:rsidRPr="00A9092B">
        <w:rPr>
          <w:rFonts w:cs="Arial"/>
          <w:szCs w:val="24"/>
        </w:rPr>
        <w:t xml:space="preserve"> for very low hazard sources</w:t>
      </w:r>
      <w:r w:rsidR="005720FA">
        <w:rPr>
          <w:rFonts w:cs="Arial"/>
          <w:szCs w:val="24"/>
        </w:rPr>
        <w:t xml:space="preserve">. </w:t>
      </w:r>
    </w:p>
    <w:p w14:paraId="43BDB64D" w14:textId="0D6618AC" w:rsidR="005720FA" w:rsidRPr="00B62B3D" w:rsidRDefault="00AD2B0F" w:rsidP="005720FA">
      <w:pPr>
        <w:spacing w:after="120"/>
        <w:rPr>
          <w:rFonts w:cs="Arial"/>
          <w:szCs w:val="24"/>
        </w:rPr>
      </w:pPr>
      <w:r>
        <w:rPr>
          <w:rFonts w:cs="Arial"/>
          <w:szCs w:val="24"/>
        </w:rPr>
        <w:t xml:space="preserve">Following a finding from the </w:t>
      </w:r>
      <w:r w:rsidR="007F5E44">
        <w:rPr>
          <w:rFonts w:cs="Arial"/>
          <w:szCs w:val="24"/>
        </w:rPr>
        <w:t>2015-16</w:t>
      </w:r>
      <w:r>
        <w:rPr>
          <w:rFonts w:cs="Arial"/>
          <w:szCs w:val="24"/>
        </w:rPr>
        <w:t xml:space="preserve"> self-assessment, RSB </w:t>
      </w:r>
      <w:r w:rsidR="00012656">
        <w:rPr>
          <w:rFonts w:cs="Arial"/>
          <w:szCs w:val="24"/>
        </w:rPr>
        <w:t xml:space="preserve">has </w:t>
      </w:r>
      <w:r>
        <w:rPr>
          <w:rFonts w:cs="Arial"/>
          <w:szCs w:val="24"/>
        </w:rPr>
        <w:t xml:space="preserve">standardised the review of risk ranking and corresponding adjustment of the inspection schedule. This </w:t>
      </w:r>
      <w:r w:rsidR="008C20DF">
        <w:rPr>
          <w:rFonts w:cs="Arial"/>
          <w:szCs w:val="24"/>
        </w:rPr>
        <w:t xml:space="preserve">risk ranking review </w:t>
      </w:r>
      <w:r>
        <w:rPr>
          <w:rFonts w:cs="Arial"/>
          <w:szCs w:val="24"/>
        </w:rPr>
        <w:t xml:space="preserve">is now </w:t>
      </w:r>
      <w:r w:rsidR="008C20DF">
        <w:rPr>
          <w:rFonts w:cs="Arial"/>
          <w:szCs w:val="24"/>
        </w:rPr>
        <w:t>conducted</w:t>
      </w:r>
      <w:r>
        <w:rPr>
          <w:rFonts w:cs="Arial"/>
          <w:szCs w:val="24"/>
        </w:rPr>
        <w:t xml:space="preserve"> at </w:t>
      </w:r>
      <w:r w:rsidR="008C20DF">
        <w:rPr>
          <w:rFonts w:cs="Arial"/>
          <w:szCs w:val="24"/>
        </w:rPr>
        <w:t xml:space="preserve">the end of </w:t>
      </w:r>
      <w:r w:rsidR="00855D00">
        <w:rPr>
          <w:rFonts w:cs="Arial"/>
          <w:szCs w:val="24"/>
        </w:rPr>
        <w:t>each</w:t>
      </w:r>
      <w:r>
        <w:rPr>
          <w:rFonts w:cs="Arial"/>
          <w:szCs w:val="24"/>
        </w:rPr>
        <w:t xml:space="preserve"> calendar year</w:t>
      </w:r>
      <w:r w:rsidR="00855D00">
        <w:rPr>
          <w:rFonts w:cs="Arial"/>
          <w:szCs w:val="24"/>
        </w:rPr>
        <w:t>. This</w:t>
      </w:r>
      <w:r>
        <w:rPr>
          <w:rFonts w:cs="Arial"/>
          <w:szCs w:val="24"/>
        </w:rPr>
        <w:t xml:space="preserve"> </w:t>
      </w:r>
      <w:r w:rsidR="00855D00">
        <w:rPr>
          <w:rFonts w:cs="Arial"/>
          <w:szCs w:val="24"/>
        </w:rPr>
        <w:t>h</w:t>
      </w:r>
      <w:r>
        <w:rPr>
          <w:rFonts w:cs="Arial"/>
          <w:szCs w:val="24"/>
        </w:rPr>
        <w:t xml:space="preserve">as corrected </w:t>
      </w:r>
      <w:r w:rsidR="00855D00">
        <w:rPr>
          <w:rFonts w:cs="Arial"/>
          <w:szCs w:val="24"/>
        </w:rPr>
        <w:t xml:space="preserve">a </w:t>
      </w:r>
      <w:r>
        <w:rPr>
          <w:rFonts w:cs="Arial"/>
          <w:szCs w:val="24"/>
        </w:rPr>
        <w:t xml:space="preserve">concern of </w:t>
      </w:r>
      <w:r w:rsidR="00855D00">
        <w:rPr>
          <w:rFonts w:cs="Arial"/>
          <w:szCs w:val="24"/>
        </w:rPr>
        <w:t xml:space="preserve">some </w:t>
      </w:r>
      <w:r>
        <w:rPr>
          <w:rFonts w:cs="Arial"/>
          <w:szCs w:val="24"/>
        </w:rPr>
        <w:t xml:space="preserve">licence holders that they were not being consistently informed of changes to the schedule. </w:t>
      </w:r>
      <w:r w:rsidR="005A075A">
        <w:rPr>
          <w:rFonts w:cs="Arial"/>
          <w:szCs w:val="24"/>
        </w:rPr>
        <w:t xml:space="preserve">Sources are now graded by source categorisation with augmented inspections undertaken over and above the </w:t>
      </w:r>
      <w:r w:rsidR="005A075A">
        <w:rPr>
          <w:rFonts w:cs="Arial"/>
          <w:szCs w:val="24"/>
        </w:rPr>
        <w:lastRenderedPageBreak/>
        <w:t xml:space="preserve">schedule where warranted by poor licence holder safety performance. </w:t>
      </w:r>
      <w:r w:rsidR="005A075A" w:rsidRPr="00F57358">
        <w:rPr>
          <w:rFonts w:cs="Arial"/>
          <w:szCs w:val="24"/>
        </w:rPr>
        <w:t xml:space="preserve">The assessment team found that despite being previously identified, there is still no mechanism to </w:t>
      </w:r>
      <w:r w:rsidR="005720FA" w:rsidRPr="00F57358">
        <w:rPr>
          <w:rFonts w:cs="Arial"/>
          <w:szCs w:val="24"/>
        </w:rPr>
        <w:t>reflect compliance maturity and reward good performance with reduced regulatory oversight</w:t>
      </w:r>
      <w:r w:rsidR="005A075A" w:rsidRPr="00F57358">
        <w:rPr>
          <w:rFonts w:cs="Arial"/>
          <w:szCs w:val="24"/>
        </w:rPr>
        <w:t xml:space="preserve"> in the source inspection program</w:t>
      </w:r>
      <w:r w:rsidR="005720FA" w:rsidRPr="00F57358">
        <w:rPr>
          <w:rFonts w:cs="Arial"/>
          <w:szCs w:val="24"/>
        </w:rPr>
        <w:t>.</w:t>
      </w:r>
      <w:r w:rsidR="005720FA">
        <w:rPr>
          <w:rFonts w:cs="Arial"/>
          <w:szCs w:val="24"/>
        </w:rPr>
        <w:t xml:space="preserve"> </w:t>
      </w:r>
    </w:p>
    <w:p w14:paraId="60078BAA" w14:textId="35F7BB30" w:rsidR="005720FA" w:rsidRDefault="005720FA" w:rsidP="005720FA">
      <w:pPr>
        <w:spacing w:after="120"/>
        <w:rPr>
          <w:rFonts w:cs="Times New Roman"/>
          <w:bCs/>
          <w:szCs w:val="24"/>
          <w:lang w:eastAsia="en-AU"/>
        </w:rPr>
      </w:pPr>
      <w:r w:rsidRPr="00B62B3D">
        <w:rPr>
          <w:rFonts w:cs="Times New Roman"/>
          <w:bCs/>
          <w:szCs w:val="24"/>
          <w:lang w:eastAsia="en-AU"/>
        </w:rPr>
        <w:t>Feedba</w:t>
      </w:r>
      <w:r w:rsidR="00DD6E14">
        <w:rPr>
          <w:rFonts w:cs="Times New Roman"/>
          <w:bCs/>
          <w:szCs w:val="24"/>
          <w:lang w:eastAsia="en-AU"/>
        </w:rPr>
        <w:t xml:space="preserve">ck from post-inspection surveys, and interviews between the assessment team and licence holders, </w:t>
      </w:r>
      <w:r w:rsidRPr="00B62B3D">
        <w:rPr>
          <w:rFonts w:cs="Times New Roman"/>
          <w:bCs/>
          <w:szCs w:val="24"/>
          <w:lang w:eastAsia="en-AU"/>
        </w:rPr>
        <w:t>show</w:t>
      </w:r>
      <w:r>
        <w:rPr>
          <w:rFonts w:cs="Times New Roman"/>
          <w:bCs/>
          <w:szCs w:val="24"/>
          <w:lang w:eastAsia="en-AU"/>
        </w:rPr>
        <w:t>ed</w:t>
      </w:r>
      <w:r w:rsidRPr="00B62B3D">
        <w:rPr>
          <w:rFonts w:cs="Times New Roman"/>
          <w:bCs/>
          <w:szCs w:val="24"/>
          <w:lang w:eastAsia="en-AU"/>
        </w:rPr>
        <w:t xml:space="preserve"> that </w:t>
      </w:r>
      <w:r>
        <w:rPr>
          <w:rFonts w:cs="Times New Roman"/>
          <w:bCs/>
          <w:szCs w:val="24"/>
          <w:lang w:eastAsia="en-AU"/>
        </w:rPr>
        <w:t>licence holders</w:t>
      </w:r>
      <w:r w:rsidRPr="00B62B3D">
        <w:rPr>
          <w:rFonts w:cs="Times New Roman"/>
          <w:bCs/>
          <w:szCs w:val="24"/>
          <w:lang w:eastAsia="en-AU"/>
        </w:rPr>
        <w:t xml:space="preserve"> greatly value being </w:t>
      </w:r>
      <w:r>
        <w:rPr>
          <w:rFonts w:cs="Times New Roman"/>
          <w:bCs/>
          <w:szCs w:val="24"/>
          <w:lang w:eastAsia="en-AU"/>
        </w:rPr>
        <w:t xml:space="preserve">advised </w:t>
      </w:r>
      <w:r w:rsidRPr="00B62B3D">
        <w:rPr>
          <w:rFonts w:cs="Times New Roman"/>
          <w:bCs/>
          <w:szCs w:val="24"/>
          <w:lang w:eastAsia="en-AU"/>
        </w:rPr>
        <w:t xml:space="preserve">of </w:t>
      </w:r>
      <w:r>
        <w:rPr>
          <w:rFonts w:cs="Times New Roman"/>
          <w:bCs/>
          <w:szCs w:val="24"/>
          <w:lang w:eastAsia="en-AU"/>
        </w:rPr>
        <w:t xml:space="preserve">the </w:t>
      </w:r>
      <w:r w:rsidRPr="00B62B3D">
        <w:rPr>
          <w:rFonts w:cs="Times New Roman"/>
          <w:bCs/>
          <w:szCs w:val="24"/>
          <w:lang w:eastAsia="en-AU"/>
        </w:rPr>
        <w:t>inspection schedule</w:t>
      </w:r>
      <w:r>
        <w:rPr>
          <w:rFonts w:cs="Times New Roman"/>
          <w:bCs/>
          <w:szCs w:val="24"/>
          <w:lang w:eastAsia="en-AU"/>
        </w:rPr>
        <w:t xml:space="preserve"> and </w:t>
      </w:r>
      <w:r w:rsidRPr="00B62B3D">
        <w:rPr>
          <w:rFonts w:cs="Times New Roman"/>
          <w:bCs/>
          <w:szCs w:val="24"/>
          <w:lang w:eastAsia="en-AU"/>
        </w:rPr>
        <w:t xml:space="preserve">associated </w:t>
      </w:r>
      <w:r w:rsidR="004A0820">
        <w:rPr>
          <w:rFonts w:cs="Times New Roman"/>
          <w:bCs/>
          <w:szCs w:val="24"/>
          <w:lang w:eastAsia="en-AU"/>
        </w:rPr>
        <w:t>PO&amp;C</w:t>
      </w:r>
      <w:r w:rsidRPr="00B62B3D">
        <w:rPr>
          <w:rFonts w:cs="Times New Roman"/>
          <w:bCs/>
          <w:szCs w:val="24"/>
          <w:lang w:eastAsia="en-AU"/>
        </w:rPr>
        <w:t xml:space="preserve"> in advance. This allows </w:t>
      </w:r>
      <w:r w:rsidR="003A64C1">
        <w:rPr>
          <w:rFonts w:cs="Times New Roman"/>
          <w:bCs/>
          <w:szCs w:val="24"/>
          <w:lang w:eastAsia="en-AU"/>
        </w:rPr>
        <w:t>the licence holder</w:t>
      </w:r>
      <w:r w:rsidRPr="00B62B3D">
        <w:rPr>
          <w:rFonts w:cs="Times New Roman"/>
          <w:bCs/>
          <w:szCs w:val="24"/>
          <w:lang w:eastAsia="en-AU"/>
        </w:rPr>
        <w:t xml:space="preserve"> to plan </w:t>
      </w:r>
      <w:r w:rsidR="00131881">
        <w:rPr>
          <w:rFonts w:cs="Times New Roman"/>
          <w:bCs/>
          <w:szCs w:val="24"/>
          <w:lang w:eastAsia="en-AU"/>
        </w:rPr>
        <w:t>its</w:t>
      </w:r>
      <w:r w:rsidR="006D420C">
        <w:rPr>
          <w:rFonts w:cs="Times New Roman"/>
          <w:bCs/>
          <w:szCs w:val="24"/>
          <w:lang w:eastAsia="en-AU"/>
        </w:rPr>
        <w:t xml:space="preserve"> </w:t>
      </w:r>
      <w:r w:rsidR="006406A6">
        <w:rPr>
          <w:rFonts w:cs="Times New Roman"/>
          <w:bCs/>
          <w:szCs w:val="24"/>
          <w:lang w:eastAsia="en-AU"/>
        </w:rPr>
        <w:t xml:space="preserve">resources and the </w:t>
      </w:r>
      <w:r w:rsidRPr="00B62B3D">
        <w:rPr>
          <w:rFonts w:cs="Times New Roman"/>
          <w:bCs/>
          <w:szCs w:val="24"/>
          <w:lang w:eastAsia="en-AU"/>
        </w:rPr>
        <w:t>availability of staff</w:t>
      </w:r>
      <w:r w:rsidR="00811D9E">
        <w:rPr>
          <w:rFonts w:cs="Times New Roman"/>
          <w:bCs/>
          <w:szCs w:val="24"/>
          <w:lang w:eastAsia="en-AU"/>
        </w:rPr>
        <w:t>,</w:t>
      </w:r>
      <w:r w:rsidRPr="00B62B3D">
        <w:rPr>
          <w:rFonts w:cs="Times New Roman"/>
          <w:bCs/>
          <w:szCs w:val="24"/>
          <w:lang w:eastAsia="en-AU"/>
        </w:rPr>
        <w:t xml:space="preserve"> documentation and inspector access to premises in order to minimise disruptions to operations.</w:t>
      </w:r>
      <w:r w:rsidR="00DD6E14">
        <w:rPr>
          <w:rFonts w:cs="Times New Roman"/>
          <w:bCs/>
          <w:szCs w:val="24"/>
          <w:lang w:eastAsia="en-AU"/>
        </w:rPr>
        <w:t xml:space="preserve"> The assessment team was told that licence holders appreciated </w:t>
      </w:r>
      <w:r w:rsidR="00052A89">
        <w:rPr>
          <w:rFonts w:cs="Times New Roman"/>
          <w:bCs/>
          <w:szCs w:val="24"/>
          <w:lang w:eastAsia="en-AU"/>
        </w:rPr>
        <w:t xml:space="preserve">an improved consistency in inspections practices and </w:t>
      </w:r>
      <w:r w:rsidR="00DD6E14">
        <w:rPr>
          <w:rFonts w:cs="Times New Roman"/>
          <w:bCs/>
          <w:szCs w:val="24"/>
          <w:lang w:eastAsia="en-AU"/>
        </w:rPr>
        <w:t>the prompt issuance of inspection reports</w:t>
      </w:r>
      <w:r w:rsidR="00052A89">
        <w:rPr>
          <w:rFonts w:cs="Times New Roman"/>
          <w:bCs/>
          <w:szCs w:val="24"/>
          <w:lang w:eastAsia="en-AU"/>
        </w:rPr>
        <w:t xml:space="preserve"> compared to previous years</w:t>
      </w:r>
      <w:r w:rsidR="00DD6E14">
        <w:rPr>
          <w:rFonts w:cs="Times New Roman"/>
          <w:bCs/>
          <w:szCs w:val="24"/>
          <w:lang w:eastAsia="en-AU"/>
        </w:rPr>
        <w:t>.</w:t>
      </w:r>
      <w:r w:rsidR="00D97409">
        <w:rPr>
          <w:rFonts w:cs="Times New Roman"/>
          <w:bCs/>
          <w:szCs w:val="24"/>
          <w:lang w:eastAsia="en-AU"/>
        </w:rPr>
        <w:t xml:space="preserve"> However, the assessment team also heard that in some cases</w:t>
      </w:r>
      <w:r w:rsidR="00D97409" w:rsidRPr="00F57358">
        <w:rPr>
          <w:rFonts w:cs="Times New Roman"/>
          <w:bCs/>
          <w:szCs w:val="24"/>
          <w:lang w:eastAsia="en-AU"/>
        </w:rPr>
        <w:t>, the expectations of an inspection that are laid out in the inspection notification letter</w:t>
      </w:r>
      <w:r w:rsidR="00012656">
        <w:rPr>
          <w:rFonts w:cs="Times New Roman"/>
          <w:bCs/>
          <w:szCs w:val="24"/>
          <w:lang w:eastAsia="en-AU"/>
        </w:rPr>
        <w:t>,</w:t>
      </w:r>
      <w:r w:rsidR="004416FC" w:rsidRPr="00F57358">
        <w:rPr>
          <w:rFonts w:cs="Times New Roman"/>
          <w:bCs/>
          <w:szCs w:val="24"/>
          <w:lang w:eastAsia="en-AU"/>
        </w:rPr>
        <w:t xml:space="preserve"> were not</w:t>
      </w:r>
      <w:r w:rsidR="00D97409" w:rsidRPr="00F57358">
        <w:rPr>
          <w:rFonts w:cs="Times New Roman"/>
          <w:bCs/>
          <w:szCs w:val="24"/>
          <w:lang w:eastAsia="en-AU"/>
        </w:rPr>
        <w:t xml:space="preserve"> met and</w:t>
      </w:r>
      <w:r w:rsidR="00D97409">
        <w:rPr>
          <w:rFonts w:cs="Times New Roman"/>
          <w:bCs/>
          <w:szCs w:val="24"/>
          <w:lang w:eastAsia="en-AU"/>
        </w:rPr>
        <w:t xml:space="preserve"> that </w:t>
      </w:r>
      <w:r w:rsidR="001A47F8">
        <w:rPr>
          <w:rFonts w:cs="Times New Roman"/>
          <w:bCs/>
          <w:szCs w:val="24"/>
          <w:lang w:eastAsia="en-AU"/>
        </w:rPr>
        <w:t xml:space="preserve">the </w:t>
      </w:r>
      <w:r w:rsidR="00D97409">
        <w:rPr>
          <w:rFonts w:cs="Times New Roman"/>
          <w:bCs/>
          <w:szCs w:val="24"/>
          <w:lang w:eastAsia="en-AU"/>
        </w:rPr>
        <w:t xml:space="preserve">expenditure of </w:t>
      </w:r>
      <w:r w:rsidR="001A47F8">
        <w:rPr>
          <w:rFonts w:cs="Times New Roman"/>
          <w:bCs/>
          <w:szCs w:val="24"/>
          <w:lang w:eastAsia="en-AU"/>
        </w:rPr>
        <w:t xml:space="preserve">licence holder </w:t>
      </w:r>
      <w:r w:rsidR="00D97409">
        <w:rPr>
          <w:rFonts w:cs="Times New Roman"/>
          <w:bCs/>
          <w:szCs w:val="24"/>
          <w:lang w:eastAsia="en-AU"/>
        </w:rPr>
        <w:t xml:space="preserve">resources has not been properly utilised. The </w:t>
      </w:r>
      <w:r w:rsidR="00D97409">
        <w:rPr>
          <w:rFonts w:cs="Times New Roman"/>
          <w:bCs/>
          <w:szCs w:val="24"/>
          <w:lang w:eastAsia="en-AU"/>
        </w:rPr>
        <w:lastRenderedPageBreak/>
        <w:t>team learned that the transparency in the conduct of some inspections to the PO&amp;Cs was not apparent</w:t>
      </w:r>
      <w:r w:rsidR="00092608">
        <w:rPr>
          <w:rFonts w:cs="Times New Roman"/>
          <w:bCs/>
          <w:szCs w:val="24"/>
          <w:lang w:eastAsia="en-AU"/>
        </w:rPr>
        <w:t>,</w:t>
      </w:r>
      <w:r w:rsidR="0083756C">
        <w:rPr>
          <w:rFonts w:cs="Times New Roman"/>
          <w:bCs/>
          <w:szCs w:val="24"/>
          <w:lang w:eastAsia="en-AU"/>
        </w:rPr>
        <w:t xml:space="preserve"> especially during the </w:t>
      </w:r>
      <w:r w:rsidR="00D97409">
        <w:rPr>
          <w:rFonts w:cs="Times New Roman"/>
          <w:bCs/>
          <w:szCs w:val="24"/>
          <w:lang w:eastAsia="en-AU"/>
        </w:rPr>
        <w:t>source inspections</w:t>
      </w:r>
      <w:r w:rsidR="004416FC">
        <w:rPr>
          <w:rFonts w:cs="Times New Roman"/>
          <w:bCs/>
          <w:szCs w:val="24"/>
          <w:lang w:eastAsia="en-AU"/>
        </w:rPr>
        <w:t xml:space="preserve"> where</w:t>
      </w:r>
      <w:r w:rsidR="00F06FD8">
        <w:rPr>
          <w:rFonts w:cs="Times New Roman"/>
          <w:bCs/>
          <w:szCs w:val="24"/>
          <w:lang w:eastAsia="en-AU"/>
        </w:rPr>
        <w:t xml:space="preserve"> the linkage between the PO&amp;Cs and the inspection undertaken was not always evident</w:t>
      </w:r>
      <w:r w:rsidR="00D97409" w:rsidRPr="00F57358">
        <w:rPr>
          <w:rFonts w:cs="Times New Roman"/>
          <w:bCs/>
          <w:szCs w:val="24"/>
          <w:lang w:eastAsia="en-AU"/>
        </w:rPr>
        <w:t xml:space="preserve">. The assessment team recommended that a review of the PO&amp;C should be undertaken to determine if the current source licence PO&amp;Cs could be better aligned with the </w:t>
      </w:r>
      <w:r w:rsidR="0083756C" w:rsidRPr="00F57358">
        <w:rPr>
          <w:rFonts w:cs="Times New Roman"/>
          <w:bCs/>
          <w:szCs w:val="24"/>
          <w:lang w:eastAsia="en-AU"/>
        </w:rPr>
        <w:t>requirements of low hazard sources.</w:t>
      </w:r>
      <w:r w:rsidR="0083756C">
        <w:rPr>
          <w:rFonts w:cs="Times New Roman"/>
          <w:bCs/>
          <w:szCs w:val="24"/>
          <w:lang w:eastAsia="en-AU"/>
        </w:rPr>
        <w:t xml:space="preserve"> The assessment team agreed that the general principle of PO&amp;Cs </w:t>
      </w:r>
      <w:r w:rsidR="004009CA">
        <w:rPr>
          <w:rFonts w:cs="Times New Roman"/>
          <w:bCs/>
          <w:szCs w:val="24"/>
          <w:lang w:eastAsia="en-AU"/>
        </w:rPr>
        <w:t xml:space="preserve">should </w:t>
      </w:r>
      <w:r w:rsidR="0083756C">
        <w:rPr>
          <w:rFonts w:cs="Times New Roman"/>
          <w:bCs/>
          <w:szCs w:val="24"/>
          <w:lang w:eastAsia="en-AU"/>
        </w:rPr>
        <w:t>be retained for all licences</w:t>
      </w:r>
      <w:r w:rsidR="00E05F77">
        <w:rPr>
          <w:rFonts w:cs="Times New Roman"/>
          <w:bCs/>
          <w:szCs w:val="24"/>
          <w:lang w:eastAsia="en-AU"/>
        </w:rPr>
        <w:t>, however acknowledged the need to review the level of detail required for low hazard sources</w:t>
      </w:r>
      <w:r w:rsidR="0083756C">
        <w:rPr>
          <w:rFonts w:cs="Times New Roman"/>
          <w:bCs/>
          <w:szCs w:val="24"/>
          <w:lang w:eastAsia="en-AU"/>
        </w:rPr>
        <w:t>.</w:t>
      </w:r>
    </w:p>
    <w:p w14:paraId="1C85D945" w14:textId="282D99A5" w:rsidR="00FB1995" w:rsidRPr="00B62B3D" w:rsidRDefault="00FB1995" w:rsidP="005720FA">
      <w:pPr>
        <w:spacing w:after="120"/>
        <w:rPr>
          <w:rFonts w:cs="Arial"/>
          <w:szCs w:val="24"/>
        </w:rPr>
      </w:pPr>
      <w:r>
        <w:rPr>
          <w:rFonts w:cs="Times New Roman"/>
          <w:bCs/>
          <w:szCs w:val="24"/>
          <w:lang w:eastAsia="en-AU"/>
        </w:rPr>
        <w:t xml:space="preserve">The assessment team also examined the workload planning arrangements. In general, the RSB </w:t>
      </w:r>
      <w:r w:rsidR="00723A12">
        <w:rPr>
          <w:rFonts w:cs="Times New Roman"/>
          <w:bCs/>
          <w:szCs w:val="24"/>
          <w:lang w:eastAsia="en-AU"/>
        </w:rPr>
        <w:t xml:space="preserve">was </w:t>
      </w:r>
      <w:r>
        <w:rPr>
          <w:rFonts w:cs="Times New Roman"/>
          <w:bCs/>
          <w:szCs w:val="24"/>
          <w:lang w:eastAsia="en-AU"/>
        </w:rPr>
        <w:t xml:space="preserve">seen to be working under demanding work programs </w:t>
      </w:r>
      <w:r w:rsidR="00E05F77">
        <w:rPr>
          <w:rFonts w:cs="Times New Roman"/>
          <w:bCs/>
          <w:szCs w:val="24"/>
          <w:lang w:eastAsia="en-AU"/>
        </w:rPr>
        <w:t>that</w:t>
      </w:r>
      <w:r>
        <w:rPr>
          <w:rFonts w:cs="Times New Roman"/>
          <w:bCs/>
          <w:szCs w:val="24"/>
          <w:lang w:eastAsia="en-AU"/>
        </w:rPr>
        <w:t xml:space="preserve"> reduce</w:t>
      </w:r>
      <w:r w:rsidR="004416FC">
        <w:rPr>
          <w:rFonts w:cs="Times New Roman"/>
          <w:bCs/>
          <w:szCs w:val="24"/>
          <w:lang w:eastAsia="en-AU"/>
        </w:rPr>
        <w:t>d</w:t>
      </w:r>
      <w:r>
        <w:rPr>
          <w:rFonts w:cs="Times New Roman"/>
          <w:bCs/>
          <w:szCs w:val="24"/>
          <w:lang w:eastAsia="en-AU"/>
        </w:rPr>
        <w:t xml:space="preserve"> its ability to undertake</w:t>
      </w:r>
      <w:r w:rsidR="00F40690">
        <w:rPr>
          <w:rFonts w:cs="Times New Roman"/>
          <w:bCs/>
          <w:szCs w:val="24"/>
          <w:lang w:eastAsia="en-AU"/>
        </w:rPr>
        <w:t>,</w:t>
      </w:r>
      <w:r>
        <w:rPr>
          <w:rFonts w:cs="Times New Roman"/>
          <w:bCs/>
          <w:szCs w:val="24"/>
          <w:lang w:eastAsia="en-AU"/>
        </w:rPr>
        <w:t xml:space="preserve"> </w:t>
      </w:r>
      <w:r w:rsidR="00F06FD8">
        <w:rPr>
          <w:rFonts w:cs="Times New Roman"/>
          <w:bCs/>
          <w:szCs w:val="24"/>
          <w:lang w:eastAsia="en-AU"/>
        </w:rPr>
        <w:t>and potentially</w:t>
      </w:r>
      <w:r w:rsidR="00F40690">
        <w:rPr>
          <w:rFonts w:cs="Times New Roman"/>
          <w:bCs/>
          <w:szCs w:val="24"/>
          <w:lang w:eastAsia="en-AU"/>
        </w:rPr>
        <w:t xml:space="preserve"> cause</w:t>
      </w:r>
      <w:r w:rsidR="004619C7">
        <w:rPr>
          <w:rFonts w:cs="Times New Roman"/>
          <w:bCs/>
          <w:szCs w:val="24"/>
          <w:lang w:eastAsia="en-AU"/>
        </w:rPr>
        <w:t>d</w:t>
      </w:r>
      <w:r w:rsidR="00F40690">
        <w:rPr>
          <w:rFonts w:cs="Times New Roman"/>
          <w:bCs/>
          <w:szCs w:val="24"/>
          <w:lang w:eastAsia="en-AU"/>
        </w:rPr>
        <w:t xml:space="preserve"> delay, to </w:t>
      </w:r>
      <w:r>
        <w:rPr>
          <w:rFonts w:cs="Times New Roman"/>
          <w:bCs/>
          <w:szCs w:val="24"/>
          <w:lang w:eastAsia="en-AU"/>
        </w:rPr>
        <w:t>some important tasks</w:t>
      </w:r>
      <w:r w:rsidR="00F40690">
        <w:rPr>
          <w:rFonts w:cs="Times New Roman"/>
          <w:bCs/>
          <w:szCs w:val="24"/>
          <w:lang w:eastAsia="en-AU"/>
        </w:rPr>
        <w:t xml:space="preserve"> including the follow-up of some inspection findings, performance reporting and some record keeping</w:t>
      </w:r>
      <w:r>
        <w:rPr>
          <w:rFonts w:cs="Times New Roman"/>
          <w:bCs/>
          <w:szCs w:val="24"/>
          <w:lang w:eastAsia="en-AU"/>
        </w:rPr>
        <w:t xml:space="preserve">. </w:t>
      </w:r>
      <w:r w:rsidR="00F40690">
        <w:rPr>
          <w:rFonts w:cs="Times New Roman"/>
          <w:bCs/>
          <w:szCs w:val="24"/>
          <w:lang w:eastAsia="en-AU"/>
        </w:rPr>
        <w:t xml:space="preserve">There was a lack of redundancy in some specialist skills areas </w:t>
      </w:r>
      <w:r w:rsidR="004416FC">
        <w:rPr>
          <w:rFonts w:cs="Times New Roman"/>
          <w:bCs/>
          <w:szCs w:val="24"/>
          <w:lang w:eastAsia="en-AU"/>
        </w:rPr>
        <w:t>that</w:t>
      </w:r>
      <w:r w:rsidR="00F40690">
        <w:rPr>
          <w:rFonts w:cs="Times New Roman"/>
          <w:bCs/>
          <w:szCs w:val="24"/>
          <w:lang w:eastAsia="en-AU"/>
        </w:rPr>
        <w:t xml:space="preserve"> placed additional demands on workforce planning and on </w:t>
      </w:r>
      <w:r w:rsidR="00F40690">
        <w:rPr>
          <w:rFonts w:cs="Times New Roman"/>
          <w:bCs/>
          <w:szCs w:val="24"/>
          <w:lang w:eastAsia="en-AU"/>
        </w:rPr>
        <w:lastRenderedPageBreak/>
        <w:t xml:space="preserve">some individual staff. </w:t>
      </w:r>
      <w:r>
        <w:rPr>
          <w:rFonts w:cs="Times New Roman"/>
          <w:bCs/>
          <w:szCs w:val="24"/>
          <w:lang w:eastAsia="en-AU"/>
        </w:rPr>
        <w:t>Adherence to the inspection schedule</w:t>
      </w:r>
      <w:r w:rsidR="004D1594">
        <w:rPr>
          <w:rFonts w:cs="Times New Roman"/>
          <w:bCs/>
          <w:szCs w:val="24"/>
          <w:lang w:eastAsia="en-AU"/>
        </w:rPr>
        <w:t>,</w:t>
      </w:r>
      <w:r>
        <w:rPr>
          <w:rFonts w:cs="Times New Roman"/>
          <w:bCs/>
          <w:szCs w:val="24"/>
          <w:lang w:eastAsia="en-AU"/>
        </w:rPr>
        <w:t xml:space="preserve"> and to a lesser extent meeting targets for assessments were seen as non-negotiable by regulatory </w:t>
      </w:r>
      <w:r w:rsidR="00B14C1F">
        <w:rPr>
          <w:rFonts w:cs="Times New Roman"/>
          <w:bCs/>
          <w:szCs w:val="24"/>
          <w:lang w:eastAsia="en-AU"/>
        </w:rPr>
        <w:t>staff where</w:t>
      </w:r>
      <w:r>
        <w:rPr>
          <w:rFonts w:cs="Times New Roman"/>
          <w:bCs/>
          <w:szCs w:val="24"/>
          <w:lang w:eastAsia="en-AU"/>
        </w:rPr>
        <w:t xml:space="preserve">as other tasks including </w:t>
      </w:r>
      <w:r w:rsidR="00B14C1F">
        <w:rPr>
          <w:rFonts w:cs="Times New Roman"/>
          <w:bCs/>
          <w:szCs w:val="24"/>
          <w:lang w:eastAsia="en-AU"/>
        </w:rPr>
        <w:t xml:space="preserve">data recording, some record keeping, and many administrative requirements, were </w:t>
      </w:r>
      <w:r w:rsidR="00F06FD8">
        <w:rPr>
          <w:rFonts w:cs="Times New Roman"/>
          <w:bCs/>
          <w:szCs w:val="24"/>
          <w:lang w:eastAsia="en-AU"/>
        </w:rPr>
        <w:t xml:space="preserve">sometimes </w:t>
      </w:r>
      <w:r w:rsidR="00B14C1F">
        <w:rPr>
          <w:rFonts w:cs="Times New Roman"/>
          <w:bCs/>
          <w:szCs w:val="24"/>
          <w:lang w:eastAsia="en-AU"/>
        </w:rPr>
        <w:t xml:space="preserve">sacrificed. RSB </w:t>
      </w:r>
      <w:r w:rsidR="00EC758A">
        <w:rPr>
          <w:rFonts w:cs="Times New Roman"/>
          <w:bCs/>
          <w:szCs w:val="24"/>
          <w:lang w:eastAsia="en-AU"/>
        </w:rPr>
        <w:t xml:space="preserve">is organised around functional sections that lead and co-ordinate activities shared throughout the entire branch. This is an intentional strategy that takes account of individual’s specialisation and helps to build a resilient team. However RSB as a whole </w:t>
      </w:r>
      <w:r w:rsidR="00B14C1F">
        <w:rPr>
          <w:rFonts w:cs="Times New Roman"/>
          <w:bCs/>
          <w:szCs w:val="24"/>
          <w:lang w:eastAsia="en-AU"/>
        </w:rPr>
        <w:t xml:space="preserve">has often struggled to provide timely resourcing for </w:t>
      </w:r>
      <w:r w:rsidR="0082179B">
        <w:rPr>
          <w:rFonts w:cs="Times New Roman"/>
          <w:bCs/>
          <w:szCs w:val="24"/>
          <w:lang w:eastAsia="en-AU"/>
        </w:rPr>
        <w:t xml:space="preserve">important non-direct regulatory functions such as </w:t>
      </w:r>
      <w:r w:rsidR="00B14C1F">
        <w:rPr>
          <w:rFonts w:cs="Times New Roman"/>
          <w:bCs/>
          <w:szCs w:val="24"/>
          <w:lang w:eastAsia="en-AU"/>
        </w:rPr>
        <w:t xml:space="preserve">codes and standards development and </w:t>
      </w:r>
      <w:r w:rsidR="00EC758A">
        <w:rPr>
          <w:rFonts w:cs="Times New Roman"/>
          <w:bCs/>
          <w:szCs w:val="24"/>
          <w:lang w:eastAsia="en-AU"/>
        </w:rPr>
        <w:t xml:space="preserve">tasks required for </w:t>
      </w:r>
      <w:r w:rsidR="00B14C1F">
        <w:rPr>
          <w:rFonts w:cs="Times New Roman"/>
          <w:bCs/>
          <w:szCs w:val="24"/>
          <w:lang w:eastAsia="en-AU"/>
        </w:rPr>
        <w:t xml:space="preserve">quality assurance. </w:t>
      </w:r>
      <w:r w:rsidR="00616325">
        <w:rPr>
          <w:rFonts w:cs="Times New Roman"/>
          <w:bCs/>
          <w:szCs w:val="24"/>
          <w:lang w:eastAsia="en-AU"/>
        </w:rPr>
        <w:t>Some</w:t>
      </w:r>
      <w:r w:rsidR="00B14C1F">
        <w:rPr>
          <w:rFonts w:cs="Times New Roman"/>
          <w:bCs/>
          <w:szCs w:val="24"/>
          <w:lang w:eastAsia="en-AU"/>
        </w:rPr>
        <w:t xml:space="preserve"> improvements had been made in bringing together a number of record systems and database</w:t>
      </w:r>
      <w:r w:rsidR="00E05F77">
        <w:rPr>
          <w:rFonts w:cs="Times New Roman"/>
          <w:bCs/>
          <w:szCs w:val="24"/>
          <w:lang w:eastAsia="en-AU"/>
        </w:rPr>
        <w:t>s</w:t>
      </w:r>
      <w:r w:rsidR="00B14C1F">
        <w:rPr>
          <w:rFonts w:cs="Times New Roman"/>
          <w:bCs/>
          <w:szCs w:val="24"/>
          <w:lang w:eastAsia="en-AU"/>
        </w:rPr>
        <w:t xml:space="preserve"> and there </w:t>
      </w:r>
      <w:r w:rsidR="00E05F77">
        <w:rPr>
          <w:rFonts w:cs="Times New Roman"/>
          <w:bCs/>
          <w:szCs w:val="24"/>
          <w:lang w:eastAsia="en-AU"/>
        </w:rPr>
        <w:t>are</w:t>
      </w:r>
      <w:r w:rsidR="00B14C1F">
        <w:rPr>
          <w:rFonts w:cs="Times New Roman"/>
          <w:bCs/>
          <w:szCs w:val="24"/>
          <w:lang w:eastAsia="en-AU"/>
        </w:rPr>
        <w:t xml:space="preserve"> plans to bring these together more fully through a holistic licence administration system</w:t>
      </w:r>
      <w:r w:rsidR="00E05F77">
        <w:rPr>
          <w:rFonts w:cs="Times New Roman"/>
          <w:bCs/>
          <w:szCs w:val="24"/>
          <w:lang w:eastAsia="en-AU"/>
        </w:rPr>
        <w:t>. The</w:t>
      </w:r>
      <w:r w:rsidR="0001159E">
        <w:rPr>
          <w:rFonts w:cs="Times New Roman"/>
          <w:bCs/>
          <w:szCs w:val="24"/>
          <w:lang w:eastAsia="en-AU"/>
        </w:rPr>
        <w:t xml:space="preserve"> current information and record systems remain fragmented and </w:t>
      </w:r>
      <w:r w:rsidR="0001159E" w:rsidRPr="00616325">
        <w:rPr>
          <w:rFonts w:cs="Times New Roman"/>
          <w:bCs/>
          <w:szCs w:val="24"/>
          <w:lang w:eastAsia="en-AU"/>
        </w:rPr>
        <w:t>inefficient</w:t>
      </w:r>
      <w:r w:rsidR="0001159E" w:rsidRPr="00E817FE">
        <w:rPr>
          <w:rFonts w:cs="Times New Roman"/>
          <w:bCs/>
          <w:szCs w:val="24"/>
          <w:lang w:eastAsia="en-AU"/>
        </w:rPr>
        <w:t xml:space="preserve">. </w:t>
      </w:r>
      <w:r w:rsidR="00C11C50" w:rsidRPr="00E817FE">
        <w:rPr>
          <w:rFonts w:cs="Times New Roman"/>
          <w:bCs/>
          <w:szCs w:val="24"/>
          <w:lang w:eastAsia="en-AU"/>
        </w:rPr>
        <w:t>It is understood that this</w:t>
      </w:r>
      <w:r w:rsidR="00B14C1F" w:rsidRPr="00E817FE">
        <w:rPr>
          <w:rFonts w:cs="Times New Roman"/>
          <w:bCs/>
          <w:szCs w:val="24"/>
          <w:lang w:eastAsia="en-AU"/>
        </w:rPr>
        <w:t xml:space="preserve"> project </w:t>
      </w:r>
      <w:r w:rsidR="00C11C50" w:rsidRPr="00E817FE">
        <w:rPr>
          <w:rFonts w:cs="Times New Roman"/>
          <w:bCs/>
          <w:szCs w:val="24"/>
          <w:lang w:eastAsia="en-AU"/>
        </w:rPr>
        <w:t>will</w:t>
      </w:r>
      <w:r w:rsidR="00B14C1F" w:rsidRPr="00E817FE">
        <w:rPr>
          <w:rFonts w:cs="Times New Roman"/>
          <w:bCs/>
          <w:szCs w:val="24"/>
          <w:lang w:eastAsia="en-AU"/>
        </w:rPr>
        <w:t xml:space="preserve"> be implemented by the Corporate Office of ARPANSA</w:t>
      </w:r>
      <w:r w:rsidR="00C11C50" w:rsidRPr="00E817FE">
        <w:rPr>
          <w:rFonts w:cs="Times New Roman"/>
          <w:bCs/>
          <w:szCs w:val="24"/>
          <w:lang w:eastAsia="en-AU"/>
        </w:rPr>
        <w:t xml:space="preserve">, however </w:t>
      </w:r>
      <w:r w:rsidR="00C11C50" w:rsidRPr="00E817FE">
        <w:rPr>
          <w:rFonts w:cs="Times New Roman"/>
          <w:bCs/>
          <w:szCs w:val="24"/>
          <w:lang w:eastAsia="en-AU"/>
        </w:rPr>
        <w:lastRenderedPageBreak/>
        <w:t xml:space="preserve">there are </w:t>
      </w:r>
      <w:r w:rsidR="00B14C1F" w:rsidRPr="00E817FE">
        <w:rPr>
          <w:rFonts w:cs="Times New Roman"/>
          <w:bCs/>
          <w:szCs w:val="24"/>
          <w:lang w:eastAsia="en-AU"/>
        </w:rPr>
        <w:t>currently no project dates available as to when this will happen.</w:t>
      </w:r>
      <w:r w:rsidR="00571848" w:rsidRPr="00E817FE">
        <w:rPr>
          <w:rFonts w:cs="Times New Roman"/>
          <w:bCs/>
          <w:szCs w:val="24"/>
          <w:lang w:eastAsia="en-AU"/>
        </w:rPr>
        <w:t xml:space="preserve"> </w:t>
      </w:r>
      <w:r w:rsidR="00616325" w:rsidRPr="00E817FE">
        <w:rPr>
          <w:rFonts w:cs="Times New Roman"/>
          <w:bCs/>
          <w:szCs w:val="24"/>
          <w:lang w:eastAsia="en-AU"/>
        </w:rPr>
        <w:t>The assessment team</w:t>
      </w:r>
      <w:r w:rsidR="00571848" w:rsidRPr="00E817FE">
        <w:rPr>
          <w:rFonts w:cs="Times New Roman"/>
          <w:bCs/>
          <w:szCs w:val="24"/>
          <w:lang w:eastAsia="en-AU"/>
        </w:rPr>
        <w:t xml:space="preserve"> put high importance on this development as a way of reducing work pressures and freeing up more time to work on core regulatory business</w:t>
      </w:r>
      <w:r w:rsidR="00616325" w:rsidRPr="00E817FE">
        <w:rPr>
          <w:rFonts w:cs="Times New Roman"/>
          <w:bCs/>
          <w:szCs w:val="24"/>
          <w:lang w:eastAsia="en-AU"/>
        </w:rPr>
        <w:t xml:space="preserve">. It was recommended that this project </w:t>
      </w:r>
      <w:r w:rsidR="00723A12">
        <w:rPr>
          <w:rFonts w:cs="Times New Roman"/>
          <w:bCs/>
          <w:szCs w:val="24"/>
          <w:lang w:eastAsia="en-AU"/>
        </w:rPr>
        <w:t>be</w:t>
      </w:r>
      <w:r w:rsidR="00723A12" w:rsidRPr="00E817FE">
        <w:rPr>
          <w:rFonts w:cs="Times New Roman"/>
          <w:bCs/>
          <w:szCs w:val="24"/>
          <w:lang w:eastAsia="en-AU"/>
        </w:rPr>
        <w:t xml:space="preserve"> </w:t>
      </w:r>
      <w:r w:rsidR="00616325" w:rsidRPr="00E817FE">
        <w:rPr>
          <w:rFonts w:cs="Times New Roman"/>
          <w:bCs/>
          <w:szCs w:val="24"/>
          <w:lang w:eastAsia="en-AU"/>
        </w:rPr>
        <w:t>given high priority</w:t>
      </w:r>
      <w:r w:rsidR="00571848" w:rsidRPr="00E817FE">
        <w:rPr>
          <w:rFonts w:cs="Times New Roman"/>
          <w:bCs/>
          <w:szCs w:val="24"/>
          <w:lang w:eastAsia="en-AU"/>
        </w:rPr>
        <w:t>.</w:t>
      </w:r>
    </w:p>
    <w:p w14:paraId="55ECDDBE" w14:textId="28817806" w:rsidR="005720FA" w:rsidRDefault="005720FA" w:rsidP="005720FA">
      <w:pPr>
        <w:spacing w:after="120"/>
        <w:rPr>
          <w:rFonts w:cs="Arial"/>
          <w:szCs w:val="24"/>
        </w:rPr>
      </w:pPr>
      <w:r w:rsidRPr="00B62B3D">
        <w:rPr>
          <w:rFonts w:cs="Arial"/>
          <w:b/>
          <w:szCs w:val="24"/>
        </w:rPr>
        <w:t>PI 1.2</w:t>
      </w:r>
      <w:r w:rsidRPr="00B62B3D">
        <w:rPr>
          <w:rFonts w:cs="Arial"/>
          <w:szCs w:val="24"/>
        </w:rPr>
        <w:t xml:space="preserve"> seeks to</w:t>
      </w:r>
      <w:r w:rsidRPr="00A9092B">
        <w:rPr>
          <w:rFonts w:cs="Arial"/>
          <w:szCs w:val="24"/>
        </w:rPr>
        <w:t xml:space="preserve"> avoid unnecessary impact </w:t>
      </w:r>
      <w:r>
        <w:rPr>
          <w:rFonts w:cs="Arial"/>
          <w:szCs w:val="24"/>
        </w:rPr>
        <w:t xml:space="preserve">on </w:t>
      </w:r>
      <w:r w:rsidRPr="00A9092B">
        <w:rPr>
          <w:rFonts w:cs="Arial"/>
          <w:szCs w:val="24"/>
        </w:rPr>
        <w:t>the efficient operation of licen</w:t>
      </w:r>
      <w:r>
        <w:rPr>
          <w:rFonts w:cs="Arial"/>
          <w:szCs w:val="24"/>
        </w:rPr>
        <w:t>s</w:t>
      </w:r>
      <w:r w:rsidRPr="00A9092B">
        <w:rPr>
          <w:rFonts w:cs="Arial"/>
          <w:szCs w:val="24"/>
        </w:rPr>
        <w:t>ed entities by providing timely decisions</w:t>
      </w:r>
      <w:r>
        <w:rPr>
          <w:rFonts w:cs="Arial"/>
          <w:szCs w:val="24"/>
        </w:rPr>
        <w:t xml:space="preserve">, be they positive or negative. </w:t>
      </w:r>
      <w:r w:rsidRPr="00A9092B">
        <w:rPr>
          <w:rFonts w:cs="Arial"/>
          <w:szCs w:val="24"/>
        </w:rPr>
        <w:t>The current process is for inspectors to discuss</w:t>
      </w:r>
      <w:r>
        <w:rPr>
          <w:rFonts w:cs="Arial"/>
          <w:szCs w:val="24"/>
        </w:rPr>
        <w:t xml:space="preserve"> </w:t>
      </w:r>
      <w:r w:rsidRPr="00A9092B">
        <w:rPr>
          <w:rFonts w:cs="Arial"/>
          <w:szCs w:val="24"/>
        </w:rPr>
        <w:t xml:space="preserve">the urgency of </w:t>
      </w:r>
      <w:r>
        <w:rPr>
          <w:rFonts w:cs="Arial"/>
          <w:szCs w:val="24"/>
        </w:rPr>
        <w:t>an</w:t>
      </w:r>
      <w:r w:rsidRPr="00A9092B">
        <w:rPr>
          <w:rFonts w:cs="Arial"/>
          <w:szCs w:val="24"/>
        </w:rPr>
        <w:t xml:space="preserve"> application </w:t>
      </w:r>
      <w:r>
        <w:rPr>
          <w:rFonts w:cs="Arial"/>
          <w:szCs w:val="24"/>
        </w:rPr>
        <w:t>with the applicant</w:t>
      </w:r>
      <w:r w:rsidRPr="00A9092B">
        <w:rPr>
          <w:rFonts w:cs="Arial"/>
          <w:szCs w:val="24"/>
        </w:rPr>
        <w:t xml:space="preserve"> and </w:t>
      </w:r>
      <w:r>
        <w:rPr>
          <w:rFonts w:cs="Arial"/>
          <w:szCs w:val="24"/>
        </w:rPr>
        <w:t>take into account ARPANSA</w:t>
      </w:r>
      <w:r w:rsidRPr="00A9092B">
        <w:rPr>
          <w:rFonts w:cs="Arial"/>
          <w:szCs w:val="24"/>
        </w:rPr>
        <w:t xml:space="preserve"> workloads</w:t>
      </w:r>
      <w:r>
        <w:rPr>
          <w:rFonts w:cs="Arial"/>
          <w:szCs w:val="24"/>
        </w:rPr>
        <w:t xml:space="preserve"> to</w:t>
      </w:r>
      <w:r w:rsidRPr="00A9092B">
        <w:rPr>
          <w:rFonts w:cs="Arial"/>
          <w:szCs w:val="24"/>
        </w:rPr>
        <w:t xml:space="preserve"> agree </w:t>
      </w:r>
      <w:r>
        <w:rPr>
          <w:rFonts w:cs="Arial"/>
          <w:szCs w:val="24"/>
        </w:rPr>
        <w:t xml:space="preserve">on </w:t>
      </w:r>
      <w:r w:rsidRPr="00A9092B">
        <w:rPr>
          <w:rFonts w:cs="Arial"/>
          <w:szCs w:val="24"/>
        </w:rPr>
        <w:t>a decision date</w:t>
      </w:r>
      <w:r>
        <w:rPr>
          <w:rFonts w:cs="Arial"/>
          <w:szCs w:val="24"/>
        </w:rPr>
        <w:t xml:space="preserve">. This </w:t>
      </w:r>
      <w:r w:rsidRPr="00720B25">
        <w:rPr>
          <w:rFonts w:cs="Arial"/>
          <w:szCs w:val="24"/>
        </w:rPr>
        <w:t>process of consultation</w:t>
      </w:r>
      <w:r>
        <w:rPr>
          <w:rFonts w:cs="Arial"/>
          <w:szCs w:val="24"/>
        </w:rPr>
        <w:t xml:space="preserve"> is important to set realistic expectations and ensure sufficient time for a thorough analysis of the application. </w:t>
      </w:r>
      <w:r w:rsidRPr="00A9092B">
        <w:rPr>
          <w:rFonts w:cs="Arial"/>
          <w:szCs w:val="24"/>
        </w:rPr>
        <w:t xml:space="preserve">The PI measures </w:t>
      </w:r>
      <w:r>
        <w:rPr>
          <w:rFonts w:cs="Arial"/>
          <w:szCs w:val="24"/>
        </w:rPr>
        <w:t>whether</w:t>
      </w:r>
      <w:r w:rsidRPr="00A9092B">
        <w:rPr>
          <w:rFonts w:cs="Arial"/>
          <w:szCs w:val="24"/>
        </w:rPr>
        <w:t xml:space="preserve"> the agreed date </w:t>
      </w:r>
      <w:r>
        <w:rPr>
          <w:rFonts w:cs="Arial"/>
          <w:szCs w:val="24"/>
        </w:rPr>
        <w:t xml:space="preserve">was </w:t>
      </w:r>
      <w:r w:rsidRPr="00A9092B">
        <w:rPr>
          <w:rFonts w:cs="Arial"/>
          <w:szCs w:val="24"/>
        </w:rPr>
        <w:t xml:space="preserve">met. </w:t>
      </w:r>
      <w:r w:rsidR="00070054">
        <w:rPr>
          <w:rFonts w:cs="Arial"/>
          <w:szCs w:val="24"/>
        </w:rPr>
        <w:t>As with PI 1.1 this target had been set and locked into PBS reporting</w:t>
      </w:r>
      <w:r w:rsidR="00616325">
        <w:rPr>
          <w:rFonts w:cs="Arial"/>
          <w:szCs w:val="24"/>
        </w:rPr>
        <w:t xml:space="preserve"> before the target value was tested. </w:t>
      </w:r>
      <w:r w:rsidR="00E835ED">
        <w:rPr>
          <w:rFonts w:cs="Arial"/>
          <w:szCs w:val="24"/>
        </w:rPr>
        <w:t xml:space="preserve">It is now </w:t>
      </w:r>
      <w:r w:rsidR="00070054">
        <w:rPr>
          <w:rFonts w:cs="Arial"/>
          <w:szCs w:val="24"/>
        </w:rPr>
        <w:t xml:space="preserve">widely considered to be over demanding and not recognising the wide variability and unpredictability of data presented in an application. From </w:t>
      </w:r>
      <w:r w:rsidR="005D2A11">
        <w:rPr>
          <w:rFonts w:cs="Arial"/>
          <w:szCs w:val="24"/>
        </w:rPr>
        <w:t>1 July 2017,</w:t>
      </w:r>
      <w:r w:rsidR="00C11C50">
        <w:rPr>
          <w:rFonts w:cs="Arial"/>
          <w:szCs w:val="24"/>
        </w:rPr>
        <w:t xml:space="preserve"> the target wa</w:t>
      </w:r>
      <w:r w:rsidR="00070054">
        <w:rPr>
          <w:rFonts w:cs="Arial"/>
          <w:szCs w:val="24"/>
        </w:rPr>
        <w:t>s reduced from 90% to 75%</w:t>
      </w:r>
      <w:r w:rsidR="00E835ED">
        <w:rPr>
          <w:rFonts w:cs="Arial"/>
          <w:szCs w:val="24"/>
        </w:rPr>
        <w:t xml:space="preserve"> </w:t>
      </w:r>
      <w:r w:rsidR="0082179B">
        <w:rPr>
          <w:rFonts w:cs="Arial"/>
          <w:szCs w:val="24"/>
        </w:rPr>
        <w:t>that</w:t>
      </w:r>
      <w:r w:rsidR="00E835ED">
        <w:rPr>
          <w:rFonts w:cs="Arial"/>
          <w:szCs w:val="24"/>
        </w:rPr>
        <w:t xml:space="preserve"> is regarded to be a more </w:t>
      </w:r>
      <w:r w:rsidR="00C931EA">
        <w:rPr>
          <w:rFonts w:cs="Arial"/>
          <w:szCs w:val="24"/>
        </w:rPr>
        <w:lastRenderedPageBreak/>
        <w:t xml:space="preserve">realistic </w:t>
      </w:r>
      <w:r w:rsidR="00E835ED">
        <w:rPr>
          <w:rFonts w:cs="Arial"/>
          <w:szCs w:val="24"/>
        </w:rPr>
        <w:t>yet demanding target</w:t>
      </w:r>
      <w:r w:rsidR="00070054">
        <w:rPr>
          <w:rFonts w:cs="Arial"/>
          <w:szCs w:val="24"/>
        </w:rPr>
        <w:t xml:space="preserve">. </w:t>
      </w:r>
      <w:r>
        <w:rPr>
          <w:rFonts w:cs="Arial"/>
          <w:szCs w:val="24"/>
        </w:rPr>
        <w:t xml:space="preserve">While not fully meeting the </w:t>
      </w:r>
      <w:r w:rsidR="00E835ED">
        <w:rPr>
          <w:rFonts w:cs="Arial"/>
          <w:szCs w:val="24"/>
        </w:rPr>
        <w:t xml:space="preserve">90% </w:t>
      </w:r>
      <w:r>
        <w:rPr>
          <w:rFonts w:cs="Arial"/>
          <w:szCs w:val="24"/>
        </w:rPr>
        <w:t>target, results have</w:t>
      </w:r>
      <w:r w:rsidRPr="00A9092B">
        <w:rPr>
          <w:rFonts w:cs="Arial"/>
          <w:szCs w:val="24"/>
        </w:rPr>
        <w:t xml:space="preserve"> </w:t>
      </w:r>
      <w:r>
        <w:rPr>
          <w:rFonts w:cs="Arial"/>
          <w:szCs w:val="24"/>
        </w:rPr>
        <w:t>been consistently high,</w:t>
      </w:r>
      <w:r w:rsidRPr="00A9092B">
        <w:rPr>
          <w:rFonts w:cs="Arial"/>
          <w:szCs w:val="24"/>
        </w:rPr>
        <w:t xml:space="preserve"> </w:t>
      </w:r>
      <w:r w:rsidR="004D1594">
        <w:rPr>
          <w:rFonts w:cs="Arial"/>
          <w:szCs w:val="24"/>
        </w:rPr>
        <w:t>suggesting</w:t>
      </w:r>
      <w:r w:rsidRPr="00A9092B">
        <w:rPr>
          <w:rFonts w:cs="Arial"/>
          <w:szCs w:val="24"/>
        </w:rPr>
        <w:t xml:space="preserve"> that ARPANSA </w:t>
      </w:r>
      <w:r>
        <w:rPr>
          <w:rFonts w:cs="Arial"/>
          <w:szCs w:val="24"/>
        </w:rPr>
        <w:t>performs</w:t>
      </w:r>
      <w:r w:rsidRPr="00A9092B">
        <w:rPr>
          <w:rFonts w:cs="Arial"/>
          <w:szCs w:val="24"/>
        </w:rPr>
        <w:t xml:space="preserve"> well in this area.</w:t>
      </w:r>
      <w:r>
        <w:rPr>
          <w:rFonts w:cs="Arial"/>
          <w:szCs w:val="24"/>
        </w:rPr>
        <w:t xml:space="preserve"> </w:t>
      </w:r>
    </w:p>
    <w:p w14:paraId="7B03AC45" w14:textId="67CCBC66" w:rsidR="005720FA" w:rsidRDefault="00C11C50" w:rsidP="005720FA">
      <w:pPr>
        <w:spacing w:after="120"/>
        <w:rPr>
          <w:rFonts w:cs="Arial"/>
          <w:szCs w:val="24"/>
        </w:rPr>
      </w:pPr>
      <w:r>
        <w:rPr>
          <w:rFonts w:cs="Arial"/>
          <w:szCs w:val="24"/>
        </w:rPr>
        <w:t>T</w:t>
      </w:r>
      <w:r w:rsidR="00070054">
        <w:rPr>
          <w:rFonts w:cs="Arial"/>
          <w:szCs w:val="24"/>
        </w:rPr>
        <w:t xml:space="preserve">he 2016 self-assessment found that this measure had not been applied to a consistent range of application types. </w:t>
      </w:r>
      <w:r w:rsidR="00A758B9">
        <w:rPr>
          <w:rFonts w:cs="Arial"/>
          <w:szCs w:val="24"/>
        </w:rPr>
        <w:t xml:space="preserve">The Assessment Team </w:t>
      </w:r>
      <w:r w:rsidR="00070054">
        <w:rPr>
          <w:rFonts w:cs="Arial"/>
          <w:szCs w:val="24"/>
        </w:rPr>
        <w:t xml:space="preserve">found </w:t>
      </w:r>
      <w:r w:rsidR="00A758B9">
        <w:rPr>
          <w:rFonts w:cs="Arial"/>
          <w:szCs w:val="24"/>
        </w:rPr>
        <w:t xml:space="preserve">that problems with </w:t>
      </w:r>
      <w:r w:rsidR="00AB1786">
        <w:rPr>
          <w:rFonts w:cs="Arial"/>
          <w:szCs w:val="24"/>
        </w:rPr>
        <w:t>application</w:t>
      </w:r>
      <w:r>
        <w:rPr>
          <w:rFonts w:cs="Arial"/>
          <w:szCs w:val="24"/>
        </w:rPr>
        <w:t>s</w:t>
      </w:r>
      <w:r w:rsidR="00A758B9">
        <w:rPr>
          <w:rFonts w:cs="Arial"/>
          <w:szCs w:val="24"/>
        </w:rPr>
        <w:t xml:space="preserve"> </w:t>
      </w:r>
      <w:r w:rsidR="00070054">
        <w:rPr>
          <w:rFonts w:cs="Arial"/>
          <w:szCs w:val="24"/>
        </w:rPr>
        <w:t xml:space="preserve">have been corrected </w:t>
      </w:r>
      <w:r w:rsidR="005D2A11">
        <w:rPr>
          <w:rFonts w:cs="Arial"/>
          <w:szCs w:val="24"/>
        </w:rPr>
        <w:t xml:space="preserve">and </w:t>
      </w:r>
      <w:r w:rsidR="00A758B9">
        <w:rPr>
          <w:rFonts w:cs="Arial"/>
          <w:szCs w:val="24"/>
        </w:rPr>
        <w:t xml:space="preserve">it is now </w:t>
      </w:r>
      <w:r w:rsidR="00AB1786">
        <w:rPr>
          <w:rFonts w:cs="Arial"/>
          <w:szCs w:val="24"/>
        </w:rPr>
        <w:t>used</w:t>
      </w:r>
      <w:r w:rsidR="005D2A11">
        <w:rPr>
          <w:rFonts w:cs="Arial"/>
          <w:szCs w:val="24"/>
        </w:rPr>
        <w:t xml:space="preserve"> consistently across </w:t>
      </w:r>
      <w:r>
        <w:rPr>
          <w:rFonts w:cs="Arial"/>
          <w:szCs w:val="24"/>
        </w:rPr>
        <w:t>a</w:t>
      </w:r>
      <w:r w:rsidR="00070054">
        <w:rPr>
          <w:rFonts w:cs="Arial"/>
          <w:szCs w:val="24"/>
        </w:rPr>
        <w:t xml:space="preserve"> </w:t>
      </w:r>
      <w:r w:rsidR="00960E60">
        <w:rPr>
          <w:rFonts w:cs="Arial"/>
          <w:szCs w:val="24"/>
        </w:rPr>
        <w:t xml:space="preserve">range of licence applications, change requests and other special approvals. </w:t>
      </w:r>
      <w:r w:rsidR="00415CBE">
        <w:rPr>
          <w:rFonts w:cs="Arial"/>
          <w:szCs w:val="24"/>
        </w:rPr>
        <w:t xml:space="preserve">Performance against this measure was considered to be good even though the 90% target was not met. </w:t>
      </w:r>
      <w:r w:rsidR="00C75EC6">
        <w:rPr>
          <w:rFonts w:cs="Arial"/>
          <w:szCs w:val="24"/>
        </w:rPr>
        <w:t xml:space="preserve">Failure to meet target dates </w:t>
      </w:r>
      <w:r w:rsidR="005720FA">
        <w:rPr>
          <w:rFonts w:cs="Arial"/>
          <w:szCs w:val="24"/>
        </w:rPr>
        <w:t>occur</w:t>
      </w:r>
      <w:r w:rsidR="00E5067E">
        <w:rPr>
          <w:rFonts w:cs="Arial"/>
          <w:szCs w:val="24"/>
        </w:rPr>
        <w:t>s</w:t>
      </w:r>
      <w:r w:rsidR="005720FA">
        <w:rPr>
          <w:rFonts w:cs="Arial"/>
          <w:szCs w:val="24"/>
        </w:rPr>
        <w:t xml:space="preserve"> for a variety of reasons such as incomplete information</w:t>
      </w:r>
      <w:r w:rsidR="00C2709D">
        <w:rPr>
          <w:rFonts w:cs="Arial"/>
          <w:szCs w:val="24"/>
        </w:rPr>
        <w:t xml:space="preserve"> in an application</w:t>
      </w:r>
      <w:r w:rsidR="005720FA">
        <w:rPr>
          <w:rFonts w:cs="Arial"/>
          <w:szCs w:val="24"/>
        </w:rPr>
        <w:t xml:space="preserve">, technical complexity, </w:t>
      </w:r>
      <w:r w:rsidR="004D1594">
        <w:rPr>
          <w:rFonts w:cs="Arial"/>
          <w:szCs w:val="24"/>
        </w:rPr>
        <w:t>the un</w:t>
      </w:r>
      <w:r w:rsidR="005720FA">
        <w:rPr>
          <w:rFonts w:cs="Arial"/>
          <w:szCs w:val="24"/>
        </w:rPr>
        <w:t>availability of specialist expertise</w:t>
      </w:r>
      <w:r w:rsidR="00C2709D">
        <w:rPr>
          <w:rFonts w:cs="Arial"/>
          <w:szCs w:val="24"/>
        </w:rPr>
        <w:t xml:space="preserve"> to review an application</w:t>
      </w:r>
      <w:r w:rsidR="005720FA">
        <w:rPr>
          <w:rFonts w:cs="Arial"/>
          <w:szCs w:val="24"/>
        </w:rPr>
        <w:t xml:space="preserve">, </w:t>
      </w:r>
      <w:r w:rsidR="00E5067E">
        <w:rPr>
          <w:rFonts w:cs="Arial"/>
          <w:szCs w:val="24"/>
        </w:rPr>
        <w:t>and/</w:t>
      </w:r>
      <w:r w:rsidR="005720FA">
        <w:rPr>
          <w:rFonts w:cs="Arial"/>
          <w:szCs w:val="24"/>
        </w:rPr>
        <w:t>or ARPANSA staff not following procedures.</w:t>
      </w:r>
      <w:r w:rsidR="00C75EC6">
        <w:rPr>
          <w:rFonts w:cs="Arial"/>
          <w:szCs w:val="24"/>
        </w:rPr>
        <w:t xml:space="preserve"> </w:t>
      </w:r>
      <w:r w:rsidR="00F77911">
        <w:rPr>
          <w:rFonts w:cs="Arial"/>
          <w:szCs w:val="24"/>
        </w:rPr>
        <w:t xml:space="preserve">Conflicts of </w:t>
      </w:r>
      <w:r w:rsidR="00C2709D">
        <w:rPr>
          <w:rFonts w:cs="Arial"/>
          <w:szCs w:val="24"/>
        </w:rPr>
        <w:t xml:space="preserve">regulatory </w:t>
      </w:r>
      <w:r w:rsidR="00F77911">
        <w:rPr>
          <w:rFonts w:cs="Arial"/>
          <w:szCs w:val="24"/>
        </w:rPr>
        <w:t>resources, es</w:t>
      </w:r>
      <w:r w:rsidR="00E05F77">
        <w:rPr>
          <w:rFonts w:cs="Arial"/>
          <w:szCs w:val="24"/>
        </w:rPr>
        <w:t xml:space="preserve">pecially </w:t>
      </w:r>
      <w:r w:rsidR="00723A12">
        <w:rPr>
          <w:rFonts w:cs="Arial"/>
          <w:szCs w:val="24"/>
        </w:rPr>
        <w:t xml:space="preserve">in </w:t>
      </w:r>
      <w:r w:rsidR="00E05F77">
        <w:rPr>
          <w:rFonts w:cs="Arial"/>
          <w:szCs w:val="24"/>
        </w:rPr>
        <w:t>the inspection program</w:t>
      </w:r>
      <w:r w:rsidR="00F77911">
        <w:rPr>
          <w:rFonts w:cs="Arial"/>
          <w:szCs w:val="24"/>
        </w:rPr>
        <w:t>, may also cause delay.</w:t>
      </w:r>
    </w:p>
    <w:p w14:paraId="56F4C2A2" w14:textId="622E71F2" w:rsidR="00F77911" w:rsidRDefault="00F77911" w:rsidP="005720FA">
      <w:pPr>
        <w:spacing w:after="120"/>
        <w:rPr>
          <w:rFonts w:cs="Arial"/>
          <w:szCs w:val="24"/>
        </w:rPr>
      </w:pPr>
      <w:r w:rsidRPr="00BC039C">
        <w:rPr>
          <w:rFonts w:cs="Arial"/>
          <w:szCs w:val="24"/>
        </w:rPr>
        <w:lastRenderedPageBreak/>
        <w:t xml:space="preserve">ARPANSA is currently implementing a project to bring </w:t>
      </w:r>
      <w:r w:rsidR="00E5067E" w:rsidRPr="00BC039C">
        <w:rPr>
          <w:rFonts w:cs="Arial"/>
          <w:szCs w:val="24"/>
        </w:rPr>
        <w:t>its inspection service</w:t>
      </w:r>
      <w:r w:rsidRPr="00BC039C">
        <w:rPr>
          <w:rFonts w:cs="Arial"/>
          <w:szCs w:val="24"/>
        </w:rPr>
        <w:t xml:space="preserve"> </w:t>
      </w:r>
      <w:r w:rsidR="00E5067E" w:rsidRPr="00BC039C">
        <w:rPr>
          <w:rFonts w:cs="Arial"/>
          <w:szCs w:val="24"/>
        </w:rPr>
        <w:t>into conformance</w:t>
      </w:r>
      <w:r w:rsidRPr="00BC039C">
        <w:rPr>
          <w:rFonts w:cs="Arial"/>
          <w:szCs w:val="24"/>
        </w:rPr>
        <w:t xml:space="preserve"> with </w:t>
      </w:r>
      <w:r w:rsidR="00BC039C" w:rsidRPr="00BC039C">
        <w:rPr>
          <w:rFonts w:cs="Arial"/>
          <w:szCs w:val="24"/>
        </w:rPr>
        <w:t>ISO17020</w:t>
      </w:r>
      <w:r w:rsidR="00BC039C">
        <w:rPr>
          <w:rFonts w:cs="Arial"/>
          <w:szCs w:val="24"/>
        </w:rPr>
        <w:t xml:space="preserve"> that</w:t>
      </w:r>
      <w:r>
        <w:rPr>
          <w:rFonts w:cs="Arial"/>
          <w:szCs w:val="24"/>
        </w:rPr>
        <w:t xml:space="preserve"> specifies requirements for the competence of bodies performing inspections. As part of the project ARPANSA will map workforce needs and implement strategic recruitment, training and education to improve resource depth and flexibility. </w:t>
      </w:r>
    </w:p>
    <w:p w14:paraId="06DBAC87" w14:textId="488C9658" w:rsidR="00415CBE" w:rsidRDefault="00415CBE" w:rsidP="005720FA">
      <w:pPr>
        <w:spacing w:after="120"/>
        <w:rPr>
          <w:rFonts w:cs="Arial"/>
          <w:szCs w:val="24"/>
        </w:rPr>
      </w:pPr>
      <w:r>
        <w:rPr>
          <w:rFonts w:cs="Arial"/>
          <w:szCs w:val="24"/>
        </w:rPr>
        <w:t xml:space="preserve">The assessment of various applications, alongside inspections, is the most important </w:t>
      </w:r>
      <w:r w:rsidR="00635B63">
        <w:rPr>
          <w:rFonts w:cs="Arial"/>
          <w:szCs w:val="24"/>
        </w:rPr>
        <w:t xml:space="preserve">direct </w:t>
      </w:r>
      <w:r>
        <w:rPr>
          <w:rFonts w:cs="Arial"/>
          <w:szCs w:val="24"/>
        </w:rPr>
        <w:t xml:space="preserve">regulatory service provided to licence holders. Unlike the inspection survey, there is no equivalent for assessment of applications. </w:t>
      </w:r>
      <w:r w:rsidRPr="00BC039C">
        <w:rPr>
          <w:rFonts w:cs="Arial"/>
          <w:szCs w:val="24"/>
        </w:rPr>
        <w:t>The team considered that a survey sent to licence holders after an application is finalised could provide useful information to drive further improvements in this area.</w:t>
      </w:r>
    </w:p>
    <w:p w14:paraId="34766B32" w14:textId="18831E84" w:rsidR="005720FA" w:rsidRDefault="005720FA" w:rsidP="005720FA">
      <w:pPr>
        <w:spacing w:after="120"/>
        <w:rPr>
          <w:rFonts w:cs="Arial"/>
          <w:szCs w:val="24"/>
        </w:rPr>
      </w:pPr>
      <w:r>
        <w:rPr>
          <w:rFonts w:cs="Arial"/>
          <w:szCs w:val="24"/>
        </w:rPr>
        <w:t xml:space="preserve">The evidence presented </w:t>
      </w:r>
      <w:r w:rsidR="00C75EC6">
        <w:rPr>
          <w:rFonts w:cs="Arial"/>
          <w:szCs w:val="24"/>
        </w:rPr>
        <w:t>above</w:t>
      </w:r>
      <w:r>
        <w:rPr>
          <w:rFonts w:cs="Arial"/>
          <w:szCs w:val="24"/>
        </w:rPr>
        <w:t xml:space="preserve"> demonstrates that ARPANSA is striving for best practice regulation while being mindful of the impact that this has on licensed entities. A good deal of effort is being invested in transparency of the regulatory ap</w:t>
      </w:r>
      <w:r>
        <w:rPr>
          <w:rFonts w:cs="Arial"/>
          <w:szCs w:val="24"/>
        </w:rPr>
        <w:lastRenderedPageBreak/>
        <w:t>proach and communication with licence holders. This communication is two-way and appears to be building mutual respect. Without exception, Licence holder representatives confirmed that ARPANSA’s regulatory processes had improved</w:t>
      </w:r>
      <w:r w:rsidR="00FC1315">
        <w:rPr>
          <w:rFonts w:cs="Arial"/>
          <w:szCs w:val="24"/>
        </w:rPr>
        <w:t xml:space="preserve"> in recent years</w:t>
      </w:r>
      <w:r w:rsidR="00047974">
        <w:rPr>
          <w:rFonts w:cs="Arial"/>
          <w:szCs w:val="24"/>
        </w:rPr>
        <w:t xml:space="preserve">. Some reported a reduction in “red tape” </w:t>
      </w:r>
      <w:r w:rsidR="0082179B">
        <w:rPr>
          <w:rFonts w:cs="Arial"/>
          <w:szCs w:val="24"/>
        </w:rPr>
        <w:t>to</w:t>
      </w:r>
      <w:r w:rsidR="00047974">
        <w:rPr>
          <w:rFonts w:cs="Arial"/>
          <w:szCs w:val="24"/>
        </w:rPr>
        <w:t xml:space="preserve"> a clearer </w:t>
      </w:r>
      <w:r w:rsidR="007D3CC2">
        <w:rPr>
          <w:rFonts w:cs="Arial"/>
          <w:szCs w:val="24"/>
        </w:rPr>
        <w:t xml:space="preserve">and consistent </w:t>
      </w:r>
      <w:r w:rsidR="00047974">
        <w:rPr>
          <w:rFonts w:cs="Arial"/>
          <w:szCs w:val="24"/>
        </w:rPr>
        <w:t xml:space="preserve">approach </w:t>
      </w:r>
      <w:r w:rsidR="0082179B">
        <w:rPr>
          <w:rFonts w:cs="Arial"/>
          <w:szCs w:val="24"/>
        </w:rPr>
        <w:t>in</w:t>
      </w:r>
      <w:r w:rsidR="00047974">
        <w:rPr>
          <w:rFonts w:cs="Arial"/>
          <w:szCs w:val="24"/>
        </w:rPr>
        <w:t xml:space="preserve"> the use of best practices</w:t>
      </w:r>
      <w:r w:rsidR="007D3CC2">
        <w:rPr>
          <w:rFonts w:cs="Arial"/>
          <w:szCs w:val="24"/>
        </w:rPr>
        <w:t xml:space="preserve"> described in codes, standards and guides</w:t>
      </w:r>
      <w:r>
        <w:rPr>
          <w:rFonts w:cs="Arial"/>
          <w:szCs w:val="24"/>
        </w:rPr>
        <w:t>.</w:t>
      </w:r>
    </w:p>
    <w:p w14:paraId="3DFB20D3" w14:textId="0AFD063F" w:rsidR="005720FA" w:rsidRDefault="005720FA" w:rsidP="005720FA">
      <w:pPr>
        <w:pStyle w:val="Heading3"/>
        <w:keepLines w:val="0"/>
        <w:spacing w:before="120" w:after="120" w:line="240" w:lineRule="auto"/>
        <w:jc w:val="both"/>
        <w:rPr>
          <w:lang w:eastAsia="en-AU"/>
        </w:rPr>
      </w:pPr>
      <w:bookmarkStart w:id="17" w:name="_Toc470173141"/>
      <w:r>
        <w:rPr>
          <w:lang w:eastAsia="en-AU"/>
        </w:rPr>
        <w:t>Self-</w:t>
      </w:r>
      <w:r w:rsidRPr="00A9092B">
        <w:rPr>
          <w:lang w:eastAsia="en-AU"/>
        </w:rPr>
        <w:t>assessed rating of perf</w:t>
      </w:r>
      <w:r>
        <w:rPr>
          <w:lang w:eastAsia="en-AU"/>
        </w:rPr>
        <w:t>ormance against KPI 1 – 201</w:t>
      </w:r>
      <w:r w:rsidR="00751425">
        <w:rPr>
          <w:lang w:eastAsia="en-AU"/>
        </w:rPr>
        <w:t>6</w:t>
      </w:r>
      <w:r>
        <w:rPr>
          <w:lang w:eastAsia="en-AU"/>
        </w:rPr>
        <w:t>-1</w:t>
      </w:r>
      <w:bookmarkEnd w:id="17"/>
      <w:r w:rsidR="00751425">
        <w:rPr>
          <w:lang w:eastAsia="en-AU"/>
        </w:rPr>
        <w:t>7</w:t>
      </w:r>
    </w:p>
    <w:tbl>
      <w:tblPr>
        <w:tblStyle w:val="TableGrid"/>
        <w:tblW w:w="9747" w:type="dxa"/>
        <w:shd w:val="clear" w:color="auto" w:fill="FFFFFF" w:themeFill="background1"/>
        <w:tblLook w:val="04A0" w:firstRow="1" w:lastRow="0" w:firstColumn="1" w:lastColumn="0" w:noHBand="0" w:noVBand="1"/>
        <w:tblDescription w:val="Chapter 2.1.6 table contains a list of performance ratings against Key Performance Indicator (KPI) 1 of the 2015-16 Regulator Performance Framework. &#10;"/>
      </w:tblPr>
      <w:tblGrid>
        <w:gridCol w:w="1526"/>
        <w:gridCol w:w="2835"/>
        <w:gridCol w:w="1984"/>
        <w:gridCol w:w="1701"/>
        <w:gridCol w:w="1701"/>
      </w:tblGrid>
      <w:tr w:rsidR="005720FA" w:rsidRPr="00486505" w14:paraId="2AF68367" w14:textId="77777777" w:rsidTr="00FC1315">
        <w:trPr>
          <w:cantSplit/>
          <w:tblHeader/>
        </w:trPr>
        <w:tc>
          <w:tcPr>
            <w:tcW w:w="1526" w:type="dxa"/>
            <w:shd w:val="clear" w:color="auto" w:fill="FFFFFF" w:themeFill="background1"/>
          </w:tcPr>
          <w:p w14:paraId="66271950" w14:textId="77777777" w:rsidR="005720FA" w:rsidRPr="00EA634A" w:rsidRDefault="005720FA" w:rsidP="00172661">
            <w:pPr>
              <w:pStyle w:val="Tabletext"/>
              <w:rPr>
                <w:rStyle w:val="Strong"/>
              </w:rPr>
            </w:pPr>
            <w:r w:rsidRPr="00EA634A">
              <w:rPr>
                <w:rStyle w:val="Strong"/>
              </w:rPr>
              <w:t>Excellent</w:t>
            </w:r>
          </w:p>
          <w:p w14:paraId="05030A07" w14:textId="77777777" w:rsidR="005720FA" w:rsidRPr="00486505" w:rsidRDefault="005720FA" w:rsidP="00172661">
            <w:pPr>
              <w:pStyle w:val="Tabletext"/>
              <w:rPr>
                <w:szCs w:val="20"/>
                <w:lang w:eastAsia="en-AU"/>
              </w:rPr>
            </w:pPr>
            <w:r w:rsidRPr="00486505">
              <w:rPr>
                <w:szCs w:val="20"/>
                <w:lang w:eastAsia="en-AU"/>
              </w:rPr>
              <w:t>Strong performance against all the measures under the KPI</w:t>
            </w:r>
          </w:p>
        </w:tc>
        <w:tc>
          <w:tcPr>
            <w:tcW w:w="2835" w:type="dxa"/>
            <w:shd w:val="clear" w:color="auto" w:fill="C9F0C9" w:themeFill="accent3" w:themeFillTint="33"/>
          </w:tcPr>
          <w:p w14:paraId="60A45A99" w14:textId="77777777" w:rsidR="005720FA" w:rsidRPr="00EA634A" w:rsidRDefault="005720FA" w:rsidP="00172661">
            <w:pPr>
              <w:pStyle w:val="Tabletext"/>
              <w:rPr>
                <w:rStyle w:val="Strong"/>
              </w:rPr>
            </w:pPr>
            <w:r w:rsidRPr="00EA634A">
              <w:rPr>
                <w:rStyle w:val="Strong"/>
              </w:rPr>
              <w:t>Very Good</w:t>
            </w:r>
          </w:p>
          <w:p w14:paraId="1C34984B" w14:textId="77777777" w:rsidR="005720FA" w:rsidRPr="00486505" w:rsidRDefault="005720FA" w:rsidP="00172661">
            <w:pPr>
              <w:pStyle w:val="Tabletext"/>
              <w:rPr>
                <w:szCs w:val="20"/>
                <w:lang w:eastAsia="en-AU"/>
              </w:rPr>
            </w:pPr>
            <w:r w:rsidRPr="00486505">
              <w:rPr>
                <w:szCs w:val="20"/>
                <w:lang w:eastAsia="en-AU"/>
              </w:rPr>
              <w:t>Strong performance against majority of the measures under the KPI and no evidence of negative/poor performance against any measure</w:t>
            </w:r>
          </w:p>
        </w:tc>
        <w:tc>
          <w:tcPr>
            <w:tcW w:w="1984" w:type="dxa"/>
            <w:shd w:val="clear" w:color="auto" w:fill="FFFFFF" w:themeFill="background1"/>
          </w:tcPr>
          <w:p w14:paraId="28C340A0" w14:textId="77777777" w:rsidR="005720FA" w:rsidRPr="00EA634A" w:rsidRDefault="005720FA" w:rsidP="00172661">
            <w:pPr>
              <w:pStyle w:val="Tabletext"/>
              <w:rPr>
                <w:rStyle w:val="Strong"/>
              </w:rPr>
            </w:pPr>
            <w:r w:rsidRPr="00EA634A">
              <w:rPr>
                <w:rStyle w:val="Strong"/>
              </w:rPr>
              <w:t>Good</w:t>
            </w:r>
          </w:p>
          <w:p w14:paraId="6593099F" w14:textId="77777777" w:rsidR="005720FA" w:rsidRPr="00486505" w:rsidRDefault="005720FA" w:rsidP="00172661">
            <w:pPr>
              <w:pStyle w:val="Tabletext"/>
              <w:rPr>
                <w:szCs w:val="20"/>
                <w:lang w:eastAsia="en-AU"/>
              </w:rPr>
            </w:pPr>
            <w:r w:rsidRPr="00486505">
              <w:rPr>
                <w:szCs w:val="20"/>
                <w:lang w:eastAsia="en-AU"/>
              </w:rPr>
              <w:t>Average performance against the measures under the KPI</w:t>
            </w:r>
          </w:p>
        </w:tc>
        <w:tc>
          <w:tcPr>
            <w:tcW w:w="1701" w:type="dxa"/>
            <w:shd w:val="clear" w:color="auto" w:fill="FFFFFF" w:themeFill="background1"/>
          </w:tcPr>
          <w:p w14:paraId="54E50E40" w14:textId="77777777" w:rsidR="005720FA" w:rsidRPr="00EA634A" w:rsidRDefault="005720FA" w:rsidP="00172661">
            <w:pPr>
              <w:pStyle w:val="Tabletext"/>
              <w:rPr>
                <w:rStyle w:val="Strong"/>
              </w:rPr>
            </w:pPr>
            <w:r w:rsidRPr="00EA634A">
              <w:rPr>
                <w:rStyle w:val="Strong"/>
              </w:rPr>
              <w:t>Fair</w:t>
            </w:r>
          </w:p>
          <w:p w14:paraId="72607FE5" w14:textId="77777777" w:rsidR="005720FA" w:rsidRPr="00486505" w:rsidRDefault="005720FA" w:rsidP="00172661">
            <w:pPr>
              <w:pStyle w:val="Tabletext"/>
              <w:rPr>
                <w:szCs w:val="20"/>
                <w:lang w:eastAsia="en-AU"/>
              </w:rPr>
            </w:pPr>
            <w:r w:rsidRPr="00486505">
              <w:rPr>
                <w:szCs w:val="20"/>
                <w:lang w:eastAsia="en-AU"/>
              </w:rPr>
              <w:t>Poor performance against some measures under the KPI</w:t>
            </w:r>
          </w:p>
        </w:tc>
        <w:tc>
          <w:tcPr>
            <w:tcW w:w="1701" w:type="dxa"/>
            <w:shd w:val="clear" w:color="auto" w:fill="FFFFFF" w:themeFill="background1"/>
          </w:tcPr>
          <w:p w14:paraId="7B175B70" w14:textId="77777777" w:rsidR="005720FA" w:rsidRPr="00EA634A" w:rsidRDefault="005720FA" w:rsidP="00172661">
            <w:pPr>
              <w:pStyle w:val="Tabletext"/>
              <w:rPr>
                <w:rStyle w:val="Strong"/>
              </w:rPr>
            </w:pPr>
            <w:r w:rsidRPr="00EA634A">
              <w:rPr>
                <w:rStyle w:val="Strong"/>
              </w:rPr>
              <w:t>Poor</w:t>
            </w:r>
          </w:p>
          <w:p w14:paraId="4A1BE394" w14:textId="77777777" w:rsidR="005720FA" w:rsidRPr="00486505" w:rsidRDefault="005720FA" w:rsidP="00172661">
            <w:pPr>
              <w:pStyle w:val="Tabletext"/>
              <w:rPr>
                <w:szCs w:val="20"/>
                <w:lang w:eastAsia="en-AU"/>
              </w:rPr>
            </w:pPr>
            <w:r w:rsidRPr="00486505">
              <w:rPr>
                <w:szCs w:val="20"/>
                <w:lang w:eastAsia="en-AU"/>
              </w:rPr>
              <w:t>Poor performance against most of the measures under the KPI</w:t>
            </w:r>
          </w:p>
        </w:tc>
      </w:tr>
    </w:tbl>
    <w:p w14:paraId="5C9B13AF" w14:textId="17F30DCE" w:rsidR="004B3B74" w:rsidRPr="004B3B74" w:rsidRDefault="004B3B74" w:rsidP="004B3B74">
      <w:pPr>
        <w:rPr>
          <w:lang w:eastAsia="en-AU"/>
        </w:rPr>
      </w:pPr>
      <w:bookmarkStart w:id="18" w:name="_Toc470173142"/>
      <w:r>
        <w:rPr>
          <w:lang w:eastAsia="en-AU"/>
        </w:rPr>
        <w:t xml:space="preserve">This rating compares </w:t>
      </w:r>
      <w:r w:rsidR="00D14F65">
        <w:rPr>
          <w:lang w:eastAsia="en-AU"/>
        </w:rPr>
        <w:t xml:space="preserve">with </w:t>
      </w:r>
      <w:r w:rsidR="00707271">
        <w:rPr>
          <w:lang w:eastAsia="en-AU"/>
        </w:rPr>
        <w:t>‘</w:t>
      </w:r>
      <w:r>
        <w:rPr>
          <w:lang w:eastAsia="en-AU"/>
        </w:rPr>
        <w:t>good</w:t>
      </w:r>
      <w:r w:rsidR="00707271">
        <w:rPr>
          <w:lang w:eastAsia="en-AU"/>
        </w:rPr>
        <w:t>’</w:t>
      </w:r>
      <w:r>
        <w:rPr>
          <w:lang w:eastAsia="en-AU"/>
        </w:rPr>
        <w:t xml:space="preserve"> </w:t>
      </w:r>
      <w:r w:rsidR="00DF1589">
        <w:rPr>
          <w:lang w:eastAsia="en-AU"/>
        </w:rPr>
        <w:t xml:space="preserve">in the </w:t>
      </w:r>
      <w:r w:rsidR="000C5E33">
        <w:rPr>
          <w:lang w:eastAsia="en-AU"/>
        </w:rPr>
        <w:t>2015-</w:t>
      </w:r>
      <w:r w:rsidR="00DF1589">
        <w:rPr>
          <w:lang w:eastAsia="en-AU"/>
        </w:rPr>
        <w:t xml:space="preserve">16 self-assessment report. </w:t>
      </w:r>
      <w:r w:rsidR="00D14F65">
        <w:rPr>
          <w:lang w:eastAsia="en-AU"/>
        </w:rPr>
        <w:t xml:space="preserve">Improvements made during this year include improved </w:t>
      </w:r>
      <w:r w:rsidR="00DF1589">
        <w:rPr>
          <w:lang w:eastAsia="en-AU"/>
        </w:rPr>
        <w:t>deliver</w:t>
      </w:r>
      <w:r w:rsidR="00D14F65">
        <w:rPr>
          <w:lang w:eastAsia="en-AU"/>
        </w:rPr>
        <w:t xml:space="preserve">y of </w:t>
      </w:r>
      <w:r w:rsidR="00DF1589">
        <w:rPr>
          <w:lang w:eastAsia="en-AU"/>
        </w:rPr>
        <w:t>the inspection programme including risk informed scheduling</w:t>
      </w:r>
      <w:r w:rsidR="00D14F65">
        <w:rPr>
          <w:lang w:eastAsia="en-AU"/>
        </w:rPr>
        <w:t>, improved consistency and a clearer and consistent approach to regulatory standards</w:t>
      </w:r>
      <w:r w:rsidR="00DF1589">
        <w:rPr>
          <w:lang w:eastAsia="en-AU"/>
        </w:rPr>
        <w:t xml:space="preserve">. There has </w:t>
      </w:r>
      <w:r w:rsidR="00D14F65">
        <w:rPr>
          <w:lang w:eastAsia="en-AU"/>
        </w:rPr>
        <w:t xml:space="preserve">also </w:t>
      </w:r>
      <w:r w:rsidR="00DF1589">
        <w:rPr>
          <w:lang w:eastAsia="en-AU"/>
        </w:rPr>
        <w:lastRenderedPageBreak/>
        <w:t xml:space="preserve">been </w:t>
      </w:r>
      <w:r w:rsidR="00D14F65">
        <w:rPr>
          <w:lang w:eastAsia="en-AU"/>
        </w:rPr>
        <w:t>improved</w:t>
      </w:r>
      <w:r w:rsidR="00DF1589">
        <w:rPr>
          <w:lang w:eastAsia="en-AU"/>
        </w:rPr>
        <w:t xml:space="preserve"> communication regarding the </w:t>
      </w:r>
      <w:r w:rsidR="00D14F65">
        <w:rPr>
          <w:lang w:eastAsia="en-AU"/>
        </w:rPr>
        <w:t xml:space="preserve">licence </w:t>
      </w:r>
      <w:r w:rsidR="00DF1589">
        <w:rPr>
          <w:lang w:eastAsia="en-AU"/>
        </w:rPr>
        <w:t xml:space="preserve">assessment process </w:t>
      </w:r>
      <w:r w:rsidR="00D14F65">
        <w:rPr>
          <w:lang w:eastAsia="en-AU"/>
        </w:rPr>
        <w:t>and on agreeing target dates for decisions. Internal improvements on performance tracking and record keeping have improved efficiency.</w:t>
      </w:r>
    </w:p>
    <w:p w14:paraId="4E1BC9B4" w14:textId="1601ECD7" w:rsidR="005720FA" w:rsidRPr="00A9092B" w:rsidRDefault="005720FA" w:rsidP="005720FA">
      <w:pPr>
        <w:pStyle w:val="Heading3"/>
        <w:keepLines w:val="0"/>
        <w:spacing w:before="200" w:after="120" w:line="240" w:lineRule="auto"/>
        <w:jc w:val="both"/>
        <w:rPr>
          <w:lang w:eastAsia="en-AU"/>
        </w:rPr>
      </w:pPr>
      <w:r w:rsidRPr="00A9092B">
        <w:rPr>
          <w:lang w:eastAsia="en-AU"/>
        </w:rPr>
        <w:t>Actions for improving performance against KPI 1</w:t>
      </w:r>
      <w:bookmarkEnd w:id="18"/>
    </w:p>
    <w:p w14:paraId="1B15DC94" w14:textId="77777777" w:rsidR="005720FA" w:rsidRPr="00A9092B" w:rsidRDefault="005720FA" w:rsidP="005720FA">
      <w:pPr>
        <w:autoSpaceDE w:val="0"/>
        <w:autoSpaceDN w:val="0"/>
        <w:adjustRightInd w:val="0"/>
        <w:spacing w:after="120"/>
        <w:rPr>
          <w:rFonts w:cs="Arial"/>
          <w:szCs w:val="24"/>
        </w:rPr>
      </w:pPr>
      <w:r>
        <w:rPr>
          <w:rFonts w:cs="Arial"/>
          <w:szCs w:val="24"/>
        </w:rPr>
        <w:t xml:space="preserve">The team identified the following </w:t>
      </w:r>
      <w:r w:rsidRPr="00A9092B">
        <w:rPr>
          <w:rFonts w:cs="Arial"/>
          <w:szCs w:val="24"/>
        </w:rPr>
        <w:t xml:space="preserve">AFI </w:t>
      </w:r>
      <w:r>
        <w:rPr>
          <w:rFonts w:cs="Arial"/>
          <w:szCs w:val="24"/>
        </w:rPr>
        <w:t>related to</w:t>
      </w:r>
      <w:r w:rsidRPr="00A9092B">
        <w:rPr>
          <w:rFonts w:cs="Arial"/>
          <w:szCs w:val="24"/>
        </w:rPr>
        <w:t xml:space="preserve"> PI 1.1:</w:t>
      </w:r>
    </w:p>
    <w:p w14:paraId="30BBD99B" w14:textId="502B135A" w:rsidR="00BD1F1E" w:rsidRDefault="00BD1F1E" w:rsidP="005720FA">
      <w:pPr>
        <w:pStyle w:val="ListParagraph"/>
        <w:numPr>
          <w:ilvl w:val="0"/>
          <w:numId w:val="22"/>
        </w:numPr>
        <w:spacing w:before="0" w:after="120" w:line="276" w:lineRule="auto"/>
        <w:ind w:left="714" w:hanging="357"/>
        <w:contextualSpacing/>
        <w:rPr>
          <w:rFonts w:cs="Arial"/>
          <w:szCs w:val="24"/>
        </w:rPr>
      </w:pPr>
      <w:r>
        <w:rPr>
          <w:rFonts w:cs="Arial"/>
          <w:szCs w:val="24"/>
        </w:rPr>
        <w:t xml:space="preserve">No mechanism to reward </w:t>
      </w:r>
      <w:r w:rsidR="00E3072D">
        <w:rPr>
          <w:rFonts w:cs="Arial"/>
          <w:szCs w:val="24"/>
        </w:rPr>
        <w:t xml:space="preserve">good regulatory </w:t>
      </w:r>
      <w:r>
        <w:rPr>
          <w:rFonts w:cs="Arial"/>
          <w:szCs w:val="24"/>
        </w:rPr>
        <w:t>performance has been implemented for source licences.</w:t>
      </w:r>
    </w:p>
    <w:p w14:paraId="3197DFDC" w14:textId="77777777" w:rsidR="00092608" w:rsidRDefault="00092608" w:rsidP="005720FA">
      <w:pPr>
        <w:pStyle w:val="ListParagraph"/>
        <w:numPr>
          <w:ilvl w:val="0"/>
          <w:numId w:val="22"/>
        </w:numPr>
        <w:spacing w:before="0" w:after="120" w:line="276" w:lineRule="auto"/>
        <w:ind w:left="714" w:hanging="357"/>
        <w:contextualSpacing/>
        <w:rPr>
          <w:rFonts w:cs="Arial"/>
          <w:szCs w:val="24"/>
        </w:rPr>
      </w:pPr>
      <w:r>
        <w:rPr>
          <w:rFonts w:cs="Arial"/>
          <w:szCs w:val="24"/>
        </w:rPr>
        <w:t>Expectations of an inspection, as described in the inspection notification letter, are not always met.</w:t>
      </w:r>
    </w:p>
    <w:p w14:paraId="2A73B884" w14:textId="5A4EA5FE" w:rsidR="005720FA" w:rsidRDefault="00092608" w:rsidP="005720FA">
      <w:pPr>
        <w:pStyle w:val="ListParagraph"/>
        <w:numPr>
          <w:ilvl w:val="0"/>
          <w:numId w:val="22"/>
        </w:numPr>
        <w:spacing w:before="0" w:after="120" w:line="276" w:lineRule="auto"/>
        <w:ind w:left="714" w:hanging="357"/>
        <w:contextualSpacing/>
        <w:rPr>
          <w:rFonts w:cs="Arial"/>
          <w:szCs w:val="24"/>
        </w:rPr>
      </w:pPr>
      <w:r>
        <w:rPr>
          <w:rFonts w:cs="Arial"/>
          <w:szCs w:val="24"/>
        </w:rPr>
        <w:t xml:space="preserve">Source licence PO&amp;Cs should be reviewed and updated. Consider if PO&amp;Cs in </w:t>
      </w:r>
      <w:r w:rsidR="007D3CC2">
        <w:rPr>
          <w:rFonts w:cs="Arial"/>
          <w:szCs w:val="24"/>
        </w:rPr>
        <w:t xml:space="preserve">their </w:t>
      </w:r>
      <w:r>
        <w:rPr>
          <w:rFonts w:cs="Arial"/>
          <w:szCs w:val="24"/>
        </w:rPr>
        <w:t xml:space="preserve">current form are suitable for the range of radiation sources (particularly low hazard sources) </w:t>
      </w:r>
      <w:r w:rsidR="00AC64D6">
        <w:rPr>
          <w:rFonts w:cs="Arial"/>
          <w:szCs w:val="24"/>
        </w:rPr>
        <w:t xml:space="preserve">for which </w:t>
      </w:r>
      <w:r>
        <w:rPr>
          <w:rFonts w:cs="Arial"/>
          <w:szCs w:val="24"/>
        </w:rPr>
        <w:t>they are used</w:t>
      </w:r>
      <w:r w:rsidR="005720FA">
        <w:rPr>
          <w:rFonts w:cs="Arial"/>
          <w:szCs w:val="24"/>
        </w:rPr>
        <w:t>.</w:t>
      </w:r>
    </w:p>
    <w:p w14:paraId="347A5F45" w14:textId="517E5E10" w:rsidR="00092608" w:rsidRPr="00A9092B" w:rsidRDefault="0001159E" w:rsidP="005720FA">
      <w:pPr>
        <w:pStyle w:val="ListParagraph"/>
        <w:numPr>
          <w:ilvl w:val="0"/>
          <w:numId w:val="22"/>
        </w:numPr>
        <w:spacing w:before="0" w:after="120" w:line="276" w:lineRule="auto"/>
        <w:ind w:left="714" w:hanging="357"/>
        <w:contextualSpacing/>
        <w:rPr>
          <w:rFonts w:cs="Arial"/>
          <w:szCs w:val="24"/>
        </w:rPr>
      </w:pPr>
      <w:r>
        <w:rPr>
          <w:rFonts w:cs="Arial"/>
          <w:szCs w:val="24"/>
        </w:rPr>
        <w:t>Data management tools are fragmented and inefficient</w:t>
      </w:r>
      <w:r w:rsidR="007415A7">
        <w:rPr>
          <w:rFonts w:cs="Arial"/>
          <w:szCs w:val="24"/>
        </w:rPr>
        <w:t xml:space="preserve"> and </w:t>
      </w:r>
      <w:r w:rsidR="007D3CC2">
        <w:rPr>
          <w:rFonts w:cs="Arial"/>
          <w:szCs w:val="24"/>
        </w:rPr>
        <w:t xml:space="preserve">a review </w:t>
      </w:r>
      <w:r w:rsidR="004D1594">
        <w:rPr>
          <w:rFonts w:cs="Arial"/>
          <w:szCs w:val="24"/>
        </w:rPr>
        <w:t xml:space="preserve">of potential actions </w:t>
      </w:r>
      <w:r w:rsidR="007D3CC2">
        <w:rPr>
          <w:rFonts w:cs="Arial"/>
          <w:szCs w:val="24"/>
        </w:rPr>
        <w:t xml:space="preserve">to resolve the issues (including consolidation or replacement) </w:t>
      </w:r>
      <w:r w:rsidR="007415A7">
        <w:rPr>
          <w:rFonts w:cs="Arial"/>
          <w:szCs w:val="24"/>
        </w:rPr>
        <w:t xml:space="preserve">should be </w:t>
      </w:r>
      <w:r w:rsidR="007D3CC2">
        <w:rPr>
          <w:rFonts w:cs="Arial"/>
          <w:szCs w:val="24"/>
        </w:rPr>
        <w:t>conducted as soon as possible</w:t>
      </w:r>
      <w:r w:rsidR="007415A7">
        <w:rPr>
          <w:rFonts w:cs="Arial"/>
          <w:szCs w:val="24"/>
        </w:rPr>
        <w:t>.</w:t>
      </w:r>
    </w:p>
    <w:p w14:paraId="55A5A033" w14:textId="77777777" w:rsidR="005720FA" w:rsidRPr="00A9092B" w:rsidRDefault="005720FA" w:rsidP="005720FA">
      <w:pPr>
        <w:autoSpaceDE w:val="0"/>
        <w:autoSpaceDN w:val="0"/>
        <w:adjustRightInd w:val="0"/>
        <w:spacing w:after="120"/>
        <w:rPr>
          <w:rFonts w:cs="Arial"/>
          <w:szCs w:val="24"/>
        </w:rPr>
      </w:pPr>
      <w:r>
        <w:rPr>
          <w:rFonts w:cs="Arial"/>
          <w:szCs w:val="24"/>
        </w:rPr>
        <w:lastRenderedPageBreak/>
        <w:t xml:space="preserve">The team identified the following </w:t>
      </w:r>
      <w:r w:rsidRPr="00A9092B">
        <w:rPr>
          <w:rFonts w:cs="Arial"/>
          <w:szCs w:val="24"/>
        </w:rPr>
        <w:t xml:space="preserve">AFI </w:t>
      </w:r>
      <w:r>
        <w:rPr>
          <w:rFonts w:cs="Arial"/>
          <w:szCs w:val="24"/>
        </w:rPr>
        <w:t>related to</w:t>
      </w:r>
      <w:r w:rsidRPr="00A9092B">
        <w:rPr>
          <w:rFonts w:cs="Arial"/>
          <w:szCs w:val="24"/>
        </w:rPr>
        <w:t xml:space="preserve"> PI 1.</w:t>
      </w:r>
      <w:r>
        <w:rPr>
          <w:rFonts w:cs="Arial"/>
          <w:szCs w:val="24"/>
        </w:rPr>
        <w:t>2</w:t>
      </w:r>
      <w:r w:rsidRPr="00A9092B">
        <w:rPr>
          <w:rFonts w:cs="Arial"/>
          <w:szCs w:val="24"/>
        </w:rPr>
        <w:t>:</w:t>
      </w:r>
    </w:p>
    <w:p w14:paraId="4DFF9EF7" w14:textId="77777777" w:rsidR="005720FA" w:rsidRDefault="00F77911" w:rsidP="005720FA">
      <w:pPr>
        <w:pStyle w:val="ListParagraph"/>
        <w:numPr>
          <w:ilvl w:val="0"/>
          <w:numId w:val="23"/>
        </w:numPr>
        <w:spacing w:before="0" w:after="120" w:line="276" w:lineRule="auto"/>
        <w:ind w:left="714" w:hanging="357"/>
        <w:contextualSpacing/>
        <w:rPr>
          <w:rFonts w:cs="Arial"/>
          <w:szCs w:val="24"/>
        </w:rPr>
      </w:pPr>
      <w:r>
        <w:rPr>
          <w:rFonts w:cs="Arial"/>
          <w:szCs w:val="24"/>
        </w:rPr>
        <w:t xml:space="preserve">Workforce planning </w:t>
      </w:r>
      <w:r w:rsidR="006A0D6B">
        <w:rPr>
          <w:rFonts w:cs="Arial"/>
          <w:szCs w:val="24"/>
        </w:rPr>
        <w:t>(ISO 17020 project currently in progress to address this)</w:t>
      </w:r>
      <w:r w:rsidR="00F5438B">
        <w:rPr>
          <w:rFonts w:cs="Arial"/>
          <w:szCs w:val="24"/>
        </w:rPr>
        <w:t>.</w:t>
      </w:r>
      <w:r>
        <w:rPr>
          <w:rFonts w:cs="Arial"/>
          <w:szCs w:val="24"/>
        </w:rPr>
        <w:t xml:space="preserve"> </w:t>
      </w:r>
    </w:p>
    <w:p w14:paraId="62824CC9" w14:textId="77777777" w:rsidR="005720FA" w:rsidRPr="00A9092B" w:rsidRDefault="006A0D6B" w:rsidP="005720FA">
      <w:pPr>
        <w:pStyle w:val="ListParagraph"/>
        <w:numPr>
          <w:ilvl w:val="0"/>
          <w:numId w:val="23"/>
        </w:numPr>
        <w:spacing w:before="0" w:after="120" w:line="276" w:lineRule="auto"/>
        <w:ind w:left="714" w:hanging="357"/>
        <w:contextualSpacing/>
        <w:rPr>
          <w:rFonts w:cs="Arial"/>
          <w:szCs w:val="24"/>
        </w:rPr>
      </w:pPr>
      <w:r>
        <w:rPr>
          <w:rFonts w:cs="Arial"/>
          <w:szCs w:val="24"/>
        </w:rPr>
        <w:t xml:space="preserve">Client survey needed to provide </w:t>
      </w:r>
      <w:r w:rsidRPr="006A0D6B">
        <w:rPr>
          <w:rFonts w:cs="Arial"/>
          <w:szCs w:val="24"/>
        </w:rPr>
        <w:t>useful information to drive improvements</w:t>
      </w:r>
      <w:r>
        <w:rPr>
          <w:rFonts w:cs="Arial"/>
          <w:szCs w:val="24"/>
        </w:rPr>
        <w:t xml:space="preserve"> relating to the licence assessment process</w:t>
      </w:r>
      <w:r w:rsidR="00BE0D08">
        <w:rPr>
          <w:rFonts w:cs="Arial"/>
          <w:szCs w:val="24"/>
        </w:rPr>
        <w:t xml:space="preserve"> (shared AFI with KPI 2)</w:t>
      </w:r>
      <w:r w:rsidR="005720FA" w:rsidRPr="00A9092B">
        <w:rPr>
          <w:rFonts w:cs="Arial"/>
          <w:szCs w:val="24"/>
        </w:rPr>
        <w:t>.</w:t>
      </w:r>
    </w:p>
    <w:p w14:paraId="3BC899CE" w14:textId="77777777" w:rsidR="008B0EA6" w:rsidRPr="00A9092B" w:rsidRDefault="008B0EA6" w:rsidP="008B0EA6">
      <w:pPr>
        <w:pStyle w:val="Heading2"/>
        <w:keepLines w:val="0"/>
        <w:spacing w:before="480" w:after="120" w:line="240" w:lineRule="auto"/>
        <w:ind w:left="578" w:hanging="578"/>
        <w:rPr>
          <w:lang w:eastAsia="en-AU"/>
        </w:rPr>
      </w:pPr>
      <w:bookmarkStart w:id="19" w:name="_Toc470173143"/>
      <w:bookmarkStart w:id="20" w:name="_Toc492467951"/>
      <w:r w:rsidRPr="00A9092B">
        <w:rPr>
          <w:lang w:eastAsia="en-AU"/>
        </w:rPr>
        <w:t xml:space="preserve">KPI 2 </w:t>
      </w:r>
      <w:r>
        <w:rPr>
          <w:lang w:eastAsia="en-AU"/>
        </w:rPr>
        <w:t>–</w:t>
      </w:r>
      <w:r w:rsidRPr="00A9092B">
        <w:rPr>
          <w:lang w:eastAsia="en-AU"/>
        </w:rPr>
        <w:t xml:space="preserve"> Communication with regulated entities is clear, targeted and effective</w:t>
      </w:r>
      <w:bookmarkEnd w:id="19"/>
      <w:bookmarkEnd w:id="20"/>
    </w:p>
    <w:p w14:paraId="19C14510" w14:textId="77777777" w:rsidR="00EB714D" w:rsidRPr="00EB714D" w:rsidRDefault="00EB714D" w:rsidP="00EB714D">
      <w:pPr>
        <w:pStyle w:val="Heading3"/>
        <w:keepLines w:val="0"/>
        <w:spacing w:before="120" w:after="120" w:line="240" w:lineRule="auto"/>
        <w:jc w:val="both"/>
        <w:rPr>
          <w:lang w:eastAsia="en-AU"/>
        </w:rPr>
      </w:pPr>
      <w:r>
        <w:rPr>
          <w:lang w:eastAsia="en-AU"/>
        </w:rPr>
        <w:t>Overview of</w:t>
      </w:r>
      <w:r w:rsidRPr="00A9092B">
        <w:rPr>
          <w:lang w:eastAsia="en-AU"/>
        </w:rPr>
        <w:t xml:space="preserve"> KPI </w:t>
      </w:r>
      <w:r>
        <w:rPr>
          <w:lang w:eastAsia="en-AU"/>
        </w:rPr>
        <w:t>2</w:t>
      </w:r>
    </w:p>
    <w:p w14:paraId="26832665" w14:textId="77777777" w:rsidR="008B0EA6" w:rsidRDefault="008B0EA6" w:rsidP="008B0EA6">
      <w:pPr>
        <w:widowControl w:val="0"/>
        <w:autoSpaceDE w:val="0"/>
        <w:autoSpaceDN w:val="0"/>
        <w:adjustRightInd w:val="0"/>
        <w:spacing w:after="120"/>
        <w:rPr>
          <w:rFonts w:cs="Times New Roman"/>
          <w:bCs/>
          <w:szCs w:val="24"/>
          <w:lang w:eastAsia="en-AU"/>
        </w:rPr>
      </w:pPr>
      <w:r>
        <w:rPr>
          <w:rFonts w:cs="Times New Roman"/>
          <w:bCs/>
          <w:szCs w:val="24"/>
          <w:lang w:eastAsia="en-AU"/>
        </w:rPr>
        <w:t xml:space="preserve">A licence holder has primary responsibility for safety of its activities. Good communication is essential to inform regulated entities how to meet their responsibilities under the Act and Regulations. It is also important to educate regulatory staff of the operating environment, priorities and needs of regulated entities. </w:t>
      </w:r>
    </w:p>
    <w:p w14:paraId="1064B148" w14:textId="77777777" w:rsidR="008B0EA6" w:rsidRDefault="008B0EA6" w:rsidP="008B0EA6">
      <w:pPr>
        <w:widowControl w:val="0"/>
        <w:autoSpaceDE w:val="0"/>
        <w:autoSpaceDN w:val="0"/>
        <w:adjustRightInd w:val="0"/>
        <w:spacing w:after="120"/>
        <w:rPr>
          <w:rFonts w:cs="Times New Roman"/>
          <w:bCs/>
          <w:szCs w:val="24"/>
          <w:lang w:eastAsia="en-AU"/>
        </w:rPr>
      </w:pPr>
      <w:r>
        <w:rPr>
          <w:rFonts w:cs="Times New Roman"/>
          <w:bCs/>
          <w:szCs w:val="24"/>
          <w:lang w:eastAsia="en-AU"/>
        </w:rPr>
        <w:t xml:space="preserve">ARPANSA’s methods of communication include written communication, meetings, site visits and inspections, workshops </w:t>
      </w:r>
      <w:r>
        <w:rPr>
          <w:rFonts w:cs="Times New Roman"/>
          <w:bCs/>
          <w:szCs w:val="24"/>
          <w:lang w:eastAsia="en-AU"/>
        </w:rPr>
        <w:lastRenderedPageBreak/>
        <w:t>and licence holder forums. In addition, a licence holder may approach ARPANSA at any management level, at any time, to seek clarification and to provide feedback. Surveys are used to obtain feedback on specific regulatory services.</w:t>
      </w:r>
    </w:p>
    <w:p w14:paraId="01F1E0AA" w14:textId="77777777" w:rsidR="008B0EA6" w:rsidRDefault="008B0EA6" w:rsidP="008B0EA6">
      <w:pPr>
        <w:widowControl w:val="0"/>
        <w:autoSpaceDE w:val="0"/>
        <w:autoSpaceDN w:val="0"/>
        <w:adjustRightInd w:val="0"/>
        <w:spacing w:after="120"/>
        <w:rPr>
          <w:rFonts w:cs="Times New Roman"/>
          <w:bCs/>
          <w:szCs w:val="24"/>
          <w:lang w:eastAsia="en-AU"/>
        </w:rPr>
      </w:pPr>
      <w:r>
        <w:rPr>
          <w:rFonts w:cs="Times New Roman"/>
          <w:bCs/>
          <w:szCs w:val="24"/>
          <w:lang w:eastAsia="en-AU"/>
        </w:rPr>
        <w:t xml:space="preserve">ARPANSA prepares </w:t>
      </w:r>
      <w:hyperlink r:id="rId16" w:history="1">
        <w:r w:rsidRPr="0019705A">
          <w:rPr>
            <w:rStyle w:val="Hyperlink"/>
            <w:rFonts w:cs="Times New Roman"/>
            <w:bCs/>
            <w:szCs w:val="24"/>
            <w:lang w:eastAsia="en-AU"/>
          </w:rPr>
          <w:t>regulatory guidance</w:t>
        </w:r>
      </w:hyperlink>
      <w:r>
        <w:rPr>
          <w:rFonts w:cs="Times New Roman"/>
          <w:bCs/>
          <w:szCs w:val="24"/>
          <w:lang w:eastAsia="en-AU"/>
        </w:rPr>
        <w:t xml:space="preserve"> that describes how ARPANSA goes about its regulatory business and what it expects from a licence holder. Development of these guides includes consultation with </w:t>
      </w:r>
      <w:r w:rsidRPr="00F5438B">
        <w:rPr>
          <w:rFonts w:cs="Times New Roman"/>
          <w:bCs/>
          <w:szCs w:val="24"/>
          <w:lang w:eastAsia="en-AU"/>
        </w:rPr>
        <w:t>stakeholders (See section 2.5)</w:t>
      </w:r>
      <w:r>
        <w:rPr>
          <w:rFonts w:cs="Times New Roman"/>
          <w:bCs/>
          <w:szCs w:val="24"/>
          <w:lang w:eastAsia="en-AU"/>
        </w:rPr>
        <w:t xml:space="preserve">. This reduces the risk of a licence holder </w:t>
      </w:r>
      <w:r w:rsidRPr="00B62B3D">
        <w:rPr>
          <w:rFonts w:cs="Times New Roman"/>
          <w:bCs/>
          <w:szCs w:val="24"/>
          <w:lang w:eastAsia="en-AU"/>
        </w:rPr>
        <w:t>undertaking unfocussed or unnecessary</w:t>
      </w:r>
      <w:r>
        <w:rPr>
          <w:rFonts w:cs="Times New Roman"/>
          <w:bCs/>
          <w:szCs w:val="24"/>
          <w:lang w:eastAsia="en-AU"/>
        </w:rPr>
        <w:t xml:space="preserve"> work in order to address regulatory requirements.</w:t>
      </w:r>
      <w:r w:rsidRPr="00E921FE">
        <w:t xml:space="preserve"> </w:t>
      </w:r>
      <w:r>
        <w:rPr>
          <w:rFonts w:cs="Times New Roman"/>
          <w:bCs/>
          <w:szCs w:val="24"/>
          <w:lang w:eastAsia="en-AU"/>
        </w:rPr>
        <w:t>R</w:t>
      </w:r>
      <w:r w:rsidRPr="00E921FE">
        <w:rPr>
          <w:rFonts w:cs="Times New Roman"/>
          <w:bCs/>
          <w:szCs w:val="24"/>
          <w:lang w:eastAsia="en-AU"/>
        </w:rPr>
        <w:t>egulatory guidance</w:t>
      </w:r>
      <w:r>
        <w:rPr>
          <w:rFonts w:cs="Times New Roman"/>
          <w:bCs/>
          <w:szCs w:val="24"/>
          <w:lang w:eastAsia="en-AU"/>
        </w:rPr>
        <w:t xml:space="preserve"> is published on the ARPANSA</w:t>
      </w:r>
      <w:r w:rsidRPr="00E921FE">
        <w:rPr>
          <w:rFonts w:cs="Times New Roman"/>
          <w:bCs/>
          <w:szCs w:val="24"/>
          <w:lang w:eastAsia="en-AU"/>
        </w:rPr>
        <w:t xml:space="preserve"> website</w:t>
      </w:r>
      <w:r>
        <w:rPr>
          <w:rFonts w:cs="Times New Roman"/>
          <w:bCs/>
          <w:szCs w:val="24"/>
          <w:lang w:eastAsia="en-AU"/>
        </w:rPr>
        <w:t xml:space="preserve"> and </w:t>
      </w:r>
      <w:r w:rsidRPr="00E921FE">
        <w:rPr>
          <w:rFonts w:cs="Times New Roman"/>
          <w:bCs/>
          <w:szCs w:val="24"/>
          <w:lang w:eastAsia="en-AU"/>
        </w:rPr>
        <w:t>is kept up-to-date and relevant.</w:t>
      </w:r>
    </w:p>
    <w:p w14:paraId="37449481" w14:textId="78223700" w:rsidR="008B0EA6" w:rsidRDefault="008B0EA6" w:rsidP="008B0EA6">
      <w:pPr>
        <w:widowControl w:val="0"/>
        <w:autoSpaceDE w:val="0"/>
        <w:autoSpaceDN w:val="0"/>
        <w:adjustRightInd w:val="0"/>
        <w:spacing w:after="120"/>
        <w:rPr>
          <w:rFonts w:cs="Times New Roman"/>
          <w:bCs/>
          <w:szCs w:val="24"/>
          <w:lang w:eastAsia="en-AU"/>
        </w:rPr>
      </w:pPr>
      <w:r>
        <w:rPr>
          <w:rFonts w:cs="Times New Roman"/>
          <w:bCs/>
          <w:szCs w:val="24"/>
          <w:lang w:eastAsia="en-AU"/>
        </w:rPr>
        <w:t xml:space="preserve">As previously discussed, </w:t>
      </w:r>
      <w:r w:rsidR="00DF394F">
        <w:rPr>
          <w:rFonts w:cs="Times New Roman"/>
          <w:bCs/>
          <w:szCs w:val="24"/>
          <w:lang w:eastAsia="en-AU"/>
        </w:rPr>
        <w:t>communication with</w:t>
      </w:r>
      <w:r>
        <w:rPr>
          <w:rFonts w:cs="Times New Roman"/>
          <w:bCs/>
          <w:szCs w:val="24"/>
          <w:lang w:eastAsia="en-AU"/>
        </w:rPr>
        <w:t xml:space="preserve"> a licence holder well in advance of an inspection advises when an inspection will take place and </w:t>
      </w:r>
      <w:r w:rsidR="0082179B">
        <w:rPr>
          <w:rFonts w:cs="Times New Roman"/>
          <w:bCs/>
          <w:szCs w:val="24"/>
          <w:lang w:eastAsia="en-AU"/>
        </w:rPr>
        <w:t>the</w:t>
      </w:r>
      <w:r>
        <w:rPr>
          <w:rFonts w:cs="Times New Roman"/>
          <w:bCs/>
          <w:szCs w:val="24"/>
          <w:lang w:eastAsia="en-AU"/>
        </w:rPr>
        <w:t xml:space="preserve"> </w:t>
      </w:r>
      <w:r w:rsidR="004A0820">
        <w:rPr>
          <w:rFonts w:cs="Times New Roman"/>
          <w:bCs/>
          <w:szCs w:val="24"/>
          <w:lang w:eastAsia="en-AU"/>
        </w:rPr>
        <w:t xml:space="preserve">PO&amp;C </w:t>
      </w:r>
      <w:r w:rsidR="0082179B">
        <w:rPr>
          <w:rFonts w:cs="Times New Roman"/>
          <w:bCs/>
          <w:szCs w:val="24"/>
          <w:lang w:eastAsia="en-AU"/>
        </w:rPr>
        <w:t xml:space="preserve">that </w:t>
      </w:r>
      <w:r>
        <w:rPr>
          <w:rFonts w:cs="Times New Roman"/>
          <w:bCs/>
          <w:szCs w:val="24"/>
          <w:lang w:eastAsia="en-AU"/>
        </w:rPr>
        <w:t xml:space="preserve">are to be used. </w:t>
      </w:r>
      <w:r w:rsidR="00BE1FA5">
        <w:rPr>
          <w:rFonts w:cs="Times New Roman"/>
          <w:bCs/>
          <w:szCs w:val="24"/>
          <w:lang w:eastAsia="en-AU"/>
        </w:rPr>
        <w:t xml:space="preserve">A condition of all licences allows ARPANSA to undertake an inspection at any time, however in practice, each inspection is to </w:t>
      </w:r>
      <w:r>
        <w:rPr>
          <w:rFonts w:cs="Times New Roman"/>
          <w:bCs/>
          <w:szCs w:val="24"/>
          <w:lang w:eastAsia="en-AU"/>
        </w:rPr>
        <w:t>a mutu</w:t>
      </w:r>
      <w:r>
        <w:rPr>
          <w:rFonts w:cs="Times New Roman"/>
          <w:bCs/>
          <w:szCs w:val="24"/>
          <w:lang w:eastAsia="en-AU"/>
        </w:rPr>
        <w:lastRenderedPageBreak/>
        <w:t xml:space="preserve">ally agreed timetable that details when specific inspection activities will take place, who is involved, what documentation and evidence is needed, and the premises to be visited. A formal entrance meeting is held to ensure that the licence holder understands the purpose, scope and method of the inspection. </w:t>
      </w:r>
    </w:p>
    <w:p w14:paraId="5D01DBED" w14:textId="21AE0D3D" w:rsidR="008B0EA6" w:rsidRDefault="004A0820" w:rsidP="008B0EA6">
      <w:pPr>
        <w:widowControl w:val="0"/>
        <w:autoSpaceDE w:val="0"/>
        <w:autoSpaceDN w:val="0"/>
        <w:adjustRightInd w:val="0"/>
        <w:spacing w:after="120"/>
        <w:rPr>
          <w:rFonts w:cs="Times New Roman"/>
          <w:bCs/>
          <w:szCs w:val="24"/>
          <w:lang w:eastAsia="en-AU"/>
        </w:rPr>
      </w:pPr>
      <w:r>
        <w:rPr>
          <w:rFonts w:cs="Times New Roman"/>
          <w:bCs/>
          <w:szCs w:val="24"/>
          <w:lang w:eastAsia="en-AU"/>
        </w:rPr>
        <w:t>M</w:t>
      </w:r>
      <w:r w:rsidR="008B0EA6">
        <w:rPr>
          <w:rFonts w:cs="Times New Roman"/>
          <w:bCs/>
          <w:szCs w:val="24"/>
          <w:lang w:eastAsia="en-AU"/>
        </w:rPr>
        <w:t>eeting</w:t>
      </w:r>
      <w:r w:rsidR="00BA6DDF">
        <w:rPr>
          <w:rFonts w:cs="Times New Roman"/>
          <w:bCs/>
          <w:szCs w:val="24"/>
          <w:lang w:eastAsia="en-AU"/>
        </w:rPr>
        <w:t>s</w:t>
      </w:r>
      <w:r w:rsidR="008B0EA6">
        <w:rPr>
          <w:rFonts w:cs="Times New Roman"/>
          <w:bCs/>
          <w:szCs w:val="24"/>
          <w:lang w:eastAsia="en-AU"/>
        </w:rPr>
        <w:t xml:space="preserve"> </w:t>
      </w:r>
      <w:r>
        <w:rPr>
          <w:rFonts w:cs="Times New Roman"/>
          <w:bCs/>
          <w:szCs w:val="24"/>
          <w:lang w:eastAsia="en-AU"/>
        </w:rPr>
        <w:t>are</w:t>
      </w:r>
      <w:r w:rsidR="008B0EA6">
        <w:rPr>
          <w:rFonts w:cs="Times New Roman"/>
          <w:bCs/>
          <w:szCs w:val="24"/>
          <w:lang w:eastAsia="en-AU"/>
        </w:rPr>
        <w:t xml:space="preserve"> held at the end of each day and a final exit meeting is held to agree the facts </w:t>
      </w:r>
      <w:r w:rsidR="00AC64D6">
        <w:rPr>
          <w:rFonts w:cs="Times New Roman"/>
          <w:bCs/>
          <w:szCs w:val="24"/>
          <w:lang w:eastAsia="en-AU"/>
        </w:rPr>
        <w:t xml:space="preserve">on which </w:t>
      </w:r>
      <w:r w:rsidR="008B0EA6">
        <w:rPr>
          <w:rFonts w:cs="Times New Roman"/>
          <w:bCs/>
          <w:szCs w:val="24"/>
          <w:lang w:eastAsia="en-AU"/>
        </w:rPr>
        <w:t xml:space="preserve">the </w:t>
      </w:r>
      <w:r w:rsidR="0082179B">
        <w:rPr>
          <w:rFonts w:cs="Times New Roman"/>
          <w:bCs/>
          <w:szCs w:val="24"/>
          <w:lang w:eastAsia="en-AU"/>
        </w:rPr>
        <w:t xml:space="preserve">inspection </w:t>
      </w:r>
      <w:r w:rsidR="008B0EA6">
        <w:rPr>
          <w:rFonts w:cs="Times New Roman"/>
          <w:bCs/>
          <w:szCs w:val="24"/>
          <w:lang w:eastAsia="en-AU"/>
        </w:rPr>
        <w:t>findings will be based. The exit meeting provides an opportunity for feedback on how the inspection ha</w:t>
      </w:r>
      <w:r>
        <w:rPr>
          <w:rFonts w:cs="Times New Roman"/>
          <w:bCs/>
          <w:szCs w:val="24"/>
          <w:lang w:eastAsia="en-AU"/>
        </w:rPr>
        <w:t>d</w:t>
      </w:r>
      <w:r w:rsidR="008B0EA6">
        <w:rPr>
          <w:rFonts w:cs="Times New Roman"/>
          <w:bCs/>
          <w:szCs w:val="24"/>
          <w:lang w:eastAsia="en-AU"/>
        </w:rPr>
        <w:t xml:space="preserve"> been received by the licence holder. </w:t>
      </w:r>
    </w:p>
    <w:p w14:paraId="2B5EF362" w14:textId="493C619C" w:rsidR="008B0EA6" w:rsidRPr="00A9092B" w:rsidRDefault="008B0EA6" w:rsidP="008B0EA6">
      <w:pPr>
        <w:widowControl w:val="0"/>
        <w:autoSpaceDE w:val="0"/>
        <w:autoSpaceDN w:val="0"/>
        <w:adjustRightInd w:val="0"/>
        <w:spacing w:after="120"/>
        <w:rPr>
          <w:rFonts w:cs="Times New Roman"/>
          <w:bCs/>
          <w:szCs w:val="24"/>
          <w:lang w:eastAsia="en-AU"/>
        </w:rPr>
      </w:pPr>
      <w:r w:rsidRPr="00A9092B">
        <w:rPr>
          <w:rFonts w:cs="Times New Roman"/>
          <w:bCs/>
          <w:szCs w:val="24"/>
          <w:lang w:eastAsia="en-AU"/>
        </w:rPr>
        <w:t xml:space="preserve">After </w:t>
      </w:r>
      <w:r>
        <w:rPr>
          <w:rFonts w:cs="Times New Roman"/>
          <w:bCs/>
          <w:szCs w:val="24"/>
          <w:lang w:eastAsia="en-AU"/>
        </w:rPr>
        <w:t>the</w:t>
      </w:r>
      <w:r w:rsidRPr="00A9092B">
        <w:rPr>
          <w:rFonts w:cs="Times New Roman"/>
          <w:bCs/>
          <w:szCs w:val="24"/>
          <w:lang w:eastAsia="en-AU"/>
        </w:rPr>
        <w:t xml:space="preserve"> inspection report </w:t>
      </w:r>
      <w:r>
        <w:rPr>
          <w:rFonts w:cs="Times New Roman"/>
          <w:bCs/>
          <w:szCs w:val="24"/>
          <w:lang w:eastAsia="en-AU"/>
        </w:rPr>
        <w:t>i</w:t>
      </w:r>
      <w:r w:rsidRPr="00A9092B">
        <w:rPr>
          <w:rFonts w:cs="Times New Roman"/>
          <w:bCs/>
          <w:szCs w:val="24"/>
          <w:lang w:eastAsia="en-AU"/>
        </w:rPr>
        <w:t>s issued</w:t>
      </w:r>
      <w:r w:rsidR="00BA6DDF">
        <w:rPr>
          <w:rFonts w:cs="Times New Roman"/>
          <w:bCs/>
          <w:szCs w:val="24"/>
          <w:lang w:eastAsia="en-AU"/>
        </w:rPr>
        <w:t>,</w:t>
      </w:r>
      <w:r w:rsidRPr="00A9092B">
        <w:rPr>
          <w:rFonts w:cs="Times New Roman"/>
          <w:bCs/>
          <w:szCs w:val="24"/>
          <w:lang w:eastAsia="en-AU"/>
        </w:rPr>
        <w:t xml:space="preserve"> the Office of the CEO </w:t>
      </w:r>
      <w:r w:rsidR="004A0820">
        <w:rPr>
          <w:rFonts w:cs="Times New Roman"/>
          <w:bCs/>
          <w:szCs w:val="24"/>
          <w:lang w:eastAsia="en-AU"/>
        </w:rPr>
        <w:t xml:space="preserve">(OCEO) </w:t>
      </w:r>
      <w:r>
        <w:rPr>
          <w:rFonts w:cs="Times New Roman"/>
          <w:bCs/>
          <w:szCs w:val="24"/>
          <w:lang w:eastAsia="en-AU"/>
        </w:rPr>
        <w:t>sends</w:t>
      </w:r>
      <w:r w:rsidRPr="00A9092B">
        <w:rPr>
          <w:rFonts w:cs="Times New Roman"/>
          <w:bCs/>
          <w:szCs w:val="24"/>
          <w:lang w:eastAsia="en-AU"/>
        </w:rPr>
        <w:t xml:space="preserve"> a survey</w:t>
      </w:r>
      <w:r>
        <w:rPr>
          <w:rFonts w:cs="Times New Roman"/>
          <w:bCs/>
          <w:szCs w:val="24"/>
          <w:lang w:eastAsia="en-AU"/>
        </w:rPr>
        <w:t xml:space="preserve"> to the licence holder seeking</w:t>
      </w:r>
      <w:r w:rsidRPr="00A9092B">
        <w:rPr>
          <w:rFonts w:cs="Times New Roman"/>
          <w:bCs/>
          <w:szCs w:val="24"/>
          <w:lang w:eastAsia="en-AU"/>
        </w:rPr>
        <w:t xml:space="preserve"> feedback on </w:t>
      </w:r>
      <w:r>
        <w:rPr>
          <w:rFonts w:cs="Times New Roman"/>
          <w:bCs/>
          <w:szCs w:val="24"/>
          <w:lang w:eastAsia="en-AU"/>
        </w:rPr>
        <w:t xml:space="preserve">how effectively and efficiently </w:t>
      </w:r>
      <w:r w:rsidRPr="00A9092B">
        <w:rPr>
          <w:rFonts w:cs="Times New Roman"/>
          <w:bCs/>
          <w:szCs w:val="24"/>
          <w:lang w:eastAsia="en-AU"/>
        </w:rPr>
        <w:t>the inspection</w:t>
      </w:r>
      <w:r>
        <w:rPr>
          <w:rFonts w:cs="Times New Roman"/>
          <w:bCs/>
          <w:szCs w:val="24"/>
          <w:lang w:eastAsia="en-AU"/>
        </w:rPr>
        <w:t xml:space="preserve"> was planned and executed and its impact on operations</w:t>
      </w:r>
      <w:r w:rsidRPr="00A9092B">
        <w:rPr>
          <w:rFonts w:cs="Times New Roman"/>
          <w:bCs/>
          <w:szCs w:val="24"/>
          <w:lang w:eastAsia="en-AU"/>
        </w:rPr>
        <w:t>.</w:t>
      </w:r>
      <w:r>
        <w:rPr>
          <w:rFonts w:cs="Times New Roman"/>
          <w:bCs/>
          <w:szCs w:val="24"/>
          <w:lang w:eastAsia="en-AU"/>
        </w:rPr>
        <w:t xml:space="preserve"> </w:t>
      </w:r>
      <w:r w:rsidR="00E3072D">
        <w:rPr>
          <w:rFonts w:cs="Times New Roman"/>
          <w:bCs/>
          <w:szCs w:val="24"/>
          <w:lang w:eastAsia="en-AU"/>
        </w:rPr>
        <w:t xml:space="preserve">Currently </w:t>
      </w:r>
      <w:r w:rsidR="003C26AE">
        <w:rPr>
          <w:rFonts w:cs="Times New Roman"/>
          <w:bCs/>
          <w:szCs w:val="24"/>
          <w:lang w:eastAsia="en-AU"/>
        </w:rPr>
        <w:t xml:space="preserve">to </w:t>
      </w:r>
      <w:r w:rsidR="00DF394F">
        <w:rPr>
          <w:rFonts w:cs="Times New Roman"/>
          <w:bCs/>
          <w:szCs w:val="24"/>
          <w:lang w:eastAsia="en-AU"/>
        </w:rPr>
        <w:t>assure the integrity of the process</w:t>
      </w:r>
      <w:r>
        <w:rPr>
          <w:rFonts w:cs="Times New Roman"/>
          <w:bCs/>
          <w:szCs w:val="24"/>
          <w:lang w:eastAsia="en-AU"/>
        </w:rPr>
        <w:t xml:space="preserve">, this process is </w:t>
      </w:r>
      <w:r w:rsidRPr="00A9092B">
        <w:rPr>
          <w:rFonts w:cs="Times New Roman"/>
          <w:bCs/>
          <w:szCs w:val="24"/>
          <w:lang w:eastAsia="en-AU"/>
        </w:rPr>
        <w:t xml:space="preserve">independent of </w:t>
      </w:r>
      <w:r>
        <w:rPr>
          <w:rFonts w:cs="Times New Roman"/>
          <w:bCs/>
          <w:szCs w:val="24"/>
          <w:lang w:eastAsia="en-AU"/>
        </w:rPr>
        <w:t xml:space="preserve">RSB. </w:t>
      </w:r>
      <w:r w:rsidRPr="00A9092B">
        <w:rPr>
          <w:rFonts w:cs="Times New Roman"/>
          <w:bCs/>
          <w:szCs w:val="24"/>
          <w:lang w:eastAsia="en-AU"/>
        </w:rPr>
        <w:t xml:space="preserve">The </w:t>
      </w:r>
      <w:r>
        <w:rPr>
          <w:rFonts w:cs="Times New Roman"/>
          <w:bCs/>
          <w:szCs w:val="24"/>
          <w:lang w:eastAsia="en-AU"/>
        </w:rPr>
        <w:t xml:space="preserve">response </w:t>
      </w:r>
      <w:r w:rsidRPr="00A9092B">
        <w:rPr>
          <w:rFonts w:cs="Times New Roman"/>
          <w:bCs/>
          <w:szCs w:val="24"/>
          <w:lang w:eastAsia="en-AU"/>
        </w:rPr>
        <w:t xml:space="preserve">options range from </w:t>
      </w:r>
      <w:r>
        <w:rPr>
          <w:rFonts w:cs="Times New Roman"/>
          <w:bCs/>
          <w:szCs w:val="24"/>
          <w:lang w:eastAsia="en-AU"/>
        </w:rPr>
        <w:t>‘</w:t>
      </w:r>
      <w:r w:rsidRPr="00A9092B">
        <w:rPr>
          <w:rFonts w:cs="Times New Roman"/>
          <w:bCs/>
          <w:szCs w:val="24"/>
          <w:lang w:eastAsia="en-AU"/>
        </w:rPr>
        <w:t>strongly agree</w:t>
      </w:r>
      <w:r>
        <w:rPr>
          <w:rFonts w:cs="Times New Roman"/>
          <w:bCs/>
          <w:szCs w:val="24"/>
          <w:lang w:eastAsia="en-AU"/>
        </w:rPr>
        <w:t xml:space="preserve">’ </w:t>
      </w:r>
      <w:r w:rsidRPr="00A9092B">
        <w:rPr>
          <w:rFonts w:cs="Times New Roman"/>
          <w:bCs/>
          <w:szCs w:val="24"/>
          <w:lang w:eastAsia="en-AU"/>
        </w:rPr>
        <w:t xml:space="preserve">to </w:t>
      </w:r>
      <w:r>
        <w:rPr>
          <w:rFonts w:cs="Times New Roman"/>
          <w:bCs/>
          <w:szCs w:val="24"/>
          <w:lang w:eastAsia="en-AU"/>
        </w:rPr>
        <w:lastRenderedPageBreak/>
        <w:t>‘</w:t>
      </w:r>
      <w:r w:rsidRPr="00A9092B">
        <w:rPr>
          <w:rFonts w:cs="Times New Roman"/>
          <w:bCs/>
          <w:szCs w:val="24"/>
          <w:lang w:eastAsia="en-AU"/>
        </w:rPr>
        <w:t>strongly disagree</w:t>
      </w:r>
      <w:r>
        <w:rPr>
          <w:rFonts w:cs="Times New Roman"/>
          <w:bCs/>
          <w:szCs w:val="24"/>
          <w:lang w:eastAsia="en-AU"/>
        </w:rPr>
        <w:t>’</w:t>
      </w:r>
      <w:r w:rsidRPr="00A9092B">
        <w:rPr>
          <w:rFonts w:cs="Times New Roman"/>
          <w:bCs/>
          <w:szCs w:val="24"/>
          <w:lang w:eastAsia="en-AU"/>
        </w:rPr>
        <w:t>. Negative feedback is</w:t>
      </w:r>
      <w:r>
        <w:rPr>
          <w:rFonts w:cs="Times New Roman"/>
          <w:bCs/>
          <w:szCs w:val="24"/>
          <w:lang w:eastAsia="en-AU"/>
        </w:rPr>
        <w:t xml:space="preserve"> </w:t>
      </w:r>
      <w:r w:rsidRPr="00A9092B">
        <w:rPr>
          <w:rFonts w:cs="Times New Roman"/>
          <w:bCs/>
          <w:szCs w:val="24"/>
          <w:lang w:eastAsia="en-AU"/>
        </w:rPr>
        <w:t xml:space="preserve">seen as an opportunity </w:t>
      </w:r>
      <w:r>
        <w:rPr>
          <w:rFonts w:cs="Times New Roman"/>
          <w:bCs/>
          <w:szCs w:val="24"/>
          <w:lang w:eastAsia="en-AU"/>
        </w:rPr>
        <w:t xml:space="preserve">for </w:t>
      </w:r>
      <w:r w:rsidRPr="00A9092B">
        <w:rPr>
          <w:rFonts w:cs="Times New Roman"/>
          <w:bCs/>
          <w:szCs w:val="24"/>
          <w:lang w:eastAsia="en-AU"/>
        </w:rPr>
        <w:t>improve</w:t>
      </w:r>
      <w:r>
        <w:rPr>
          <w:rFonts w:cs="Times New Roman"/>
          <w:bCs/>
          <w:szCs w:val="24"/>
          <w:lang w:eastAsia="en-AU"/>
        </w:rPr>
        <w:t>ment</w:t>
      </w:r>
      <w:r w:rsidRPr="00A9092B">
        <w:rPr>
          <w:rFonts w:cs="Times New Roman"/>
          <w:bCs/>
          <w:szCs w:val="24"/>
          <w:lang w:eastAsia="en-AU"/>
        </w:rPr>
        <w:t xml:space="preserve">. If the average response is neutral or better, then the feedback is taken to be favourable. This serves as an indicator of how effective </w:t>
      </w:r>
      <w:r>
        <w:rPr>
          <w:rFonts w:cs="Times New Roman"/>
          <w:bCs/>
          <w:szCs w:val="24"/>
          <w:lang w:eastAsia="en-AU"/>
        </w:rPr>
        <w:t>inspectors</w:t>
      </w:r>
      <w:r w:rsidRPr="00A9092B">
        <w:rPr>
          <w:rFonts w:cs="Times New Roman"/>
          <w:bCs/>
          <w:szCs w:val="24"/>
          <w:lang w:eastAsia="en-AU"/>
        </w:rPr>
        <w:t xml:space="preserve"> </w:t>
      </w:r>
      <w:r>
        <w:rPr>
          <w:rFonts w:cs="Times New Roman"/>
          <w:bCs/>
          <w:szCs w:val="24"/>
          <w:lang w:eastAsia="en-AU"/>
        </w:rPr>
        <w:t>are</w:t>
      </w:r>
      <w:r w:rsidRPr="00A9092B">
        <w:rPr>
          <w:rFonts w:cs="Times New Roman"/>
          <w:bCs/>
          <w:szCs w:val="24"/>
          <w:lang w:eastAsia="en-AU"/>
        </w:rPr>
        <w:t xml:space="preserve"> </w:t>
      </w:r>
      <w:r>
        <w:rPr>
          <w:rFonts w:cs="Times New Roman"/>
          <w:bCs/>
          <w:szCs w:val="24"/>
          <w:lang w:eastAsia="en-AU"/>
        </w:rPr>
        <w:t>at</w:t>
      </w:r>
      <w:r w:rsidRPr="00A9092B">
        <w:rPr>
          <w:rFonts w:cs="Times New Roman"/>
          <w:bCs/>
          <w:szCs w:val="24"/>
          <w:lang w:eastAsia="en-AU"/>
        </w:rPr>
        <w:t xml:space="preserve"> </w:t>
      </w:r>
      <w:r>
        <w:rPr>
          <w:rFonts w:cs="Times New Roman"/>
          <w:bCs/>
          <w:szCs w:val="24"/>
          <w:lang w:eastAsia="en-AU"/>
        </w:rPr>
        <w:t xml:space="preserve">implementing </w:t>
      </w:r>
      <w:r w:rsidRPr="00A9092B">
        <w:rPr>
          <w:rFonts w:cs="Times New Roman"/>
          <w:bCs/>
          <w:szCs w:val="24"/>
          <w:lang w:eastAsia="en-AU"/>
        </w:rPr>
        <w:t xml:space="preserve">the six KPIs </w:t>
      </w:r>
      <w:r>
        <w:rPr>
          <w:rFonts w:cs="Times New Roman"/>
          <w:bCs/>
          <w:szCs w:val="24"/>
          <w:lang w:eastAsia="en-AU"/>
        </w:rPr>
        <w:t>while maintaining positive stakeholder relations</w:t>
      </w:r>
      <w:r w:rsidRPr="00A9092B">
        <w:rPr>
          <w:rFonts w:cs="Times New Roman"/>
          <w:bCs/>
          <w:szCs w:val="24"/>
          <w:lang w:eastAsia="en-AU"/>
        </w:rPr>
        <w:t>.</w:t>
      </w:r>
    </w:p>
    <w:p w14:paraId="7B0157E8" w14:textId="2D3EA278" w:rsidR="008B0EA6" w:rsidRDefault="008B0EA6" w:rsidP="008B0EA6">
      <w:pPr>
        <w:widowControl w:val="0"/>
        <w:autoSpaceDE w:val="0"/>
        <w:autoSpaceDN w:val="0"/>
        <w:adjustRightInd w:val="0"/>
        <w:spacing w:after="120"/>
        <w:rPr>
          <w:rFonts w:cs="Times New Roman"/>
          <w:bCs/>
          <w:szCs w:val="24"/>
          <w:lang w:eastAsia="en-AU"/>
        </w:rPr>
      </w:pPr>
      <w:r>
        <w:rPr>
          <w:rFonts w:cs="Times New Roman"/>
          <w:bCs/>
          <w:lang w:eastAsia="en-AU"/>
        </w:rPr>
        <w:t>As discussed in section 2.1 above, i</w:t>
      </w:r>
      <w:r w:rsidRPr="00A9092B">
        <w:rPr>
          <w:rFonts w:cs="Times New Roman"/>
          <w:bCs/>
          <w:lang w:eastAsia="en-AU"/>
        </w:rPr>
        <w:t>n addition to scheduled inspections</w:t>
      </w:r>
      <w:r>
        <w:rPr>
          <w:rFonts w:cs="Times New Roman"/>
          <w:bCs/>
          <w:lang w:eastAsia="en-AU"/>
        </w:rPr>
        <w:t>,</w:t>
      </w:r>
      <w:r w:rsidRPr="00A9092B">
        <w:rPr>
          <w:rFonts w:cs="Times New Roman"/>
          <w:bCs/>
          <w:lang w:eastAsia="en-AU"/>
        </w:rPr>
        <w:t xml:space="preserve"> </w:t>
      </w:r>
      <w:r>
        <w:rPr>
          <w:rFonts w:cs="Times New Roman"/>
          <w:bCs/>
          <w:lang w:eastAsia="en-AU"/>
        </w:rPr>
        <w:t xml:space="preserve">inspectors make </w:t>
      </w:r>
      <w:r w:rsidRPr="00A9092B">
        <w:rPr>
          <w:rFonts w:cs="Times New Roman"/>
          <w:bCs/>
          <w:lang w:eastAsia="en-AU"/>
        </w:rPr>
        <w:t xml:space="preserve">regular site visits </w:t>
      </w:r>
      <w:r>
        <w:rPr>
          <w:rFonts w:cs="Times New Roman"/>
          <w:bCs/>
          <w:lang w:eastAsia="en-AU"/>
        </w:rPr>
        <w:t xml:space="preserve">to facilitate two-way communication on regulatory matters. These visits provide opportunities for inspectors to understand the ongoing operational environment </w:t>
      </w:r>
      <w:r w:rsidR="00AC64D6">
        <w:rPr>
          <w:rFonts w:cs="Times New Roman"/>
          <w:bCs/>
          <w:lang w:eastAsia="en-AU"/>
        </w:rPr>
        <w:t xml:space="preserve">of the licence holder </w:t>
      </w:r>
      <w:r>
        <w:rPr>
          <w:rFonts w:cs="Times New Roman"/>
          <w:bCs/>
          <w:lang w:eastAsia="en-AU"/>
        </w:rPr>
        <w:t>and to share wider regulatory experience.</w:t>
      </w:r>
      <w:r w:rsidRPr="00A9092B">
        <w:rPr>
          <w:rFonts w:cs="Times New Roman"/>
          <w:bCs/>
          <w:lang w:eastAsia="en-AU"/>
        </w:rPr>
        <w:t xml:space="preserve"> Unlike an inspection, site visits are not planned weeks in advance and no </w:t>
      </w:r>
      <w:r>
        <w:rPr>
          <w:rFonts w:cs="Times New Roman"/>
          <w:bCs/>
          <w:lang w:eastAsia="en-AU"/>
        </w:rPr>
        <w:t xml:space="preserve">formal </w:t>
      </w:r>
      <w:r w:rsidRPr="00A9092B">
        <w:rPr>
          <w:rFonts w:cs="Times New Roman"/>
          <w:bCs/>
          <w:lang w:eastAsia="en-AU"/>
        </w:rPr>
        <w:t>report</w:t>
      </w:r>
      <w:r>
        <w:rPr>
          <w:rFonts w:cs="Times New Roman"/>
          <w:bCs/>
          <w:lang w:eastAsia="en-AU"/>
        </w:rPr>
        <w:t xml:space="preserve"> is issued to the licence holder</w:t>
      </w:r>
      <w:r w:rsidRPr="00A9092B">
        <w:rPr>
          <w:rFonts w:cs="Times New Roman"/>
          <w:bCs/>
          <w:lang w:eastAsia="en-AU"/>
        </w:rPr>
        <w:t xml:space="preserve">. </w:t>
      </w:r>
      <w:r>
        <w:rPr>
          <w:rFonts w:cs="Times New Roman"/>
          <w:bCs/>
          <w:lang w:eastAsia="en-AU"/>
        </w:rPr>
        <w:t>Instead, o</w:t>
      </w:r>
      <w:r w:rsidRPr="00A9092B">
        <w:rPr>
          <w:rFonts w:cs="Times New Roman"/>
          <w:bCs/>
          <w:lang w:eastAsia="en-AU"/>
        </w:rPr>
        <w:t xml:space="preserve">bservations are </w:t>
      </w:r>
      <w:r>
        <w:rPr>
          <w:rFonts w:cs="Times New Roman"/>
          <w:bCs/>
          <w:lang w:eastAsia="en-AU"/>
        </w:rPr>
        <w:t xml:space="preserve">discussed </w:t>
      </w:r>
      <w:r w:rsidRPr="00A9092B">
        <w:rPr>
          <w:rFonts w:cs="Times New Roman"/>
          <w:bCs/>
          <w:lang w:eastAsia="en-AU"/>
        </w:rPr>
        <w:t xml:space="preserve">with the </w:t>
      </w:r>
      <w:r>
        <w:rPr>
          <w:rFonts w:cs="Times New Roman"/>
          <w:bCs/>
          <w:lang w:eastAsia="en-AU"/>
        </w:rPr>
        <w:t>licence holder</w:t>
      </w:r>
      <w:r w:rsidRPr="00A9092B">
        <w:rPr>
          <w:rFonts w:cs="Times New Roman"/>
          <w:bCs/>
          <w:lang w:eastAsia="en-AU"/>
        </w:rPr>
        <w:t xml:space="preserve"> before departure</w:t>
      </w:r>
      <w:r w:rsidR="006060A2">
        <w:rPr>
          <w:rFonts w:cs="Times New Roman"/>
          <w:bCs/>
          <w:lang w:eastAsia="en-AU"/>
        </w:rPr>
        <w:t xml:space="preserve">, and recorded in our </w:t>
      </w:r>
      <w:r w:rsidR="00723A12">
        <w:rPr>
          <w:rFonts w:cs="Times New Roman"/>
          <w:bCs/>
          <w:lang w:eastAsia="en-AU"/>
        </w:rPr>
        <w:t>Licence Administration Database (</w:t>
      </w:r>
      <w:r w:rsidR="006060A2">
        <w:rPr>
          <w:rFonts w:cs="Times New Roman"/>
          <w:bCs/>
          <w:lang w:eastAsia="en-AU"/>
        </w:rPr>
        <w:t>LAD</w:t>
      </w:r>
      <w:r w:rsidR="00723A12">
        <w:rPr>
          <w:rFonts w:cs="Times New Roman"/>
          <w:bCs/>
          <w:lang w:eastAsia="en-AU"/>
        </w:rPr>
        <w:t>)</w:t>
      </w:r>
      <w:r w:rsidRPr="00A9092B">
        <w:rPr>
          <w:rFonts w:cs="Times New Roman"/>
          <w:bCs/>
          <w:lang w:eastAsia="en-AU"/>
        </w:rPr>
        <w:t>.</w:t>
      </w:r>
      <w:r w:rsidR="00E817FE">
        <w:rPr>
          <w:rFonts w:cs="Times New Roman"/>
          <w:bCs/>
          <w:lang w:eastAsia="en-AU"/>
        </w:rPr>
        <w:br/>
      </w:r>
      <w:r w:rsidR="006060A2">
        <w:rPr>
          <w:rFonts w:cs="Times New Roman"/>
          <w:bCs/>
          <w:szCs w:val="24"/>
          <w:lang w:eastAsia="en-AU"/>
        </w:rPr>
        <w:br/>
        <w:t xml:space="preserve">In addition to site visits regular </w:t>
      </w:r>
      <w:r w:rsidRPr="009B6339">
        <w:rPr>
          <w:rFonts w:cs="Times New Roman"/>
          <w:bCs/>
          <w:szCs w:val="24"/>
          <w:lang w:eastAsia="en-AU"/>
        </w:rPr>
        <w:t xml:space="preserve">meetings are held with </w:t>
      </w:r>
      <w:r w:rsidR="00446740">
        <w:rPr>
          <w:rFonts w:cs="Times New Roman"/>
          <w:bCs/>
          <w:szCs w:val="24"/>
          <w:lang w:eastAsia="en-AU"/>
        </w:rPr>
        <w:t xml:space="preserve">many </w:t>
      </w:r>
      <w:r w:rsidRPr="009B6339">
        <w:rPr>
          <w:rFonts w:cs="Times New Roman"/>
          <w:bCs/>
          <w:szCs w:val="24"/>
          <w:lang w:eastAsia="en-AU"/>
        </w:rPr>
        <w:lastRenderedPageBreak/>
        <w:t xml:space="preserve">licence holders to exchange information on regulatory matters such as upcoming legislative changes, licence applications or licensing and </w:t>
      </w:r>
      <w:r>
        <w:rPr>
          <w:rFonts w:cs="Times New Roman"/>
          <w:bCs/>
          <w:szCs w:val="24"/>
          <w:lang w:eastAsia="en-AU"/>
        </w:rPr>
        <w:t xml:space="preserve">safety </w:t>
      </w:r>
      <w:r w:rsidRPr="009B6339">
        <w:rPr>
          <w:rFonts w:cs="Times New Roman"/>
          <w:bCs/>
          <w:szCs w:val="24"/>
          <w:lang w:eastAsia="en-AU"/>
        </w:rPr>
        <w:t>compliance issues. Examples of such established forums are the Defence-ARPANSA Liaison Forum (DALF)</w:t>
      </w:r>
      <w:r w:rsidR="00446740">
        <w:rPr>
          <w:rFonts w:cs="Times New Roman"/>
          <w:bCs/>
          <w:szCs w:val="24"/>
          <w:lang w:eastAsia="en-AU"/>
        </w:rPr>
        <w:t xml:space="preserve">, </w:t>
      </w:r>
      <w:r w:rsidR="00BA6DDF">
        <w:rPr>
          <w:rFonts w:cs="Times New Roman"/>
          <w:bCs/>
          <w:szCs w:val="24"/>
          <w:lang w:eastAsia="en-AU"/>
        </w:rPr>
        <w:t xml:space="preserve">the CSIRO Liaison Forum, </w:t>
      </w:r>
      <w:r w:rsidR="00446740">
        <w:rPr>
          <w:rFonts w:cs="Times New Roman"/>
          <w:bCs/>
          <w:szCs w:val="24"/>
          <w:lang w:eastAsia="en-AU"/>
        </w:rPr>
        <w:t>ANSTO OPAL Reactor quarterly meeting</w:t>
      </w:r>
      <w:r w:rsidR="004A0820">
        <w:rPr>
          <w:rFonts w:cs="Times New Roman"/>
          <w:bCs/>
          <w:szCs w:val="24"/>
          <w:lang w:eastAsia="en-AU"/>
        </w:rPr>
        <w:t>s</w:t>
      </w:r>
      <w:r w:rsidRPr="009B6339">
        <w:rPr>
          <w:rFonts w:cs="Times New Roman"/>
          <w:bCs/>
          <w:szCs w:val="24"/>
          <w:lang w:eastAsia="en-AU"/>
        </w:rPr>
        <w:t xml:space="preserve"> and </w:t>
      </w:r>
      <w:r>
        <w:rPr>
          <w:rFonts w:cs="Times New Roman"/>
          <w:bCs/>
          <w:szCs w:val="24"/>
          <w:lang w:eastAsia="en-AU"/>
        </w:rPr>
        <w:t xml:space="preserve">the </w:t>
      </w:r>
      <w:r w:rsidRPr="00A70CB8">
        <w:rPr>
          <w:rFonts w:cs="Times New Roman"/>
          <w:bCs/>
          <w:szCs w:val="24"/>
          <w:lang w:eastAsia="en-AU"/>
        </w:rPr>
        <w:t xml:space="preserve">annual </w:t>
      </w:r>
      <w:r w:rsidRPr="009B6339">
        <w:rPr>
          <w:rFonts w:cs="Times New Roman"/>
          <w:bCs/>
          <w:szCs w:val="24"/>
          <w:lang w:eastAsia="en-AU"/>
        </w:rPr>
        <w:t xml:space="preserve">licence holder forums. </w:t>
      </w:r>
    </w:p>
    <w:p w14:paraId="7D964DCC" w14:textId="4ABD18BC" w:rsidR="008B0EA6" w:rsidRPr="00A9092B" w:rsidRDefault="008B0EA6" w:rsidP="008B0EA6">
      <w:pPr>
        <w:widowControl w:val="0"/>
        <w:autoSpaceDE w:val="0"/>
        <w:autoSpaceDN w:val="0"/>
        <w:adjustRightInd w:val="0"/>
        <w:spacing w:after="120"/>
        <w:rPr>
          <w:rFonts w:cs="Times New Roman"/>
          <w:bCs/>
          <w:szCs w:val="24"/>
          <w:lang w:eastAsia="en-AU"/>
        </w:rPr>
      </w:pPr>
      <w:r w:rsidRPr="00A70CB8">
        <w:rPr>
          <w:rFonts w:cs="Times New Roman"/>
          <w:bCs/>
          <w:szCs w:val="24"/>
          <w:lang w:eastAsia="en-AU"/>
        </w:rPr>
        <w:t>Communication is a two-way process so these meetings are effective in helping ARPANSA understand regulatory impact</w:t>
      </w:r>
      <w:r w:rsidR="004A0820">
        <w:rPr>
          <w:rFonts w:cs="Times New Roman"/>
          <w:bCs/>
          <w:szCs w:val="24"/>
          <w:lang w:eastAsia="en-AU"/>
        </w:rPr>
        <w:t>s</w:t>
      </w:r>
      <w:r w:rsidRPr="009B6339">
        <w:rPr>
          <w:rFonts w:cs="Times New Roman"/>
          <w:bCs/>
          <w:szCs w:val="24"/>
          <w:lang w:eastAsia="en-AU"/>
        </w:rPr>
        <w:t xml:space="preserve"> on a licence holder and provides a forum for discussion of the benefits of regulatory action to the licence holder </w:t>
      </w:r>
      <w:r>
        <w:rPr>
          <w:rFonts w:cs="Times New Roman"/>
          <w:bCs/>
          <w:szCs w:val="24"/>
          <w:lang w:eastAsia="en-AU"/>
        </w:rPr>
        <w:t>itself</w:t>
      </w:r>
      <w:r w:rsidRPr="009B6339">
        <w:rPr>
          <w:rFonts w:cs="Times New Roman"/>
          <w:bCs/>
          <w:szCs w:val="24"/>
          <w:lang w:eastAsia="en-AU"/>
        </w:rPr>
        <w:t xml:space="preserve"> and to community safety more broadly. The number and quality of meetings in a year and the feedback from these meetings indicate</w:t>
      </w:r>
      <w:r w:rsidR="0050377D">
        <w:rPr>
          <w:rFonts w:cs="Times New Roman"/>
          <w:bCs/>
          <w:szCs w:val="24"/>
          <w:lang w:eastAsia="en-AU"/>
        </w:rPr>
        <w:t>s</w:t>
      </w:r>
      <w:r w:rsidRPr="009B6339">
        <w:rPr>
          <w:rFonts w:cs="Times New Roman"/>
          <w:bCs/>
          <w:szCs w:val="24"/>
          <w:lang w:eastAsia="en-AU"/>
        </w:rPr>
        <w:t xml:space="preserve"> if communication </w:t>
      </w:r>
      <w:r w:rsidR="0050377D">
        <w:rPr>
          <w:rFonts w:cs="Times New Roman"/>
          <w:bCs/>
          <w:szCs w:val="24"/>
          <w:lang w:eastAsia="en-AU"/>
        </w:rPr>
        <w:t>ha</w:t>
      </w:r>
      <w:r w:rsidRPr="009B6339">
        <w:rPr>
          <w:rFonts w:cs="Times New Roman"/>
          <w:bCs/>
          <w:szCs w:val="24"/>
          <w:lang w:eastAsia="en-AU"/>
        </w:rPr>
        <w:t xml:space="preserve">s </w:t>
      </w:r>
      <w:r w:rsidR="00BA6DDF">
        <w:rPr>
          <w:rFonts w:cs="Times New Roman"/>
          <w:bCs/>
          <w:szCs w:val="24"/>
          <w:lang w:eastAsia="en-AU"/>
        </w:rPr>
        <w:t xml:space="preserve">been </w:t>
      </w:r>
      <w:r w:rsidRPr="009B6339">
        <w:rPr>
          <w:rFonts w:cs="Times New Roman"/>
          <w:bCs/>
          <w:szCs w:val="24"/>
          <w:lang w:eastAsia="en-AU"/>
        </w:rPr>
        <w:t>effective.</w:t>
      </w:r>
    </w:p>
    <w:p w14:paraId="0A338851" w14:textId="77777777" w:rsidR="008B0EA6" w:rsidRPr="00A9092B" w:rsidRDefault="008B0EA6" w:rsidP="008B0EA6">
      <w:pPr>
        <w:pStyle w:val="Heading3"/>
        <w:keepLines w:val="0"/>
        <w:widowControl w:val="0"/>
        <w:spacing w:before="120" w:after="120" w:line="240" w:lineRule="auto"/>
        <w:jc w:val="both"/>
        <w:rPr>
          <w:lang w:eastAsia="en-AU"/>
        </w:rPr>
      </w:pPr>
      <w:bookmarkStart w:id="21" w:name="_Toc470173145"/>
      <w:r w:rsidRPr="00A9092B">
        <w:rPr>
          <w:lang w:eastAsia="en-AU"/>
        </w:rPr>
        <w:t>Approved evidence metrics for KPI 2</w:t>
      </w:r>
      <w:bookmarkEnd w:id="21"/>
    </w:p>
    <w:tbl>
      <w:tblPr>
        <w:tblStyle w:val="TableGrid"/>
        <w:tblW w:w="9336" w:type="dxa"/>
        <w:tblLook w:val="04A0" w:firstRow="1" w:lastRow="0" w:firstColumn="1" w:lastColumn="0" w:noHBand="0" w:noVBand="1"/>
        <w:tblDescription w:val="Chapter 2.2.2 table contains a list of evidence metrics against Key Performance Indicator (KPI) 2.  This table contains 3 heading columns 1. Indicators, 2. Evidence and 3. Comment. "/>
      </w:tblPr>
      <w:tblGrid>
        <w:gridCol w:w="2601"/>
        <w:gridCol w:w="2618"/>
        <w:gridCol w:w="4117"/>
      </w:tblGrid>
      <w:tr w:rsidR="005B3FB2" w:rsidRPr="005B3FB2" w14:paraId="3DA6A432" w14:textId="77777777" w:rsidTr="005B3FB2">
        <w:trPr>
          <w:cantSplit/>
          <w:tblHeader/>
        </w:trPr>
        <w:tc>
          <w:tcPr>
            <w:tcW w:w="2601" w:type="dxa"/>
            <w:shd w:val="clear" w:color="auto" w:fill="4E1A74" w:themeFill="text2"/>
          </w:tcPr>
          <w:p w14:paraId="760152FB" w14:textId="77777777" w:rsidR="008B0EA6" w:rsidRPr="005B3FB2" w:rsidRDefault="008B0EA6" w:rsidP="005B3FB2">
            <w:pPr>
              <w:spacing w:before="120" w:after="120"/>
              <w:jc w:val="center"/>
              <w:rPr>
                <w:rFonts w:ascii="Calibri" w:hAnsi="Calibri"/>
                <w:b/>
                <w:color w:val="FFFFFF" w:themeColor="background1"/>
              </w:rPr>
            </w:pPr>
            <w:r w:rsidRPr="005B3FB2">
              <w:rPr>
                <w:rFonts w:ascii="Calibri" w:hAnsi="Calibri"/>
                <w:b/>
                <w:color w:val="FFFFFF" w:themeColor="background1"/>
              </w:rPr>
              <w:t>Indicator</w:t>
            </w:r>
          </w:p>
        </w:tc>
        <w:tc>
          <w:tcPr>
            <w:tcW w:w="2618" w:type="dxa"/>
            <w:shd w:val="clear" w:color="auto" w:fill="4E1A74" w:themeFill="text2"/>
          </w:tcPr>
          <w:p w14:paraId="2BD952EF" w14:textId="77777777" w:rsidR="008B0EA6" w:rsidRPr="005B3FB2" w:rsidRDefault="008B0EA6" w:rsidP="005B3FB2">
            <w:pPr>
              <w:spacing w:before="120" w:after="120"/>
              <w:jc w:val="center"/>
              <w:rPr>
                <w:rFonts w:ascii="Calibri" w:hAnsi="Calibri"/>
                <w:b/>
                <w:color w:val="FFFFFF" w:themeColor="background1"/>
              </w:rPr>
            </w:pPr>
            <w:r w:rsidRPr="005B3FB2">
              <w:rPr>
                <w:rFonts w:ascii="Calibri" w:hAnsi="Calibri"/>
                <w:b/>
                <w:color w:val="FFFFFF" w:themeColor="background1"/>
              </w:rPr>
              <w:t>Evidence</w:t>
            </w:r>
          </w:p>
        </w:tc>
        <w:tc>
          <w:tcPr>
            <w:tcW w:w="4117" w:type="dxa"/>
            <w:shd w:val="clear" w:color="auto" w:fill="4E1A74" w:themeFill="text2"/>
          </w:tcPr>
          <w:p w14:paraId="4B4F5618" w14:textId="77777777" w:rsidR="008B0EA6" w:rsidRPr="005B3FB2" w:rsidRDefault="008B0EA6" w:rsidP="005B3FB2">
            <w:pPr>
              <w:spacing w:before="120" w:after="120"/>
              <w:jc w:val="center"/>
              <w:rPr>
                <w:rFonts w:ascii="Calibri" w:hAnsi="Calibri"/>
                <w:b/>
                <w:color w:val="FFFFFF" w:themeColor="background1"/>
              </w:rPr>
            </w:pPr>
            <w:r w:rsidRPr="005B3FB2">
              <w:rPr>
                <w:rFonts w:ascii="Calibri" w:hAnsi="Calibri"/>
                <w:b/>
                <w:color w:val="FFFFFF" w:themeColor="background1"/>
              </w:rPr>
              <w:t>Comment</w:t>
            </w:r>
          </w:p>
        </w:tc>
      </w:tr>
      <w:tr w:rsidR="008B0EA6" w:rsidRPr="00173273" w14:paraId="7A799CB9" w14:textId="77777777" w:rsidTr="00172661">
        <w:trPr>
          <w:cantSplit/>
          <w:trHeight w:val="2623"/>
        </w:trPr>
        <w:tc>
          <w:tcPr>
            <w:tcW w:w="2601" w:type="dxa"/>
          </w:tcPr>
          <w:p w14:paraId="3CF5E4F6" w14:textId="77777777" w:rsidR="008B0EA6" w:rsidRPr="00173273" w:rsidRDefault="008B0EA6" w:rsidP="00446740">
            <w:pPr>
              <w:pStyle w:val="Tabletext"/>
              <w:jc w:val="left"/>
              <w:rPr>
                <w:lang w:eastAsia="en-AU"/>
              </w:rPr>
            </w:pPr>
            <w:r w:rsidRPr="00173273">
              <w:rPr>
                <w:lang w:eastAsia="en-AU"/>
              </w:rPr>
              <w:t xml:space="preserve">PI 2.1 </w:t>
            </w:r>
            <w:r>
              <w:rPr>
                <w:lang w:eastAsia="en-AU"/>
              </w:rPr>
              <w:t>–</w:t>
            </w:r>
            <w:r w:rsidRPr="00173273">
              <w:rPr>
                <w:lang w:eastAsia="en-AU"/>
              </w:rPr>
              <w:t xml:space="preserve"> Percentage of stakeholder inspection feedback in which the positive outweighs the negative (customer satisfaction)</w:t>
            </w:r>
            <w:r>
              <w:rPr>
                <w:lang w:eastAsia="en-AU"/>
              </w:rPr>
              <w:t>.</w:t>
            </w:r>
          </w:p>
        </w:tc>
        <w:tc>
          <w:tcPr>
            <w:tcW w:w="2618" w:type="dxa"/>
          </w:tcPr>
          <w:p w14:paraId="2E9A0F82" w14:textId="77777777" w:rsidR="00EB4F1B" w:rsidRDefault="004A5DAA" w:rsidP="00AC64D6">
            <w:pPr>
              <w:pStyle w:val="Tabletext"/>
              <w:jc w:val="left"/>
              <w:rPr>
                <w:lang w:eastAsia="en-AU"/>
              </w:rPr>
            </w:pPr>
            <w:r>
              <w:rPr>
                <w:noProof/>
                <w:lang w:eastAsia="en-AU"/>
              </w:rPr>
              <w:drawing>
                <wp:inline distT="0" distB="0" distL="0" distR="0" wp14:anchorId="5E819C13" wp14:editId="2D4D779E">
                  <wp:extent cx="252000" cy="25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b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14:paraId="405D8031" w14:textId="35CA57E0" w:rsidR="008B0EA6" w:rsidRPr="00173273" w:rsidRDefault="004E7F42" w:rsidP="00AC64D6">
            <w:pPr>
              <w:pStyle w:val="Tabletext"/>
              <w:jc w:val="left"/>
              <w:rPr>
                <w:lang w:eastAsia="en-AU"/>
              </w:rPr>
            </w:pPr>
            <w:r>
              <w:rPr>
                <w:lang w:eastAsia="en-AU"/>
              </w:rPr>
              <w:t>8</w:t>
            </w:r>
            <w:r w:rsidR="003B3106">
              <w:rPr>
                <w:lang w:eastAsia="en-AU"/>
              </w:rPr>
              <w:t>8</w:t>
            </w:r>
            <w:r w:rsidR="008B0EA6" w:rsidRPr="00173273">
              <w:rPr>
                <w:lang w:eastAsia="en-AU"/>
              </w:rPr>
              <w:t xml:space="preserve">% of surveys positive – </w:t>
            </w:r>
            <w:r w:rsidR="00AC64D6">
              <w:rPr>
                <w:lang w:eastAsia="en-AU"/>
              </w:rPr>
              <w:t>near</w:t>
            </w:r>
            <w:r w:rsidR="00AC64D6" w:rsidRPr="00173273">
              <w:rPr>
                <w:lang w:eastAsia="en-AU"/>
              </w:rPr>
              <w:t xml:space="preserve"> </w:t>
            </w:r>
            <w:r w:rsidR="008B0EA6" w:rsidRPr="00173273">
              <w:rPr>
                <w:lang w:eastAsia="en-AU"/>
              </w:rPr>
              <w:t>target (</w:t>
            </w:r>
            <w:r w:rsidR="003B3106">
              <w:rPr>
                <w:lang w:eastAsia="en-AU"/>
              </w:rPr>
              <w:t>90</w:t>
            </w:r>
            <w:r w:rsidR="008B0EA6" w:rsidRPr="00173273">
              <w:rPr>
                <w:lang w:eastAsia="en-AU"/>
              </w:rPr>
              <w:t>%).</w:t>
            </w:r>
          </w:p>
        </w:tc>
        <w:tc>
          <w:tcPr>
            <w:tcW w:w="4117" w:type="dxa"/>
          </w:tcPr>
          <w:p w14:paraId="633C1F11" w14:textId="1A7447BC" w:rsidR="003B3106" w:rsidRDefault="003B3106" w:rsidP="008B0EA6">
            <w:pPr>
              <w:pStyle w:val="Tabletext"/>
              <w:numPr>
                <w:ilvl w:val="0"/>
                <w:numId w:val="26"/>
              </w:numPr>
              <w:spacing w:before="0" w:after="0"/>
              <w:ind w:left="361"/>
              <w:jc w:val="left"/>
              <w:rPr>
                <w:lang w:eastAsia="en-AU"/>
              </w:rPr>
            </w:pPr>
            <w:r>
              <w:rPr>
                <w:lang w:eastAsia="en-AU"/>
              </w:rPr>
              <w:t>All feedback received from the post-inspection survey was overall positive. The lower performance was due to feedback from other sources.</w:t>
            </w:r>
          </w:p>
          <w:p w14:paraId="5E0BB4EF" w14:textId="4B825D25" w:rsidR="008B0EA6" w:rsidRPr="00173273" w:rsidRDefault="008B0EA6" w:rsidP="008B0EA6">
            <w:pPr>
              <w:pStyle w:val="Tabletext"/>
              <w:numPr>
                <w:ilvl w:val="0"/>
                <w:numId w:val="26"/>
              </w:numPr>
              <w:spacing w:before="0" w:after="0"/>
              <w:ind w:left="361"/>
              <w:jc w:val="left"/>
              <w:rPr>
                <w:lang w:eastAsia="en-AU"/>
              </w:rPr>
            </w:pPr>
            <w:r w:rsidRPr="00173273">
              <w:rPr>
                <w:lang w:eastAsia="en-AU"/>
              </w:rPr>
              <w:t xml:space="preserve">A PI based on a feedback score </w:t>
            </w:r>
            <w:r w:rsidR="00751425">
              <w:rPr>
                <w:lang w:eastAsia="en-AU"/>
              </w:rPr>
              <w:t xml:space="preserve">has been </w:t>
            </w:r>
            <w:r w:rsidR="00162F41">
              <w:rPr>
                <w:lang w:eastAsia="en-AU"/>
              </w:rPr>
              <w:t>introduced</w:t>
            </w:r>
            <w:r w:rsidR="00751425">
              <w:rPr>
                <w:lang w:eastAsia="en-AU"/>
              </w:rPr>
              <w:t xml:space="preserve"> from 1 July 2017</w:t>
            </w:r>
            <w:r w:rsidR="00162F41">
              <w:rPr>
                <w:lang w:eastAsia="en-AU"/>
              </w:rPr>
              <w:t xml:space="preserve"> </w:t>
            </w:r>
            <w:r w:rsidR="0010189B">
              <w:rPr>
                <w:lang w:eastAsia="en-AU"/>
              </w:rPr>
              <w:t>(see section 2.2.3)</w:t>
            </w:r>
            <w:r w:rsidR="00A724FC">
              <w:rPr>
                <w:lang w:eastAsia="en-AU"/>
              </w:rPr>
              <w:t xml:space="preserve">. </w:t>
            </w:r>
          </w:p>
          <w:p w14:paraId="02292C90" w14:textId="708F643D" w:rsidR="008B0EA6" w:rsidRDefault="00910FC1" w:rsidP="008B0EA6">
            <w:pPr>
              <w:pStyle w:val="Tabletext"/>
              <w:numPr>
                <w:ilvl w:val="0"/>
                <w:numId w:val="26"/>
              </w:numPr>
              <w:spacing w:before="0" w:after="0"/>
              <w:ind w:left="361"/>
              <w:jc w:val="left"/>
              <w:rPr>
                <w:lang w:eastAsia="en-AU"/>
              </w:rPr>
            </w:pPr>
            <w:r>
              <w:rPr>
                <w:lang w:eastAsia="en-AU"/>
              </w:rPr>
              <w:t xml:space="preserve">Following the </w:t>
            </w:r>
            <w:r w:rsidR="007F5E44">
              <w:rPr>
                <w:lang w:eastAsia="en-AU"/>
              </w:rPr>
              <w:t>2015-16</w:t>
            </w:r>
            <w:r>
              <w:rPr>
                <w:lang w:eastAsia="en-AU"/>
              </w:rPr>
              <w:t xml:space="preserve"> self-assessment the survey was amended at the </w:t>
            </w:r>
            <w:r>
              <w:rPr>
                <w:lang w:eastAsia="en-AU"/>
              </w:rPr>
              <w:lastRenderedPageBreak/>
              <w:t xml:space="preserve">beginning of the </w:t>
            </w:r>
            <w:r w:rsidR="00751425">
              <w:rPr>
                <w:lang w:eastAsia="en-AU"/>
              </w:rPr>
              <w:t xml:space="preserve">2016/17 </w:t>
            </w:r>
            <w:r>
              <w:rPr>
                <w:lang w:eastAsia="en-AU"/>
              </w:rPr>
              <w:t xml:space="preserve">year to allow anonymity. This self-assessment </w:t>
            </w:r>
            <w:r w:rsidR="00B04022">
              <w:rPr>
                <w:lang w:eastAsia="en-AU"/>
              </w:rPr>
              <w:t xml:space="preserve">did not find </w:t>
            </w:r>
            <w:r>
              <w:rPr>
                <w:lang w:eastAsia="en-AU"/>
              </w:rPr>
              <w:t>any need for the survey to be administered by the OCEO.</w:t>
            </w:r>
          </w:p>
          <w:p w14:paraId="009F4DD5" w14:textId="646ACE56" w:rsidR="00A77D47" w:rsidRPr="00173273" w:rsidRDefault="005B2236" w:rsidP="008B0EA6">
            <w:pPr>
              <w:pStyle w:val="Tabletext"/>
              <w:numPr>
                <w:ilvl w:val="0"/>
                <w:numId w:val="26"/>
              </w:numPr>
              <w:spacing w:before="0" w:after="0"/>
              <w:ind w:left="361"/>
              <w:jc w:val="left"/>
              <w:rPr>
                <w:lang w:eastAsia="en-AU"/>
              </w:rPr>
            </w:pPr>
            <w:r>
              <w:rPr>
                <w:lang w:eastAsia="en-AU"/>
              </w:rPr>
              <w:t xml:space="preserve">Survey responses </w:t>
            </w:r>
            <w:r w:rsidR="004E51EA">
              <w:rPr>
                <w:lang w:eastAsia="en-AU"/>
              </w:rPr>
              <w:t xml:space="preserve">numbers </w:t>
            </w:r>
            <w:r>
              <w:rPr>
                <w:lang w:eastAsia="en-AU"/>
              </w:rPr>
              <w:t>have declined</w:t>
            </w:r>
            <w:r w:rsidR="00975768">
              <w:rPr>
                <w:lang w:eastAsia="en-AU"/>
              </w:rPr>
              <w:t>.</w:t>
            </w:r>
          </w:p>
        </w:tc>
      </w:tr>
      <w:tr w:rsidR="008B0EA6" w:rsidRPr="00173273" w14:paraId="53CDA6A2" w14:textId="77777777" w:rsidTr="001D04B0">
        <w:trPr>
          <w:trHeight w:val="2016"/>
        </w:trPr>
        <w:tc>
          <w:tcPr>
            <w:tcW w:w="2601" w:type="dxa"/>
            <w:shd w:val="clear" w:color="auto" w:fill="F1E6FA"/>
          </w:tcPr>
          <w:p w14:paraId="267E6CD3" w14:textId="5ABC6B4A" w:rsidR="008B0EA6" w:rsidRPr="00173273" w:rsidRDefault="008B0EA6" w:rsidP="00842A75">
            <w:pPr>
              <w:spacing w:before="60" w:after="60"/>
              <w:rPr>
                <w:lang w:eastAsia="en-AU"/>
              </w:rPr>
            </w:pPr>
            <w:r w:rsidRPr="00173273">
              <w:rPr>
                <w:lang w:eastAsia="en-AU"/>
              </w:rPr>
              <w:lastRenderedPageBreak/>
              <w:t xml:space="preserve">PI 2.2 </w:t>
            </w:r>
            <w:r>
              <w:rPr>
                <w:lang w:eastAsia="en-AU"/>
              </w:rPr>
              <w:t>–</w:t>
            </w:r>
            <w:r w:rsidRPr="00173273">
              <w:rPr>
                <w:lang w:eastAsia="en-AU"/>
              </w:rPr>
              <w:t xml:space="preserve"> Number of information </w:t>
            </w:r>
            <w:r w:rsidR="0050377D">
              <w:rPr>
                <w:lang w:eastAsia="en-AU"/>
              </w:rPr>
              <w:t>sharing meetings with facility l</w:t>
            </w:r>
            <w:r w:rsidRPr="00173273">
              <w:rPr>
                <w:lang w:eastAsia="en-AU"/>
              </w:rPr>
              <w:t>icence holders (effective communication)</w:t>
            </w:r>
            <w:r>
              <w:rPr>
                <w:lang w:eastAsia="en-AU"/>
              </w:rPr>
              <w:t>.</w:t>
            </w:r>
          </w:p>
        </w:tc>
        <w:tc>
          <w:tcPr>
            <w:tcW w:w="2618" w:type="dxa"/>
            <w:shd w:val="clear" w:color="auto" w:fill="F1E6FA"/>
          </w:tcPr>
          <w:p w14:paraId="713683F3" w14:textId="59C6FC06" w:rsidR="00263E57" w:rsidRDefault="009007A9" w:rsidP="00446740">
            <w:pPr>
              <w:pStyle w:val="Tabletext"/>
              <w:jc w:val="left"/>
              <w:rPr>
                <w:lang w:eastAsia="en-AU"/>
              </w:rPr>
            </w:pPr>
            <w:r>
              <w:rPr>
                <w:noProof/>
                <w:lang w:eastAsia="en-AU"/>
              </w:rPr>
              <w:drawing>
                <wp:inline distT="0" distB="0" distL="0" distR="0" wp14:anchorId="6331DA2C" wp14:editId="0A8BA5A0">
                  <wp:extent cx="252000" cy="252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ee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14:paraId="5B21989E" w14:textId="79D811F9" w:rsidR="008B0EA6" w:rsidRPr="00173273" w:rsidRDefault="00162F41" w:rsidP="00446740">
            <w:pPr>
              <w:pStyle w:val="Tabletext"/>
              <w:jc w:val="left"/>
              <w:rPr>
                <w:lang w:eastAsia="en-AU"/>
              </w:rPr>
            </w:pPr>
            <w:r>
              <w:rPr>
                <w:lang w:eastAsia="en-AU"/>
              </w:rPr>
              <w:t>32</w:t>
            </w:r>
            <w:r w:rsidRPr="00173273">
              <w:rPr>
                <w:lang w:eastAsia="en-AU"/>
              </w:rPr>
              <w:t xml:space="preserve"> </w:t>
            </w:r>
            <w:r w:rsidR="008B0EA6" w:rsidRPr="00173273">
              <w:rPr>
                <w:lang w:eastAsia="en-AU"/>
              </w:rPr>
              <w:t>information sharing meetings held – exceeds target (</w:t>
            </w:r>
            <w:r>
              <w:rPr>
                <w:lang w:eastAsia="en-AU"/>
              </w:rPr>
              <w:t>20</w:t>
            </w:r>
            <w:r w:rsidR="008B0EA6" w:rsidRPr="00173273">
              <w:rPr>
                <w:lang w:eastAsia="en-AU"/>
              </w:rPr>
              <w:t>)</w:t>
            </w:r>
            <w:r w:rsidR="008B0EA6">
              <w:rPr>
                <w:lang w:eastAsia="en-AU"/>
              </w:rPr>
              <w:t>.</w:t>
            </w:r>
          </w:p>
        </w:tc>
        <w:tc>
          <w:tcPr>
            <w:tcW w:w="4117" w:type="dxa"/>
            <w:shd w:val="clear" w:color="auto" w:fill="F1E6FA"/>
          </w:tcPr>
          <w:p w14:paraId="32E8C78E" w14:textId="77777777" w:rsidR="008B0EA6" w:rsidRPr="00173273" w:rsidRDefault="008B0EA6" w:rsidP="008B0EA6">
            <w:pPr>
              <w:pStyle w:val="Tabletext"/>
              <w:numPr>
                <w:ilvl w:val="0"/>
                <w:numId w:val="26"/>
              </w:numPr>
              <w:spacing w:before="0" w:after="0"/>
              <w:ind w:left="361"/>
              <w:jc w:val="left"/>
              <w:rPr>
                <w:lang w:eastAsia="en-AU"/>
              </w:rPr>
            </w:pPr>
            <w:r w:rsidRPr="00173273">
              <w:rPr>
                <w:lang w:eastAsia="en-AU"/>
              </w:rPr>
              <w:t xml:space="preserve">Licence holder response indicates a </w:t>
            </w:r>
            <w:r w:rsidR="00162F41">
              <w:rPr>
                <w:lang w:eastAsia="en-AU"/>
              </w:rPr>
              <w:t>good</w:t>
            </w:r>
            <w:r w:rsidR="00162F41" w:rsidRPr="00173273">
              <w:rPr>
                <w:lang w:eastAsia="en-AU"/>
              </w:rPr>
              <w:t xml:space="preserve"> </w:t>
            </w:r>
            <w:r w:rsidRPr="00173273">
              <w:rPr>
                <w:lang w:eastAsia="en-AU"/>
              </w:rPr>
              <w:t>satisfaction with the communication with ARPANSA.</w:t>
            </w:r>
          </w:p>
          <w:p w14:paraId="273C6A7B" w14:textId="77777777" w:rsidR="008B0EA6" w:rsidRPr="00C15611" w:rsidRDefault="00162F41" w:rsidP="008B0EA6">
            <w:pPr>
              <w:pStyle w:val="Tabletext"/>
              <w:numPr>
                <w:ilvl w:val="0"/>
                <w:numId w:val="26"/>
              </w:numPr>
              <w:spacing w:before="0" w:after="0"/>
              <w:ind w:left="361"/>
              <w:jc w:val="left"/>
              <w:rPr>
                <w:lang w:eastAsia="en-AU"/>
              </w:rPr>
            </w:pPr>
            <w:r>
              <w:rPr>
                <w:lang w:eastAsia="en-AU"/>
              </w:rPr>
              <w:t>60</w:t>
            </w:r>
            <w:r w:rsidRPr="00173273">
              <w:rPr>
                <w:lang w:eastAsia="en-AU"/>
              </w:rPr>
              <w:t xml:space="preserve"> </w:t>
            </w:r>
            <w:r w:rsidR="008B0EA6" w:rsidRPr="00173273">
              <w:rPr>
                <w:lang w:eastAsia="en-AU"/>
              </w:rPr>
              <w:t xml:space="preserve">site visits </w:t>
            </w:r>
            <w:r>
              <w:rPr>
                <w:lang w:eastAsia="en-AU"/>
              </w:rPr>
              <w:t xml:space="preserve">to facilities </w:t>
            </w:r>
            <w:r w:rsidR="00A45872">
              <w:rPr>
                <w:lang w:eastAsia="en-AU"/>
              </w:rPr>
              <w:t xml:space="preserve">and 16 site visits to sources </w:t>
            </w:r>
            <w:r w:rsidR="008B0EA6" w:rsidRPr="00173273">
              <w:rPr>
                <w:lang w:eastAsia="en-AU"/>
              </w:rPr>
              <w:t xml:space="preserve">were also an important tool for communication but are not included in this measure. </w:t>
            </w:r>
          </w:p>
        </w:tc>
      </w:tr>
    </w:tbl>
    <w:p w14:paraId="137E664D" w14:textId="77777777" w:rsidR="008B0EA6" w:rsidRPr="00A9092B" w:rsidRDefault="008B0EA6" w:rsidP="008B0EA6">
      <w:pPr>
        <w:pStyle w:val="Heading3"/>
        <w:keepLines w:val="0"/>
        <w:widowControl w:val="0"/>
        <w:spacing w:before="200" w:after="120" w:line="240" w:lineRule="auto"/>
        <w:jc w:val="both"/>
        <w:rPr>
          <w:lang w:eastAsia="en-AU"/>
        </w:rPr>
      </w:pPr>
      <w:bookmarkStart w:id="22" w:name="_Toc470173146"/>
      <w:r w:rsidRPr="00A9092B">
        <w:rPr>
          <w:lang w:eastAsia="en-AU"/>
        </w:rPr>
        <w:t>Other evidence to indicate compliance with KPI 2</w:t>
      </w:r>
      <w:bookmarkEnd w:id="22"/>
    </w:p>
    <w:p w14:paraId="73275C74" w14:textId="4809508B" w:rsidR="008B0EA6" w:rsidRDefault="008B0EA6" w:rsidP="008B0EA6">
      <w:pPr>
        <w:widowControl w:val="0"/>
        <w:spacing w:after="120"/>
        <w:rPr>
          <w:rFonts w:cs="Times New Roman"/>
          <w:bCs/>
          <w:lang w:eastAsia="en-AU"/>
        </w:rPr>
      </w:pPr>
      <w:r w:rsidRPr="00A9092B">
        <w:rPr>
          <w:rFonts w:cs="Times New Roman"/>
          <w:bCs/>
          <w:lang w:eastAsia="en-AU"/>
        </w:rPr>
        <w:t xml:space="preserve">The </w:t>
      </w:r>
      <w:r>
        <w:rPr>
          <w:rFonts w:cs="Times New Roman"/>
          <w:bCs/>
          <w:lang w:eastAsia="en-AU"/>
        </w:rPr>
        <w:t>‘n</w:t>
      </w:r>
      <w:r w:rsidRPr="00A9092B">
        <w:rPr>
          <w:rFonts w:cs="Times New Roman"/>
          <w:bCs/>
          <w:lang w:eastAsia="en-AU"/>
        </w:rPr>
        <w:t>o surprises</w:t>
      </w:r>
      <w:r>
        <w:rPr>
          <w:rFonts w:cs="Times New Roman"/>
          <w:bCs/>
          <w:lang w:eastAsia="en-AU"/>
        </w:rPr>
        <w:t>’</w:t>
      </w:r>
      <w:r w:rsidRPr="00A9092B">
        <w:rPr>
          <w:rFonts w:cs="Times New Roman"/>
          <w:bCs/>
          <w:lang w:eastAsia="en-AU"/>
        </w:rPr>
        <w:t xml:space="preserve"> policy, as defined in the </w:t>
      </w:r>
      <w:hyperlink r:id="rId18" w:history="1">
        <w:r w:rsidRPr="0036038A">
          <w:rPr>
            <w:rStyle w:val="Hyperlink"/>
            <w:rFonts w:cs="Times New Roman"/>
            <w:bCs/>
            <w:lang w:eastAsia="en-AU"/>
          </w:rPr>
          <w:t>Regulatory Delivery Model</w:t>
        </w:r>
      </w:hyperlink>
      <w:r w:rsidRPr="00A9092B">
        <w:rPr>
          <w:rFonts w:cs="Times New Roman"/>
          <w:bCs/>
          <w:lang w:eastAsia="en-AU"/>
        </w:rPr>
        <w:t>, ensures that open and transpa</w:t>
      </w:r>
      <w:r w:rsidR="00250FE5">
        <w:rPr>
          <w:rFonts w:cs="Times New Roman"/>
          <w:bCs/>
          <w:lang w:eastAsia="en-AU"/>
        </w:rPr>
        <w:t>rent communication takes place</w:t>
      </w:r>
      <w:r w:rsidR="00F67488" w:rsidRPr="00F67488">
        <w:rPr>
          <w:rFonts w:cs="Times New Roman"/>
          <w:bCs/>
          <w:lang w:eastAsia="en-AU"/>
        </w:rPr>
        <w:t xml:space="preserve"> </w:t>
      </w:r>
      <w:r w:rsidR="00F67488">
        <w:rPr>
          <w:rFonts w:cs="Times New Roman"/>
          <w:bCs/>
          <w:lang w:eastAsia="en-AU"/>
        </w:rPr>
        <w:t>in a timely manner</w:t>
      </w:r>
      <w:r w:rsidR="009D7383">
        <w:rPr>
          <w:rFonts w:cs="Times New Roman"/>
          <w:bCs/>
          <w:lang w:eastAsia="en-AU"/>
        </w:rPr>
        <w:t>, F</w:t>
      </w:r>
      <w:r w:rsidR="00F67488">
        <w:rPr>
          <w:rFonts w:cs="Times New Roman"/>
          <w:bCs/>
          <w:lang w:eastAsia="en-AU"/>
        </w:rPr>
        <w:t xml:space="preserve">or example, most inspection reports are issues within 10 working days (unless there is an associated potential non-compliance) and licensing decisions </w:t>
      </w:r>
      <w:r w:rsidR="009D7383">
        <w:rPr>
          <w:rFonts w:cs="Times New Roman"/>
          <w:bCs/>
          <w:lang w:eastAsia="en-AU"/>
        </w:rPr>
        <w:t xml:space="preserve">are delivered </w:t>
      </w:r>
      <w:r w:rsidR="00F67488">
        <w:rPr>
          <w:rFonts w:cs="Times New Roman"/>
          <w:bCs/>
          <w:lang w:eastAsia="en-AU"/>
        </w:rPr>
        <w:t>by a time determined in consultation with the licence holder (See PI 1.2)</w:t>
      </w:r>
      <w:r w:rsidR="00250FE5">
        <w:rPr>
          <w:rFonts w:cs="Times New Roman"/>
          <w:bCs/>
          <w:lang w:eastAsia="en-AU"/>
        </w:rPr>
        <w:t>.</w:t>
      </w:r>
    </w:p>
    <w:p w14:paraId="4812CF18" w14:textId="236D92AF" w:rsidR="008B0EA6" w:rsidRPr="00ED6CD4" w:rsidRDefault="008B0EA6" w:rsidP="008B0EA6">
      <w:pPr>
        <w:widowControl w:val="0"/>
        <w:spacing w:after="120"/>
        <w:rPr>
          <w:rFonts w:cs="Times New Roman"/>
          <w:bCs/>
          <w:lang w:eastAsia="en-AU"/>
        </w:rPr>
      </w:pPr>
      <w:r>
        <w:rPr>
          <w:rFonts w:cs="Times New Roman"/>
          <w:bCs/>
          <w:lang w:eastAsia="en-AU"/>
        </w:rPr>
        <w:t xml:space="preserve">ARPANSA updates and </w:t>
      </w:r>
      <w:r w:rsidR="00F5438B">
        <w:rPr>
          <w:rFonts w:cs="Times New Roman"/>
          <w:bCs/>
          <w:lang w:eastAsia="en-AU"/>
        </w:rPr>
        <w:t>communicates</w:t>
      </w:r>
      <w:r>
        <w:rPr>
          <w:rFonts w:cs="Times New Roman"/>
          <w:bCs/>
          <w:lang w:eastAsia="en-AU"/>
        </w:rPr>
        <w:t xml:space="preserve"> its inspection schedules</w:t>
      </w:r>
      <w:r w:rsidR="00F5438B">
        <w:rPr>
          <w:rFonts w:cs="Times New Roman"/>
          <w:bCs/>
          <w:lang w:eastAsia="en-AU"/>
        </w:rPr>
        <w:t xml:space="preserve"> to licence holders</w:t>
      </w:r>
      <w:r>
        <w:rPr>
          <w:rFonts w:cs="Times New Roman"/>
          <w:bCs/>
          <w:lang w:eastAsia="en-AU"/>
        </w:rPr>
        <w:t xml:space="preserve">. </w:t>
      </w:r>
      <w:r>
        <w:rPr>
          <w:rFonts w:cs="Times New Roman"/>
          <w:bCs/>
          <w:szCs w:val="24"/>
          <w:lang w:eastAsia="en-AU"/>
        </w:rPr>
        <w:t>D</w:t>
      </w:r>
      <w:r w:rsidRPr="00A9092B">
        <w:rPr>
          <w:rFonts w:cs="Times New Roman"/>
          <w:bCs/>
          <w:szCs w:val="24"/>
          <w:lang w:eastAsia="en-AU"/>
        </w:rPr>
        <w:t>ates for inspections are</w:t>
      </w:r>
      <w:r>
        <w:rPr>
          <w:rFonts w:cs="Times New Roman"/>
          <w:bCs/>
          <w:szCs w:val="24"/>
          <w:lang w:eastAsia="en-AU"/>
        </w:rPr>
        <w:t xml:space="preserve"> </w:t>
      </w:r>
      <w:r w:rsidRPr="00A9092B">
        <w:rPr>
          <w:rFonts w:cs="Times New Roman"/>
          <w:bCs/>
          <w:szCs w:val="24"/>
          <w:lang w:eastAsia="en-AU"/>
        </w:rPr>
        <w:t xml:space="preserve">agreed with </w:t>
      </w:r>
      <w:r>
        <w:rPr>
          <w:rFonts w:cs="Times New Roman"/>
          <w:bCs/>
          <w:szCs w:val="24"/>
          <w:lang w:eastAsia="en-AU"/>
        </w:rPr>
        <w:t>a licence holder</w:t>
      </w:r>
      <w:r w:rsidRPr="00A9092B">
        <w:rPr>
          <w:rFonts w:cs="Times New Roman"/>
          <w:bCs/>
          <w:szCs w:val="24"/>
          <w:lang w:eastAsia="en-AU"/>
        </w:rPr>
        <w:t xml:space="preserve"> well in advance. </w:t>
      </w:r>
      <w:r>
        <w:rPr>
          <w:rFonts w:cs="Times New Roman"/>
          <w:bCs/>
          <w:lang w:eastAsia="en-AU"/>
        </w:rPr>
        <w:t xml:space="preserve">A formal </w:t>
      </w:r>
      <w:r w:rsidRPr="00A9092B">
        <w:rPr>
          <w:rFonts w:cs="Times New Roman"/>
          <w:bCs/>
          <w:lang w:eastAsia="en-AU"/>
        </w:rPr>
        <w:t xml:space="preserve">notification </w:t>
      </w:r>
      <w:r>
        <w:rPr>
          <w:rFonts w:cs="Times New Roman"/>
          <w:bCs/>
          <w:lang w:eastAsia="en-AU"/>
        </w:rPr>
        <w:t xml:space="preserve">is sent </w:t>
      </w:r>
      <w:r w:rsidRPr="00A9092B">
        <w:rPr>
          <w:rFonts w:cs="Times New Roman"/>
          <w:bCs/>
          <w:lang w:eastAsia="en-AU"/>
        </w:rPr>
        <w:lastRenderedPageBreak/>
        <w:t xml:space="preserve">to the </w:t>
      </w:r>
      <w:r>
        <w:rPr>
          <w:rFonts w:cs="Times New Roman"/>
          <w:bCs/>
          <w:lang w:eastAsia="en-AU"/>
        </w:rPr>
        <w:t>licence holder</w:t>
      </w:r>
      <w:r w:rsidRPr="00A9092B">
        <w:rPr>
          <w:rFonts w:cs="Times New Roman"/>
          <w:bCs/>
          <w:lang w:eastAsia="en-AU"/>
        </w:rPr>
        <w:t xml:space="preserve"> at least two weeks before the start of an inspection</w:t>
      </w:r>
      <w:r>
        <w:rPr>
          <w:rFonts w:cs="Times New Roman"/>
          <w:bCs/>
          <w:lang w:eastAsia="en-AU"/>
        </w:rPr>
        <w:t>. The notification includes</w:t>
      </w:r>
      <w:r w:rsidRPr="00A9092B">
        <w:rPr>
          <w:rFonts w:cs="Times New Roman"/>
          <w:bCs/>
          <w:lang w:eastAsia="en-AU"/>
        </w:rPr>
        <w:t xml:space="preserve"> details such as when, who</w:t>
      </w:r>
      <w:r>
        <w:rPr>
          <w:rFonts w:cs="Times New Roman"/>
          <w:bCs/>
          <w:lang w:eastAsia="en-AU"/>
        </w:rPr>
        <w:t>, and</w:t>
      </w:r>
      <w:r w:rsidRPr="00A9092B">
        <w:rPr>
          <w:rFonts w:cs="Times New Roman"/>
          <w:bCs/>
          <w:lang w:eastAsia="en-AU"/>
        </w:rPr>
        <w:t xml:space="preserve"> what will be inspected</w:t>
      </w:r>
      <w:r>
        <w:rPr>
          <w:rFonts w:cs="Times New Roman"/>
          <w:bCs/>
          <w:lang w:eastAsia="en-AU"/>
        </w:rPr>
        <w:t xml:space="preserve">, including the </w:t>
      </w:r>
      <w:hyperlink r:id="rId19" w:history="1">
        <w:r w:rsidR="004A0820">
          <w:rPr>
            <w:rStyle w:val="Hyperlink"/>
            <w:rFonts w:cs="Times New Roman"/>
            <w:bCs/>
            <w:szCs w:val="24"/>
            <w:lang w:eastAsia="en-AU"/>
          </w:rPr>
          <w:t>PO&amp;C</w:t>
        </w:r>
      </w:hyperlink>
      <w:r>
        <w:rPr>
          <w:rFonts w:cs="Times New Roman"/>
          <w:bCs/>
          <w:szCs w:val="24"/>
          <w:lang w:eastAsia="en-AU"/>
        </w:rPr>
        <w:t xml:space="preserve"> </w:t>
      </w:r>
      <w:r>
        <w:rPr>
          <w:rFonts w:cs="Times New Roman"/>
          <w:bCs/>
          <w:lang w:eastAsia="en-AU"/>
        </w:rPr>
        <w:t>to be used</w:t>
      </w:r>
      <w:r w:rsidRPr="00A9092B">
        <w:rPr>
          <w:rFonts w:cs="Times New Roman"/>
          <w:bCs/>
          <w:lang w:eastAsia="en-AU"/>
        </w:rPr>
        <w:t xml:space="preserve">. </w:t>
      </w:r>
    </w:p>
    <w:p w14:paraId="149F966D" w14:textId="6E97A970" w:rsidR="008B0EA6" w:rsidRDefault="008B0EA6" w:rsidP="00E817FE">
      <w:pPr>
        <w:spacing w:after="120"/>
        <w:rPr>
          <w:rFonts w:cs="Times New Roman"/>
          <w:bCs/>
          <w:lang w:eastAsia="en-AU"/>
        </w:rPr>
      </w:pPr>
      <w:r>
        <w:rPr>
          <w:rFonts w:cs="Times New Roman"/>
          <w:bCs/>
          <w:lang w:eastAsia="en-AU"/>
        </w:rPr>
        <w:t>Each</w:t>
      </w:r>
      <w:r w:rsidRPr="00A9092B">
        <w:rPr>
          <w:rFonts w:cs="Times New Roman"/>
          <w:bCs/>
          <w:lang w:eastAsia="en-AU"/>
        </w:rPr>
        <w:t xml:space="preserve"> inspection includes an entrance and exit meeting involving appropriate staff from the licen</w:t>
      </w:r>
      <w:r>
        <w:rPr>
          <w:rFonts w:cs="Times New Roman"/>
          <w:bCs/>
          <w:lang w:eastAsia="en-AU"/>
        </w:rPr>
        <w:t>s</w:t>
      </w:r>
      <w:r w:rsidRPr="00A9092B">
        <w:rPr>
          <w:rFonts w:cs="Times New Roman"/>
          <w:bCs/>
          <w:lang w:eastAsia="en-AU"/>
        </w:rPr>
        <w:t>e</w:t>
      </w:r>
      <w:r>
        <w:rPr>
          <w:rFonts w:cs="Times New Roman"/>
          <w:bCs/>
          <w:lang w:eastAsia="en-AU"/>
        </w:rPr>
        <w:t>d entity</w:t>
      </w:r>
      <w:r w:rsidRPr="00A9092B">
        <w:rPr>
          <w:rFonts w:cs="Times New Roman"/>
          <w:bCs/>
          <w:lang w:eastAsia="en-AU"/>
        </w:rPr>
        <w:t>. The</w:t>
      </w:r>
      <w:r>
        <w:rPr>
          <w:rFonts w:cs="Times New Roman"/>
          <w:bCs/>
          <w:lang w:eastAsia="en-AU"/>
        </w:rPr>
        <w:t>re should be no surprises at the</w:t>
      </w:r>
      <w:r w:rsidRPr="00A9092B">
        <w:rPr>
          <w:rFonts w:cs="Times New Roman"/>
          <w:bCs/>
          <w:lang w:eastAsia="en-AU"/>
        </w:rPr>
        <w:t xml:space="preserve"> exit meeting </w:t>
      </w:r>
      <w:r w:rsidR="0050377D">
        <w:rPr>
          <w:rFonts w:cs="Times New Roman"/>
          <w:bCs/>
          <w:lang w:eastAsia="en-AU"/>
        </w:rPr>
        <w:t>as</w:t>
      </w:r>
      <w:r w:rsidRPr="00A9092B">
        <w:rPr>
          <w:rFonts w:cs="Times New Roman"/>
          <w:bCs/>
          <w:lang w:eastAsia="en-AU"/>
        </w:rPr>
        <w:t xml:space="preserve"> any </w:t>
      </w:r>
      <w:r>
        <w:rPr>
          <w:rFonts w:cs="Times New Roman"/>
          <w:bCs/>
          <w:lang w:eastAsia="en-AU"/>
        </w:rPr>
        <w:t xml:space="preserve">significant </w:t>
      </w:r>
      <w:r w:rsidRPr="00A9092B">
        <w:rPr>
          <w:rFonts w:cs="Times New Roman"/>
          <w:bCs/>
          <w:lang w:eastAsia="en-AU"/>
        </w:rPr>
        <w:t xml:space="preserve">findings </w:t>
      </w:r>
      <w:r>
        <w:rPr>
          <w:rFonts w:cs="Times New Roman"/>
          <w:bCs/>
          <w:lang w:eastAsia="en-AU"/>
        </w:rPr>
        <w:t>sh</w:t>
      </w:r>
      <w:r w:rsidRPr="00A9092B">
        <w:rPr>
          <w:rFonts w:cs="Times New Roman"/>
          <w:bCs/>
          <w:lang w:eastAsia="en-AU"/>
        </w:rPr>
        <w:t xml:space="preserve">ould </w:t>
      </w:r>
      <w:r>
        <w:rPr>
          <w:rFonts w:cs="Times New Roman"/>
          <w:bCs/>
          <w:lang w:eastAsia="en-AU"/>
        </w:rPr>
        <w:t>be</w:t>
      </w:r>
      <w:r w:rsidRPr="00A9092B">
        <w:rPr>
          <w:rFonts w:cs="Times New Roman"/>
          <w:bCs/>
          <w:lang w:eastAsia="en-AU"/>
        </w:rPr>
        <w:t xml:space="preserve"> discussed with staff </w:t>
      </w:r>
      <w:r>
        <w:rPr>
          <w:rFonts w:cs="Times New Roman"/>
          <w:bCs/>
          <w:lang w:eastAsia="en-AU"/>
        </w:rPr>
        <w:t>during the inspection</w:t>
      </w:r>
      <w:r w:rsidRPr="00A9092B">
        <w:rPr>
          <w:rFonts w:cs="Times New Roman"/>
          <w:bCs/>
          <w:lang w:eastAsia="en-AU"/>
        </w:rPr>
        <w:t xml:space="preserve">. An effective exit meeting will result in agreement </w:t>
      </w:r>
      <w:r>
        <w:rPr>
          <w:rFonts w:cs="Times New Roman"/>
          <w:bCs/>
          <w:lang w:eastAsia="en-AU"/>
        </w:rPr>
        <w:t xml:space="preserve">on </w:t>
      </w:r>
      <w:r w:rsidRPr="00A9092B">
        <w:rPr>
          <w:rFonts w:cs="Times New Roman"/>
          <w:bCs/>
          <w:lang w:eastAsia="en-AU"/>
        </w:rPr>
        <w:t xml:space="preserve">the facts of </w:t>
      </w:r>
      <w:r>
        <w:rPr>
          <w:rFonts w:cs="Times New Roman"/>
          <w:bCs/>
          <w:lang w:eastAsia="en-AU"/>
        </w:rPr>
        <w:t xml:space="preserve">any </w:t>
      </w:r>
      <w:r w:rsidRPr="00A9092B">
        <w:rPr>
          <w:rFonts w:cs="Times New Roman"/>
          <w:bCs/>
          <w:lang w:eastAsia="en-AU"/>
        </w:rPr>
        <w:t>potential non-compliance and performance deficiencies</w:t>
      </w:r>
      <w:r>
        <w:rPr>
          <w:rFonts w:cs="Times New Roman"/>
          <w:bCs/>
          <w:lang w:eastAsia="en-AU"/>
        </w:rPr>
        <w:t>,</w:t>
      </w:r>
      <w:r w:rsidRPr="00A9092B">
        <w:rPr>
          <w:rFonts w:cs="Times New Roman"/>
          <w:bCs/>
          <w:lang w:eastAsia="en-AU"/>
        </w:rPr>
        <w:t xml:space="preserve"> </w:t>
      </w:r>
      <w:r>
        <w:rPr>
          <w:rFonts w:cs="Times New Roman"/>
          <w:bCs/>
          <w:lang w:eastAsia="en-AU"/>
        </w:rPr>
        <w:t xml:space="preserve">identification of good practices, </w:t>
      </w:r>
      <w:r w:rsidRPr="00A9092B">
        <w:rPr>
          <w:rFonts w:cs="Times New Roman"/>
          <w:bCs/>
          <w:lang w:eastAsia="en-AU"/>
        </w:rPr>
        <w:t xml:space="preserve">and clear expectations for both the </w:t>
      </w:r>
      <w:r>
        <w:rPr>
          <w:rFonts w:cs="Times New Roman"/>
          <w:bCs/>
          <w:lang w:eastAsia="en-AU"/>
        </w:rPr>
        <w:t>licence holder</w:t>
      </w:r>
      <w:r w:rsidRPr="00A9092B">
        <w:rPr>
          <w:rFonts w:cs="Times New Roman"/>
          <w:bCs/>
          <w:lang w:eastAsia="en-AU"/>
        </w:rPr>
        <w:t xml:space="preserve"> and the regulator.</w:t>
      </w:r>
      <w:r>
        <w:rPr>
          <w:rFonts w:cs="Times New Roman"/>
          <w:bCs/>
          <w:lang w:eastAsia="en-AU"/>
        </w:rPr>
        <w:t xml:space="preserve"> During the self-assessment, the team observed two inspections and spoke with licence holder staff who confirmed that communication during and at the close of inspections was effective. </w:t>
      </w:r>
      <w:r w:rsidR="00ED73A5">
        <w:rPr>
          <w:rFonts w:cs="Times New Roman"/>
          <w:bCs/>
          <w:lang w:eastAsia="en-AU"/>
        </w:rPr>
        <w:t xml:space="preserve">ARPANSA inspectors were reported as well regarded and seen as professional in their work. Teamwork between inspectors during inspections was sometimes described as impressive. The assessment team heard from inspectors that they were both </w:t>
      </w:r>
      <w:r w:rsidR="00ED73A5">
        <w:rPr>
          <w:rFonts w:cs="Times New Roman"/>
          <w:bCs/>
          <w:lang w:eastAsia="en-AU"/>
        </w:rPr>
        <w:lastRenderedPageBreak/>
        <w:t xml:space="preserve">supported by management and had ample opportunity for professional development although operational matters can </w:t>
      </w:r>
      <w:r w:rsidR="006C1DE6">
        <w:rPr>
          <w:rFonts w:cs="Times New Roman"/>
          <w:bCs/>
          <w:lang w:eastAsia="en-AU"/>
        </w:rPr>
        <w:t>get in the way of this.</w:t>
      </w:r>
      <w:r w:rsidR="00ED73A5">
        <w:rPr>
          <w:rFonts w:cs="Times New Roman"/>
          <w:bCs/>
          <w:lang w:eastAsia="en-AU"/>
        </w:rPr>
        <w:t xml:space="preserve"> </w:t>
      </w:r>
    </w:p>
    <w:p w14:paraId="495A8ABF" w14:textId="3D0B8CBF" w:rsidR="009A1C4C" w:rsidRDefault="008B0EA6" w:rsidP="008B0EA6">
      <w:pPr>
        <w:widowControl w:val="0"/>
        <w:spacing w:after="120"/>
        <w:rPr>
          <w:rFonts w:cs="Times New Roman"/>
          <w:bCs/>
          <w:lang w:eastAsia="en-AU"/>
        </w:rPr>
      </w:pPr>
      <w:r>
        <w:rPr>
          <w:rFonts w:cs="Times New Roman"/>
          <w:bCs/>
          <w:lang w:eastAsia="en-AU"/>
        </w:rPr>
        <w:t>In addition to the inspection environment, without</w:t>
      </w:r>
      <w:r w:rsidRPr="00A9092B">
        <w:rPr>
          <w:rFonts w:cs="Times New Roman"/>
          <w:bCs/>
          <w:lang w:eastAsia="en-AU"/>
        </w:rPr>
        <w:t xml:space="preserve"> exception, </w:t>
      </w:r>
      <w:r>
        <w:rPr>
          <w:rFonts w:cs="Times New Roman"/>
          <w:bCs/>
          <w:lang w:eastAsia="en-AU"/>
        </w:rPr>
        <w:t>licence holder representatives</w:t>
      </w:r>
      <w:r w:rsidRPr="00A9092B">
        <w:rPr>
          <w:rFonts w:cs="Times New Roman"/>
          <w:bCs/>
          <w:lang w:eastAsia="en-AU"/>
        </w:rPr>
        <w:t xml:space="preserve"> reported </w:t>
      </w:r>
      <w:r w:rsidR="005B2236">
        <w:rPr>
          <w:rFonts w:cs="Times New Roman"/>
          <w:bCs/>
          <w:lang w:eastAsia="en-AU"/>
        </w:rPr>
        <w:t xml:space="preserve">effective </w:t>
      </w:r>
      <w:r w:rsidRPr="00A9092B">
        <w:rPr>
          <w:rFonts w:cs="Times New Roman"/>
          <w:bCs/>
          <w:lang w:eastAsia="en-AU"/>
        </w:rPr>
        <w:t>communication and services from ARPANSA ha</w:t>
      </w:r>
      <w:r w:rsidR="002C019F">
        <w:rPr>
          <w:rFonts w:cs="Times New Roman"/>
          <w:bCs/>
          <w:lang w:eastAsia="en-AU"/>
        </w:rPr>
        <w:t>ve</w:t>
      </w:r>
      <w:r w:rsidRPr="00A9092B">
        <w:rPr>
          <w:rFonts w:cs="Times New Roman"/>
          <w:bCs/>
          <w:lang w:eastAsia="en-AU"/>
        </w:rPr>
        <w:t xml:space="preserve"> improved since the introduction of the new </w:t>
      </w:r>
      <w:r w:rsidR="0050377D">
        <w:rPr>
          <w:rFonts w:cs="Times New Roman"/>
          <w:bCs/>
          <w:lang w:eastAsia="en-AU"/>
        </w:rPr>
        <w:t>Regulatory D</w:t>
      </w:r>
      <w:r w:rsidRPr="00A9092B">
        <w:rPr>
          <w:rFonts w:cs="Times New Roman"/>
          <w:bCs/>
          <w:lang w:eastAsia="en-AU"/>
        </w:rPr>
        <w:t xml:space="preserve">elivery </w:t>
      </w:r>
      <w:r w:rsidR="0050377D">
        <w:rPr>
          <w:rFonts w:cs="Times New Roman"/>
          <w:bCs/>
          <w:lang w:eastAsia="en-AU"/>
        </w:rPr>
        <w:t>M</w:t>
      </w:r>
      <w:r w:rsidRPr="00A9092B">
        <w:rPr>
          <w:rFonts w:cs="Times New Roman"/>
          <w:bCs/>
          <w:lang w:eastAsia="en-AU"/>
        </w:rPr>
        <w:t>odel in December 2014.</w:t>
      </w:r>
      <w:r>
        <w:rPr>
          <w:rFonts w:cs="Times New Roman"/>
          <w:bCs/>
          <w:lang w:eastAsia="en-AU"/>
        </w:rPr>
        <w:t xml:space="preserve"> </w:t>
      </w:r>
    </w:p>
    <w:p w14:paraId="31898F3D" w14:textId="353259DC" w:rsidR="00A724FC" w:rsidRDefault="00A724FC" w:rsidP="008B0EA6">
      <w:pPr>
        <w:widowControl w:val="0"/>
        <w:spacing w:after="120"/>
        <w:rPr>
          <w:rFonts w:cs="Times New Roman"/>
          <w:bCs/>
          <w:lang w:eastAsia="en-AU"/>
        </w:rPr>
      </w:pPr>
      <w:r>
        <w:rPr>
          <w:rFonts w:cs="Times New Roman"/>
          <w:bCs/>
          <w:lang w:eastAsia="en-AU"/>
        </w:rPr>
        <w:t xml:space="preserve">Following the </w:t>
      </w:r>
      <w:r w:rsidR="007F5E44">
        <w:rPr>
          <w:rFonts w:cs="Times New Roman"/>
          <w:bCs/>
          <w:lang w:eastAsia="en-AU"/>
        </w:rPr>
        <w:t>2015-16</w:t>
      </w:r>
      <w:r>
        <w:rPr>
          <w:rFonts w:cs="Times New Roman"/>
          <w:bCs/>
          <w:lang w:eastAsia="en-AU"/>
        </w:rPr>
        <w:t xml:space="preserve"> self-assessment, the inspection survey was revised to make it simpler to complete</w:t>
      </w:r>
      <w:r w:rsidR="00467CE0">
        <w:rPr>
          <w:rFonts w:cs="Times New Roman"/>
          <w:bCs/>
          <w:lang w:eastAsia="en-AU"/>
        </w:rPr>
        <w:t>, al</w:t>
      </w:r>
      <w:r w:rsidR="00471AB0">
        <w:rPr>
          <w:rFonts w:cs="Times New Roman"/>
          <w:bCs/>
          <w:lang w:eastAsia="en-AU"/>
        </w:rPr>
        <w:t>l</w:t>
      </w:r>
      <w:r w:rsidR="00467CE0">
        <w:rPr>
          <w:rFonts w:cs="Times New Roman"/>
          <w:bCs/>
          <w:lang w:eastAsia="en-AU"/>
        </w:rPr>
        <w:t xml:space="preserve">ow </w:t>
      </w:r>
      <w:r w:rsidR="00471AB0">
        <w:rPr>
          <w:rFonts w:cs="Times New Roman"/>
          <w:bCs/>
          <w:lang w:eastAsia="en-AU"/>
        </w:rPr>
        <w:t>for</w:t>
      </w:r>
      <w:r w:rsidR="00467CE0">
        <w:rPr>
          <w:rFonts w:cs="Times New Roman"/>
          <w:bCs/>
          <w:lang w:eastAsia="en-AU"/>
        </w:rPr>
        <w:t xml:space="preserve"> anonymity and to provide a ‘score’ </w:t>
      </w:r>
      <w:r w:rsidR="0057117D">
        <w:rPr>
          <w:rFonts w:cs="Times New Roman"/>
          <w:bCs/>
          <w:lang w:eastAsia="en-AU"/>
        </w:rPr>
        <w:t>that</w:t>
      </w:r>
      <w:r w:rsidR="00467CE0">
        <w:rPr>
          <w:rFonts w:cs="Times New Roman"/>
          <w:bCs/>
          <w:lang w:eastAsia="en-AU"/>
        </w:rPr>
        <w:t xml:space="preserve"> may be trended. </w:t>
      </w:r>
      <w:r w:rsidR="0010189B">
        <w:rPr>
          <w:rFonts w:cs="Times New Roman"/>
          <w:bCs/>
          <w:lang w:eastAsia="en-AU"/>
        </w:rPr>
        <w:t>Officially coming onto effect from 1 July 2017, q</w:t>
      </w:r>
      <w:r w:rsidR="00B97FEA">
        <w:rPr>
          <w:rFonts w:cs="Times New Roman"/>
          <w:bCs/>
          <w:lang w:eastAsia="en-AU"/>
        </w:rPr>
        <w:t xml:space="preserve">uarterly results from the survey </w:t>
      </w:r>
      <w:r w:rsidR="0010189B">
        <w:rPr>
          <w:rFonts w:cs="Times New Roman"/>
          <w:bCs/>
          <w:lang w:eastAsia="en-AU"/>
        </w:rPr>
        <w:t xml:space="preserve">would have </w:t>
      </w:r>
      <w:r w:rsidR="00B97FEA">
        <w:rPr>
          <w:rFonts w:cs="Times New Roman"/>
          <w:bCs/>
          <w:lang w:eastAsia="en-AU"/>
        </w:rPr>
        <w:t>an average score of 84% within a range from 80% to 87%</w:t>
      </w:r>
      <w:r w:rsidR="0010189B">
        <w:rPr>
          <w:rFonts w:cs="Times New Roman"/>
          <w:bCs/>
          <w:lang w:eastAsia="en-AU"/>
        </w:rPr>
        <w:t xml:space="preserve"> for 2016/17 year</w:t>
      </w:r>
      <w:r w:rsidR="00B97FEA">
        <w:rPr>
          <w:rFonts w:cs="Times New Roman"/>
          <w:bCs/>
          <w:lang w:eastAsia="en-AU"/>
        </w:rPr>
        <w:t xml:space="preserve">. </w:t>
      </w:r>
      <w:r w:rsidR="008B0EA6">
        <w:rPr>
          <w:rFonts w:cs="Times New Roman"/>
          <w:bCs/>
          <w:lang w:eastAsia="en-AU"/>
        </w:rPr>
        <w:t>The results of inspection surveys and feedback provided to the ARPANSA self-assessment team indicated general satisfaction with the inspection process</w:t>
      </w:r>
      <w:r w:rsidR="00B97FEA">
        <w:rPr>
          <w:rFonts w:cs="Times New Roman"/>
          <w:bCs/>
          <w:lang w:eastAsia="en-AU"/>
        </w:rPr>
        <w:t xml:space="preserve"> although the team noted that survey responses had declined significantly for unknown reasons</w:t>
      </w:r>
      <w:r w:rsidR="008B0EA6">
        <w:rPr>
          <w:rFonts w:cs="Times New Roman"/>
          <w:bCs/>
          <w:lang w:eastAsia="en-AU"/>
        </w:rPr>
        <w:t xml:space="preserve">. </w:t>
      </w:r>
    </w:p>
    <w:p w14:paraId="0548E670" w14:textId="07CD1476" w:rsidR="00CA7193" w:rsidRDefault="00CA7193" w:rsidP="008B0EA6">
      <w:pPr>
        <w:widowControl w:val="0"/>
        <w:spacing w:after="120"/>
        <w:rPr>
          <w:rFonts w:cs="Times New Roman"/>
          <w:bCs/>
          <w:lang w:eastAsia="en-AU"/>
        </w:rPr>
      </w:pPr>
      <w:r>
        <w:rPr>
          <w:rFonts w:cs="Times New Roman"/>
          <w:bCs/>
          <w:lang w:eastAsia="en-AU"/>
        </w:rPr>
        <w:lastRenderedPageBreak/>
        <w:t xml:space="preserve">Following the </w:t>
      </w:r>
      <w:r w:rsidR="007F5E44">
        <w:rPr>
          <w:rFonts w:cs="Times New Roman"/>
          <w:bCs/>
          <w:lang w:eastAsia="en-AU"/>
        </w:rPr>
        <w:t>2015-16</w:t>
      </w:r>
      <w:r>
        <w:rPr>
          <w:rFonts w:cs="Times New Roman"/>
          <w:bCs/>
          <w:lang w:eastAsia="en-AU"/>
        </w:rPr>
        <w:t xml:space="preserve"> self-assessment RSB now reviews, analyses and compiles survey data, along with other performance </w:t>
      </w:r>
      <w:r w:rsidR="00342299">
        <w:rPr>
          <w:rFonts w:cs="Times New Roman"/>
          <w:bCs/>
          <w:lang w:eastAsia="en-AU"/>
        </w:rPr>
        <w:t>metrics</w:t>
      </w:r>
      <w:r>
        <w:rPr>
          <w:rFonts w:cs="Times New Roman"/>
          <w:bCs/>
          <w:lang w:eastAsia="en-AU"/>
        </w:rPr>
        <w:t xml:space="preserve">, into an internal quarterly report for staff.  This highlights where RSB is doing well and where improvements can be </w:t>
      </w:r>
      <w:r w:rsidR="0057117D">
        <w:rPr>
          <w:rFonts w:cs="Times New Roman"/>
          <w:bCs/>
          <w:lang w:eastAsia="en-AU"/>
        </w:rPr>
        <w:t>made</w:t>
      </w:r>
      <w:r>
        <w:rPr>
          <w:rFonts w:cs="Times New Roman"/>
          <w:bCs/>
          <w:lang w:eastAsia="en-AU"/>
        </w:rPr>
        <w:t xml:space="preserve">.  It also provides information on licence holder performance </w:t>
      </w:r>
      <w:r w:rsidR="0057117D">
        <w:rPr>
          <w:rFonts w:cs="Times New Roman"/>
          <w:bCs/>
          <w:lang w:eastAsia="en-AU"/>
        </w:rPr>
        <w:t>that</w:t>
      </w:r>
      <w:r>
        <w:rPr>
          <w:rFonts w:cs="Times New Roman"/>
          <w:bCs/>
          <w:lang w:eastAsia="en-AU"/>
        </w:rPr>
        <w:t xml:space="preserve"> can inform inspection planning and improve communications during inspection</w:t>
      </w:r>
      <w:r w:rsidR="0057117D">
        <w:rPr>
          <w:rFonts w:cs="Times New Roman"/>
          <w:bCs/>
          <w:lang w:eastAsia="en-AU"/>
        </w:rPr>
        <w:t>s</w:t>
      </w:r>
      <w:r>
        <w:rPr>
          <w:rFonts w:cs="Times New Roman"/>
          <w:bCs/>
          <w:lang w:eastAsia="en-AU"/>
        </w:rPr>
        <w:t xml:space="preserve">, site visits and </w:t>
      </w:r>
      <w:r w:rsidR="00342299">
        <w:rPr>
          <w:rFonts w:cs="Times New Roman"/>
          <w:bCs/>
          <w:lang w:eastAsia="en-AU"/>
        </w:rPr>
        <w:t xml:space="preserve">other </w:t>
      </w:r>
      <w:r>
        <w:rPr>
          <w:rFonts w:cs="Times New Roman"/>
          <w:bCs/>
          <w:lang w:eastAsia="en-AU"/>
        </w:rPr>
        <w:t>meetings</w:t>
      </w:r>
      <w:r w:rsidR="00342299">
        <w:rPr>
          <w:rFonts w:cs="Times New Roman"/>
          <w:bCs/>
          <w:lang w:eastAsia="en-AU"/>
        </w:rPr>
        <w:t xml:space="preserve"> or correspondence</w:t>
      </w:r>
      <w:r>
        <w:rPr>
          <w:rFonts w:cs="Times New Roman"/>
          <w:bCs/>
          <w:lang w:eastAsia="en-AU"/>
        </w:rPr>
        <w:t>.  On a similar theme RSB also</w:t>
      </w:r>
      <w:r w:rsidR="00342299">
        <w:rPr>
          <w:rFonts w:cs="Times New Roman"/>
          <w:bCs/>
          <w:lang w:eastAsia="en-AU"/>
        </w:rPr>
        <w:t xml:space="preserve"> publishe</w:t>
      </w:r>
      <w:r w:rsidR="0082179B">
        <w:rPr>
          <w:rFonts w:cs="Times New Roman"/>
          <w:bCs/>
          <w:lang w:eastAsia="en-AU"/>
        </w:rPr>
        <w:t>s and updates half-</w:t>
      </w:r>
      <w:r w:rsidR="00342299">
        <w:rPr>
          <w:rFonts w:cs="Times New Roman"/>
          <w:bCs/>
          <w:lang w:eastAsia="en-AU"/>
        </w:rPr>
        <w:t>yearly</w:t>
      </w:r>
      <w:r w:rsidR="0010189B">
        <w:rPr>
          <w:rFonts w:cs="Times New Roman"/>
          <w:bCs/>
          <w:lang w:eastAsia="en-AU"/>
        </w:rPr>
        <w:t>,</w:t>
      </w:r>
      <w:r w:rsidR="00342299">
        <w:rPr>
          <w:rFonts w:cs="Times New Roman"/>
          <w:bCs/>
          <w:lang w:eastAsia="en-AU"/>
        </w:rPr>
        <w:t xml:space="preserve"> on its website, information on </w:t>
      </w:r>
      <w:hyperlink r:id="rId20" w:history="1">
        <w:r w:rsidR="00342299" w:rsidRPr="00342299">
          <w:rPr>
            <w:rStyle w:val="Hyperlink"/>
            <w:rFonts w:cs="Times New Roman"/>
            <w:bCs/>
            <w:lang w:eastAsia="en-AU"/>
          </w:rPr>
          <w:t>inspection outcomes</w:t>
        </w:r>
      </w:hyperlink>
      <w:r w:rsidR="00342299">
        <w:rPr>
          <w:rFonts w:cs="Times New Roman"/>
          <w:bCs/>
          <w:lang w:eastAsia="en-AU"/>
        </w:rPr>
        <w:t>. This can assist licence holder</w:t>
      </w:r>
      <w:r w:rsidR="00723A12">
        <w:rPr>
          <w:rFonts w:cs="Times New Roman"/>
          <w:bCs/>
          <w:lang w:eastAsia="en-AU"/>
        </w:rPr>
        <w:t>s</w:t>
      </w:r>
      <w:r w:rsidR="00342299">
        <w:rPr>
          <w:rFonts w:cs="Times New Roman"/>
          <w:bCs/>
          <w:lang w:eastAsia="en-AU"/>
        </w:rPr>
        <w:t xml:space="preserve"> to understand the common safety issues that inspectors encounter.</w:t>
      </w:r>
    </w:p>
    <w:p w14:paraId="58BD10E8" w14:textId="5BD2A869" w:rsidR="00471AB0" w:rsidRDefault="008B0EA6" w:rsidP="008B0EA6">
      <w:pPr>
        <w:widowControl w:val="0"/>
        <w:spacing w:after="120"/>
        <w:rPr>
          <w:rFonts w:cs="Times New Roman"/>
          <w:bCs/>
          <w:lang w:eastAsia="en-AU"/>
        </w:rPr>
      </w:pPr>
      <w:r>
        <w:rPr>
          <w:rFonts w:cs="Times New Roman"/>
          <w:bCs/>
          <w:lang w:eastAsia="en-AU"/>
        </w:rPr>
        <w:t xml:space="preserve">Licence holder representatives </w:t>
      </w:r>
      <w:r w:rsidR="0014506B">
        <w:rPr>
          <w:rFonts w:cs="Times New Roman"/>
          <w:bCs/>
          <w:lang w:eastAsia="en-AU"/>
        </w:rPr>
        <w:t>continue to be positive towards</w:t>
      </w:r>
      <w:r>
        <w:rPr>
          <w:rFonts w:cs="Times New Roman"/>
          <w:bCs/>
          <w:lang w:eastAsia="en-AU"/>
        </w:rPr>
        <w:t xml:space="preserve"> the </w:t>
      </w:r>
      <w:r w:rsidR="004A0820">
        <w:rPr>
          <w:rFonts w:cs="Times New Roman"/>
          <w:bCs/>
          <w:lang w:eastAsia="en-AU"/>
        </w:rPr>
        <w:t>PO&amp;C</w:t>
      </w:r>
      <w:r w:rsidR="00B97FEA">
        <w:rPr>
          <w:rFonts w:cs="Times New Roman"/>
          <w:bCs/>
          <w:lang w:eastAsia="en-AU"/>
        </w:rPr>
        <w:t xml:space="preserve"> however, the</w:t>
      </w:r>
      <w:r w:rsidR="00EB7F9C">
        <w:rPr>
          <w:rFonts w:cs="Times New Roman"/>
          <w:bCs/>
          <w:lang w:eastAsia="en-AU"/>
        </w:rPr>
        <w:t xml:space="preserve"> assessment team found that their use was not </w:t>
      </w:r>
      <w:r w:rsidR="0057117D">
        <w:rPr>
          <w:rFonts w:cs="Times New Roman"/>
          <w:bCs/>
          <w:lang w:eastAsia="en-AU"/>
        </w:rPr>
        <w:t>visible to licence holders</w:t>
      </w:r>
      <w:r w:rsidR="00EB7F9C">
        <w:rPr>
          <w:rFonts w:cs="Times New Roman"/>
          <w:bCs/>
          <w:lang w:eastAsia="en-AU"/>
        </w:rPr>
        <w:t xml:space="preserve"> in </w:t>
      </w:r>
      <w:r w:rsidR="0057117D">
        <w:rPr>
          <w:rFonts w:cs="Times New Roman"/>
          <w:bCs/>
          <w:lang w:eastAsia="en-AU"/>
        </w:rPr>
        <w:t>all</w:t>
      </w:r>
      <w:r w:rsidR="00EB7F9C">
        <w:rPr>
          <w:rFonts w:cs="Times New Roman"/>
          <w:bCs/>
          <w:lang w:eastAsia="en-AU"/>
        </w:rPr>
        <w:t xml:space="preserve"> source licence inspections</w:t>
      </w:r>
      <w:r w:rsidR="0010189B">
        <w:rPr>
          <w:rFonts w:cs="Times New Roman"/>
          <w:bCs/>
          <w:lang w:eastAsia="en-AU"/>
        </w:rPr>
        <w:t xml:space="preserve"> (see section 2.1)</w:t>
      </w:r>
      <w:r>
        <w:rPr>
          <w:rFonts w:cs="Times New Roman"/>
          <w:bCs/>
          <w:lang w:eastAsia="en-AU"/>
        </w:rPr>
        <w:t xml:space="preserve">. </w:t>
      </w:r>
    </w:p>
    <w:p w14:paraId="683E734A" w14:textId="2DE279D2" w:rsidR="008B0EA6" w:rsidRPr="00A9092B" w:rsidRDefault="00EB7F9C" w:rsidP="008B0EA6">
      <w:pPr>
        <w:widowControl w:val="0"/>
        <w:spacing w:after="120"/>
        <w:rPr>
          <w:rFonts w:cs="Times New Roman"/>
          <w:bCs/>
          <w:lang w:eastAsia="en-AU"/>
        </w:rPr>
      </w:pPr>
      <w:r>
        <w:rPr>
          <w:rFonts w:cs="Times New Roman"/>
          <w:bCs/>
          <w:lang w:eastAsia="en-AU"/>
        </w:rPr>
        <w:t xml:space="preserve">In June 2017 ARPANSA held its annual licence holder forum at the Australian National University in Canberra.  This was </w:t>
      </w:r>
      <w:r>
        <w:rPr>
          <w:rFonts w:cs="Times New Roman"/>
          <w:bCs/>
          <w:lang w:eastAsia="en-AU"/>
        </w:rPr>
        <w:lastRenderedPageBreak/>
        <w:t xml:space="preserve">structured taking account of previous feedback to maximise the opportunities for sharing knowledge between licence holders and with ARPANSA. The forum was attended by a record </w:t>
      </w:r>
      <w:r w:rsidR="009A4EDF">
        <w:rPr>
          <w:rFonts w:cs="Times New Roman"/>
          <w:bCs/>
          <w:lang w:eastAsia="en-AU"/>
        </w:rPr>
        <w:t>9</w:t>
      </w:r>
      <w:r w:rsidR="00D1731C">
        <w:rPr>
          <w:rFonts w:cs="Times New Roman"/>
          <w:bCs/>
          <w:lang w:eastAsia="en-AU"/>
        </w:rPr>
        <w:t xml:space="preserve">0 </w:t>
      </w:r>
      <w:r>
        <w:rPr>
          <w:rFonts w:cs="Times New Roman"/>
          <w:bCs/>
          <w:lang w:eastAsia="en-AU"/>
        </w:rPr>
        <w:t xml:space="preserve">participants from </w:t>
      </w:r>
      <w:r w:rsidR="0057117D">
        <w:rPr>
          <w:rFonts w:cs="Times New Roman"/>
          <w:bCs/>
          <w:lang w:eastAsia="en-AU"/>
        </w:rPr>
        <w:t xml:space="preserve">a range of </w:t>
      </w:r>
      <w:r>
        <w:rPr>
          <w:rFonts w:cs="Times New Roman"/>
          <w:bCs/>
          <w:lang w:eastAsia="en-AU"/>
        </w:rPr>
        <w:t xml:space="preserve">licence holder organisations. </w:t>
      </w:r>
      <w:r w:rsidR="008B0EA6">
        <w:rPr>
          <w:rFonts w:cs="Times New Roman"/>
          <w:bCs/>
          <w:lang w:eastAsia="en-AU"/>
        </w:rPr>
        <w:t xml:space="preserve">Responses to </w:t>
      </w:r>
      <w:r w:rsidR="0057117D">
        <w:rPr>
          <w:rFonts w:cs="Times New Roman"/>
          <w:bCs/>
          <w:lang w:eastAsia="en-AU"/>
        </w:rPr>
        <w:t>the</w:t>
      </w:r>
      <w:r w:rsidR="008B0EA6">
        <w:rPr>
          <w:rFonts w:cs="Times New Roman"/>
          <w:bCs/>
          <w:lang w:eastAsia="en-AU"/>
        </w:rPr>
        <w:t xml:space="preserve"> survey following </w:t>
      </w:r>
      <w:r w:rsidR="0057117D">
        <w:rPr>
          <w:rFonts w:cs="Times New Roman"/>
          <w:bCs/>
          <w:lang w:eastAsia="en-AU"/>
        </w:rPr>
        <w:t>the</w:t>
      </w:r>
      <w:r w:rsidR="008B0EA6">
        <w:rPr>
          <w:rFonts w:cs="Times New Roman"/>
          <w:bCs/>
          <w:lang w:eastAsia="en-AU"/>
        </w:rPr>
        <w:t xml:space="preserve"> licence holder forum showed that licence holders appreciated the communication opportunities this had provided, both with ARPANSA and between licence holders. </w:t>
      </w:r>
    </w:p>
    <w:p w14:paraId="3ED9C403" w14:textId="77777777" w:rsidR="008B0EA6" w:rsidRDefault="008B0EA6" w:rsidP="008B0EA6">
      <w:pPr>
        <w:widowControl w:val="0"/>
        <w:spacing w:after="120"/>
        <w:rPr>
          <w:rFonts w:cs="Times New Roman"/>
          <w:bCs/>
          <w:lang w:eastAsia="en-AU"/>
        </w:rPr>
      </w:pPr>
      <w:r>
        <w:rPr>
          <w:rFonts w:cs="Times New Roman"/>
          <w:bCs/>
          <w:lang w:eastAsia="en-AU"/>
        </w:rPr>
        <w:t>A</w:t>
      </w:r>
      <w:r w:rsidRPr="00A9092B">
        <w:rPr>
          <w:rFonts w:cs="Times New Roman"/>
          <w:bCs/>
          <w:lang w:eastAsia="en-AU"/>
        </w:rPr>
        <w:t>s demonstrated by PI</w:t>
      </w:r>
      <w:r>
        <w:rPr>
          <w:rFonts w:cs="Times New Roman"/>
          <w:bCs/>
          <w:lang w:eastAsia="en-AU"/>
        </w:rPr>
        <w:t xml:space="preserve"> </w:t>
      </w:r>
      <w:r w:rsidRPr="00A9092B">
        <w:rPr>
          <w:rFonts w:cs="Times New Roman"/>
          <w:bCs/>
          <w:lang w:eastAsia="en-AU"/>
        </w:rPr>
        <w:t>5.2</w:t>
      </w:r>
      <w:r>
        <w:rPr>
          <w:rFonts w:cs="Times New Roman"/>
          <w:bCs/>
          <w:lang w:eastAsia="en-AU"/>
        </w:rPr>
        <w:t>,</w:t>
      </w:r>
      <w:r w:rsidRPr="00A9092B">
        <w:rPr>
          <w:rFonts w:cs="Times New Roman"/>
          <w:bCs/>
          <w:lang w:eastAsia="en-AU"/>
        </w:rPr>
        <w:t xml:space="preserve"> 100% of codes and standards developed in this financial year included consultation with </w:t>
      </w:r>
      <w:r>
        <w:rPr>
          <w:rFonts w:cs="Times New Roman"/>
          <w:bCs/>
          <w:lang w:eastAsia="en-AU"/>
        </w:rPr>
        <w:t>licence holder</w:t>
      </w:r>
      <w:r w:rsidRPr="00A9092B">
        <w:rPr>
          <w:rFonts w:cs="Times New Roman"/>
          <w:bCs/>
          <w:lang w:eastAsia="en-AU"/>
        </w:rPr>
        <w:t>s.</w:t>
      </w:r>
    </w:p>
    <w:p w14:paraId="434170AB" w14:textId="77777777" w:rsidR="008B0EA6" w:rsidRDefault="008B0EA6" w:rsidP="008B0EA6">
      <w:pPr>
        <w:pStyle w:val="Heading3"/>
        <w:keepLines w:val="0"/>
        <w:widowControl w:val="0"/>
        <w:spacing w:before="120" w:after="120" w:line="240" w:lineRule="auto"/>
        <w:jc w:val="both"/>
        <w:rPr>
          <w:lang w:eastAsia="en-AU"/>
        </w:rPr>
      </w:pPr>
      <w:bookmarkStart w:id="23" w:name="_Toc470173147"/>
      <w:r w:rsidRPr="00A9092B">
        <w:rPr>
          <w:lang w:eastAsia="en-AU"/>
        </w:rPr>
        <w:t>Analysis of evidence presented</w:t>
      </w:r>
      <w:bookmarkEnd w:id="23"/>
    </w:p>
    <w:p w14:paraId="408C3832" w14:textId="2ACFE5D5" w:rsidR="008B0EA6" w:rsidRPr="00A9092B" w:rsidRDefault="008B0EA6" w:rsidP="008B0EA6">
      <w:pPr>
        <w:widowControl w:val="0"/>
        <w:spacing w:after="120"/>
        <w:rPr>
          <w:rFonts w:cs="Times New Roman"/>
          <w:b/>
          <w:bCs/>
          <w:szCs w:val="24"/>
          <w:lang w:eastAsia="en-AU"/>
        </w:rPr>
      </w:pPr>
      <w:r w:rsidRPr="008077B9">
        <w:rPr>
          <w:szCs w:val="24"/>
        </w:rPr>
        <w:t>Overall</w:t>
      </w:r>
      <w:r>
        <w:rPr>
          <w:szCs w:val="24"/>
        </w:rPr>
        <w:t>,</w:t>
      </w:r>
      <w:r w:rsidRPr="008077B9">
        <w:rPr>
          <w:szCs w:val="24"/>
        </w:rPr>
        <w:t xml:space="preserve"> </w:t>
      </w:r>
      <w:r>
        <w:rPr>
          <w:szCs w:val="24"/>
        </w:rPr>
        <w:t xml:space="preserve">performance against this KPI was assessed as </w:t>
      </w:r>
      <w:r w:rsidR="00EB7F9C">
        <w:rPr>
          <w:szCs w:val="24"/>
        </w:rPr>
        <w:t xml:space="preserve">very </w:t>
      </w:r>
      <w:r>
        <w:rPr>
          <w:szCs w:val="24"/>
        </w:rPr>
        <w:t>good. This is based on both PI</w:t>
      </w:r>
      <w:r w:rsidR="003A64C1">
        <w:rPr>
          <w:szCs w:val="24"/>
        </w:rPr>
        <w:t xml:space="preserve"> results and other </w:t>
      </w:r>
      <w:r>
        <w:rPr>
          <w:szCs w:val="24"/>
        </w:rPr>
        <w:t>licence holder feedback.</w:t>
      </w:r>
    </w:p>
    <w:p w14:paraId="5E54BB77" w14:textId="31A5D2EE" w:rsidR="008B0EA6" w:rsidRPr="00BC039C" w:rsidRDefault="008B0EA6" w:rsidP="008B0EA6">
      <w:pPr>
        <w:widowControl w:val="0"/>
        <w:spacing w:after="120"/>
        <w:rPr>
          <w:szCs w:val="24"/>
        </w:rPr>
      </w:pPr>
      <w:r w:rsidRPr="00A9092B">
        <w:rPr>
          <w:b/>
        </w:rPr>
        <w:t>PI 2.1</w:t>
      </w:r>
      <w:r w:rsidRPr="00A9092B">
        <w:t xml:space="preserve"> </w:t>
      </w:r>
      <w:r w:rsidRPr="00A9092B">
        <w:rPr>
          <w:szCs w:val="24"/>
        </w:rPr>
        <w:t xml:space="preserve">focuses on </w:t>
      </w:r>
      <w:r>
        <w:rPr>
          <w:szCs w:val="24"/>
        </w:rPr>
        <w:t>licence holder</w:t>
      </w:r>
      <w:r w:rsidRPr="00A9092B">
        <w:rPr>
          <w:szCs w:val="24"/>
        </w:rPr>
        <w:t xml:space="preserve"> feedback received from post inspection surveys</w:t>
      </w:r>
      <w:r>
        <w:rPr>
          <w:szCs w:val="24"/>
        </w:rPr>
        <w:t>,</w:t>
      </w:r>
      <w:r w:rsidRPr="00A9092B">
        <w:rPr>
          <w:szCs w:val="24"/>
        </w:rPr>
        <w:t xml:space="preserve"> with the indicator being that positive out</w:t>
      </w:r>
      <w:r w:rsidRPr="00A9092B">
        <w:rPr>
          <w:szCs w:val="24"/>
        </w:rPr>
        <w:lastRenderedPageBreak/>
        <w:t>weighs negative</w:t>
      </w:r>
      <w:r>
        <w:rPr>
          <w:szCs w:val="24"/>
        </w:rPr>
        <w:t>.</w:t>
      </w:r>
      <w:r w:rsidR="00342299">
        <w:rPr>
          <w:szCs w:val="24"/>
        </w:rPr>
        <w:t xml:space="preserve"> </w:t>
      </w:r>
      <w:r w:rsidR="009848C3">
        <w:rPr>
          <w:szCs w:val="24"/>
        </w:rPr>
        <w:t>Overall</w:t>
      </w:r>
      <w:r w:rsidR="00342299">
        <w:rPr>
          <w:szCs w:val="24"/>
        </w:rPr>
        <w:t xml:space="preserve"> </w:t>
      </w:r>
      <w:r w:rsidR="00342299" w:rsidRPr="000C2A50">
        <w:rPr>
          <w:szCs w:val="24"/>
        </w:rPr>
        <w:t>8</w:t>
      </w:r>
      <w:r w:rsidR="000C2A50" w:rsidRPr="000C2A50">
        <w:rPr>
          <w:szCs w:val="24"/>
        </w:rPr>
        <w:t>8</w:t>
      </w:r>
      <w:r w:rsidR="00342299" w:rsidRPr="000C2A50">
        <w:rPr>
          <w:szCs w:val="24"/>
        </w:rPr>
        <w:t>%</w:t>
      </w:r>
      <w:r w:rsidR="00342299">
        <w:rPr>
          <w:szCs w:val="24"/>
        </w:rPr>
        <w:t xml:space="preserve"> of survey responses were </w:t>
      </w:r>
      <w:r w:rsidR="000C2A50" w:rsidRPr="005960DD">
        <w:t>overall</w:t>
      </w:r>
      <w:r w:rsidR="000C2A50" w:rsidRPr="008D4EBB">
        <w:t xml:space="preserve"> positive</w:t>
      </w:r>
      <w:r w:rsidR="000C2A50">
        <w:t xml:space="preserve"> and performance fell just short of the target due to</w:t>
      </w:r>
      <w:r w:rsidR="000C2A50" w:rsidRPr="005960DD">
        <w:t xml:space="preserve"> feedback from</w:t>
      </w:r>
      <w:r w:rsidR="000C2A50">
        <w:t xml:space="preserve"> the licence holder forum,</w:t>
      </w:r>
      <w:r w:rsidR="000C2A50" w:rsidRPr="005960DD">
        <w:t xml:space="preserve"> which was sought and received in the first quarte</w:t>
      </w:r>
      <w:r w:rsidR="000C2A50">
        <w:t>r</w:t>
      </w:r>
      <w:r w:rsidR="00342299">
        <w:rPr>
          <w:szCs w:val="24"/>
        </w:rPr>
        <w:t>.</w:t>
      </w:r>
      <w:r w:rsidRPr="00A9092B">
        <w:rPr>
          <w:szCs w:val="24"/>
        </w:rPr>
        <w:t xml:space="preserve"> The team</w:t>
      </w:r>
      <w:r w:rsidR="00D1072D">
        <w:rPr>
          <w:szCs w:val="24"/>
        </w:rPr>
        <w:t xml:space="preserve"> found that recommendations </w:t>
      </w:r>
      <w:r w:rsidR="00342299">
        <w:rPr>
          <w:szCs w:val="24"/>
        </w:rPr>
        <w:t xml:space="preserve">for the survey </w:t>
      </w:r>
      <w:r w:rsidR="00D1072D">
        <w:rPr>
          <w:szCs w:val="24"/>
        </w:rPr>
        <w:t>from the previous self-assessment had been implemented</w:t>
      </w:r>
      <w:r w:rsidR="00342299">
        <w:rPr>
          <w:szCs w:val="24"/>
        </w:rPr>
        <w:t xml:space="preserve">. </w:t>
      </w:r>
      <w:r w:rsidR="00630087">
        <w:rPr>
          <w:szCs w:val="24"/>
        </w:rPr>
        <w:t>The changes</w:t>
      </w:r>
      <w:r w:rsidR="00D1072D">
        <w:rPr>
          <w:szCs w:val="24"/>
        </w:rPr>
        <w:t xml:space="preserve"> provid</w:t>
      </w:r>
      <w:r w:rsidR="00342299">
        <w:rPr>
          <w:szCs w:val="24"/>
        </w:rPr>
        <w:t>e</w:t>
      </w:r>
      <w:r w:rsidR="00D1072D">
        <w:rPr>
          <w:szCs w:val="24"/>
        </w:rPr>
        <w:t xml:space="preserve"> functional improvements, the opportunity for anonymity</w:t>
      </w:r>
      <w:r w:rsidR="00E3404C">
        <w:rPr>
          <w:szCs w:val="24"/>
        </w:rPr>
        <w:t xml:space="preserve">, </w:t>
      </w:r>
      <w:r w:rsidR="00D1072D">
        <w:rPr>
          <w:szCs w:val="24"/>
        </w:rPr>
        <w:t>a score that may be tracked more easily</w:t>
      </w:r>
      <w:r w:rsidR="00E3404C">
        <w:rPr>
          <w:szCs w:val="24"/>
        </w:rPr>
        <w:t xml:space="preserve"> and </w:t>
      </w:r>
      <w:r w:rsidR="00704A6C">
        <w:rPr>
          <w:szCs w:val="24"/>
        </w:rPr>
        <w:t>improved</w:t>
      </w:r>
      <w:r w:rsidR="00E3404C">
        <w:rPr>
          <w:szCs w:val="24"/>
        </w:rPr>
        <w:t xml:space="preserve"> feedback of survey results to the wider inspection team</w:t>
      </w:r>
      <w:r w:rsidR="00D1072D">
        <w:rPr>
          <w:szCs w:val="24"/>
        </w:rPr>
        <w:t>. At the previous self-assessment, some</w:t>
      </w:r>
      <w:r>
        <w:rPr>
          <w:szCs w:val="24"/>
        </w:rPr>
        <w:t xml:space="preserve"> licence holder representatives</w:t>
      </w:r>
      <w:r w:rsidRPr="00A9092B">
        <w:rPr>
          <w:szCs w:val="24"/>
        </w:rPr>
        <w:t xml:space="preserve"> reported that the</w:t>
      </w:r>
      <w:r>
        <w:rPr>
          <w:szCs w:val="24"/>
        </w:rPr>
        <w:t xml:space="preserve">y have not seen </w:t>
      </w:r>
      <w:r w:rsidR="00D1072D">
        <w:rPr>
          <w:szCs w:val="24"/>
        </w:rPr>
        <w:t xml:space="preserve">benefits coming from the survey. </w:t>
      </w:r>
      <w:r w:rsidR="00BE0E0D">
        <w:rPr>
          <w:szCs w:val="24"/>
        </w:rPr>
        <w:t xml:space="preserve">This assessment team were told that some licence holder staff found it more useful to give feedback personally in discussions with inspectors, rather than by the survey. </w:t>
      </w:r>
      <w:r w:rsidR="00D1072D">
        <w:rPr>
          <w:szCs w:val="24"/>
        </w:rPr>
        <w:t>This self-assessment found that the numbers of respondents had continued to decline despite the improvements made to the survey</w:t>
      </w:r>
      <w:r w:rsidR="00D1072D" w:rsidRPr="00BC039C">
        <w:rPr>
          <w:szCs w:val="24"/>
        </w:rPr>
        <w:t>. The team thought that an ongoing focus</w:t>
      </w:r>
      <w:r w:rsidR="00BE0E0D" w:rsidRPr="00BC039C">
        <w:rPr>
          <w:szCs w:val="24"/>
        </w:rPr>
        <w:t xml:space="preserve"> should be to improve </w:t>
      </w:r>
      <w:r w:rsidR="00D1072D" w:rsidRPr="00BC039C">
        <w:rPr>
          <w:szCs w:val="24"/>
        </w:rPr>
        <w:t xml:space="preserve">the </w:t>
      </w:r>
      <w:r w:rsidR="00BE0E0D" w:rsidRPr="00BC039C">
        <w:rPr>
          <w:szCs w:val="24"/>
        </w:rPr>
        <w:t xml:space="preserve">incoming </w:t>
      </w:r>
      <w:r w:rsidR="00D1072D" w:rsidRPr="00BC039C">
        <w:rPr>
          <w:szCs w:val="24"/>
        </w:rPr>
        <w:t xml:space="preserve">communication </w:t>
      </w:r>
      <w:r w:rsidR="00BE0E0D" w:rsidRPr="00BC039C">
        <w:rPr>
          <w:szCs w:val="24"/>
        </w:rPr>
        <w:t xml:space="preserve">of feedback from exit meetings to the RSB Continuous Improvement Section, and </w:t>
      </w:r>
      <w:r w:rsidR="00BE0E0D" w:rsidRPr="00BC039C">
        <w:rPr>
          <w:szCs w:val="24"/>
        </w:rPr>
        <w:lastRenderedPageBreak/>
        <w:t xml:space="preserve">outward information on </w:t>
      </w:r>
      <w:r w:rsidR="00D1072D" w:rsidRPr="00BC039C">
        <w:rPr>
          <w:szCs w:val="24"/>
        </w:rPr>
        <w:t>improvements arising from the survey to licence holders</w:t>
      </w:r>
      <w:r w:rsidR="008C616F" w:rsidRPr="00BC039C">
        <w:rPr>
          <w:szCs w:val="24"/>
        </w:rPr>
        <w:t>.</w:t>
      </w:r>
    </w:p>
    <w:p w14:paraId="73A8B43F" w14:textId="0E124D73" w:rsidR="0092165B" w:rsidRPr="00BC039C" w:rsidRDefault="0092165B" w:rsidP="008B0EA6">
      <w:pPr>
        <w:widowControl w:val="0"/>
        <w:spacing w:after="120"/>
        <w:rPr>
          <w:szCs w:val="24"/>
        </w:rPr>
      </w:pPr>
      <w:r w:rsidRPr="00BC039C">
        <w:rPr>
          <w:szCs w:val="24"/>
        </w:rPr>
        <w:t xml:space="preserve">The team observed that RSB’s two single largest services are its inspection program and the assessment of applications. The team considered that </w:t>
      </w:r>
      <w:r w:rsidR="00FC4526" w:rsidRPr="00BC039C">
        <w:rPr>
          <w:szCs w:val="24"/>
        </w:rPr>
        <w:t xml:space="preserve">a </w:t>
      </w:r>
      <w:r w:rsidRPr="00BC039C">
        <w:rPr>
          <w:szCs w:val="24"/>
        </w:rPr>
        <w:t xml:space="preserve">feedback survey for applications </w:t>
      </w:r>
      <w:r w:rsidR="00FC4526" w:rsidRPr="00BC039C">
        <w:rPr>
          <w:szCs w:val="24"/>
        </w:rPr>
        <w:t>would assist ARPANSA to identify service improvements and understand client needs.</w:t>
      </w:r>
    </w:p>
    <w:p w14:paraId="2A17C3EF" w14:textId="77777777" w:rsidR="008B0EA6" w:rsidRPr="00BC039C" w:rsidRDefault="008B0EA6" w:rsidP="008B0EA6">
      <w:pPr>
        <w:widowControl w:val="0"/>
        <w:spacing w:after="120"/>
        <w:rPr>
          <w:szCs w:val="24"/>
        </w:rPr>
      </w:pPr>
      <w:r w:rsidRPr="00BC039C">
        <w:rPr>
          <w:b/>
        </w:rPr>
        <w:t>PI 2.2</w:t>
      </w:r>
      <w:r w:rsidRPr="00BC039C">
        <w:t xml:space="preserve"> </w:t>
      </w:r>
      <w:r w:rsidRPr="00BC039C">
        <w:rPr>
          <w:szCs w:val="24"/>
        </w:rPr>
        <w:t>focuses on the number of information sharing meetings held with licence holders. The number of meetings recorded has been consistently above the target and indicates that per</w:t>
      </w:r>
      <w:r w:rsidR="00AE089F" w:rsidRPr="00BC039C">
        <w:rPr>
          <w:szCs w:val="24"/>
        </w:rPr>
        <w:t>formance in this area is strong</w:t>
      </w:r>
      <w:r w:rsidR="00BE0D08" w:rsidRPr="00BC039C">
        <w:rPr>
          <w:szCs w:val="24"/>
        </w:rPr>
        <w:t>.</w:t>
      </w:r>
    </w:p>
    <w:p w14:paraId="6CC462CA" w14:textId="39A87A42" w:rsidR="00BE0D08" w:rsidRPr="00A9092B" w:rsidRDefault="00BE0D08" w:rsidP="008B0EA6">
      <w:pPr>
        <w:widowControl w:val="0"/>
        <w:spacing w:after="120"/>
        <w:rPr>
          <w:szCs w:val="24"/>
        </w:rPr>
      </w:pPr>
      <w:r w:rsidRPr="00BC039C">
        <w:rPr>
          <w:szCs w:val="24"/>
        </w:rPr>
        <w:t xml:space="preserve">A number of issues were highlighted </w:t>
      </w:r>
      <w:r w:rsidR="00B04022" w:rsidRPr="00BC039C">
        <w:rPr>
          <w:szCs w:val="24"/>
        </w:rPr>
        <w:t xml:space="preserve">where </w:t>
      </w:r>
      <w:r w:rsidRPr="00BC039C">
        <w:rPr>
          <w:szCs w:val="24"/>
        </w:rPr>
        <w:t xml:space="preserve">internal communications </w:t>
      </w:r>
      <w:r w:rsidR="00B04022" w:rsidRPr="00BC039C">
        <w:rPr>
          <w:szCs w:val="24"/>
        </w:rPr>
        <w:t>should be</w:t>
      </w:r>
      <w:r w:rsidRPr="00BC039C">
        <w:rPr>
          <w:szCs w:val="24"/>
        </w:rPr>
        <w:t xml:space="preserve"> improve</w:t>
      </w:r>
      <w:r w:rsidR="00B04022" w:rsidRPr="00BC039C">
        <w:rPr>
          <w:szCs w:val="24"/>
        </w:rPr>
        <w:t>d</w:t>
      </w:r>
      <w:r w:rsidR="00494AA7" w:rsidRPr="00BC039C">
        <w:rPr>
          <w:szCs w:val="24"/>
        </w:rPr>
        <w:t xml:space="preserve"> to drive</w:t>
      </w:r>
      <w:r w:rsidR="00494AA7">
        <w:rPr>
          <w:szCs w:val="24"/>
        </w:rPr>
        <w:t xml:space="preserve"> a culture of openness in safety matters throughout ARPANSA and beyond to licence holders</w:t>
      </w:r>
      <w:r w:rsidR="00B60A5D">
        <w:rPr>
          <w:szCs w:val="24"/>
        </w:rPr>
        <w:t xml:space="preserve">. </w:t>
      </w:r>
      <w:r>
        <w:rPr>
          <w:szCs w:val="24"/>
        </w:rPr>
        <w:t xml:space="preserve"> </w:t>
      </w:r>
      <w:r w:rsidR="00494AA7">
        <w:rPr>
          <w:szCs w:val="24"/>
        </w:rPr>
        <w:t>T</w:t>
      </w:r>
      <w:r>
        <w:rPr>
          <w:szCs w:val="24"/>
        </w:rPr>
        <w:t xml:space="preserve">here is no mechanism at present to feed information back to </w:t>
      </w:r>
      <w:r w:rsidR="00F70BAC">
        <w:rPr>
          <w:szCs w:val="24"/>
        </w:rPr>
        <w:t xml:space="preserve">the </w:t>
      </w:r>
      <w:r>
        <w:rPr>
          <w:szCs w:val="24"/>
        </w:rPr>
        <w:t xml:space="preserve">Continuous Improvement Section from information sharing meetings. </w:t>
      </w:r>
      <w:r w:rsidR="00F70BAC">
        <w:rPr>
          <w:szCs w:val="24"/>
        </w:rPr>
        <w:t xml:space="preserve">The Continuous Improvement </w:t>
      </w:r>
      <w:r w:rsidR="00F70BAC">
        <w:rPr>
          <w:szCs w:val="24"/>
        </w:rPr>
        <w:lastRenderedPageBreak/>
        <w:t xml:space="preserve">Section has a focus on internal communications and improvement and may </w:t>
      </w:r>
      <w:r>
        <w:rPr>
          <w:szCs w:val="24"/>
        </w:rPr>
        <w:t>miss opportunities to publicise safety vulnerabilities or good practices among licence holders. There was also little opportunity to share information between source and facility inspection areas</w:t>
      </w:r>
      <w:r w:rsidR="00494AA7">
        <w:rPr>
          <w:szCs w:val="24"/>
        </w:rPr>
        <w:t>. I</w:t>
      </w:r>
      <w:r>
        <w:rPr>
          <w:szCs w:val="24"/>
        </w:rPr>
        <w:t>t was thought to be a</w:t>
      </w:r>
      <w:r w:rsidR="003F4097">
        <w:rPr>
          <w:szCs w:val="24"/>
        </w:rPr>
        <w:t xml:space="preserve"> </w:t>
      </w:r>
      <w:r>
        <w:rPr>
          <w:szCs w:val="24"/>
        </w:rPr>
        <w:t xml:space="preserve">good idea if </w:t>
      </w:r>
      <w:r w:rsidR="00494AA7">
        <w:rPr>
          <w:szCs w:val="24"/>
        </w:rPr>
        <w:t xml:space="preserve">more </w:t>
      </w:r>
      <w:r>
        <w:rPr>
          <w:szCs w:val="24"/>
        </w:rPr>
        <w:t>regular meetings were set up for this</w:t>
      </w:r>
      <w:r w:rsidR="00494AA7">
        <w:rPr>
          <w:szCs w:val="24"/>
        </w:rPr>
        <w:t xml:space="preserve"> between the general regulatory team as this may lead to improved </w:t>
      </w:r>
      <w:r w:rsidR="0057117D">
        <w:rPr>
          <w:szCs w:val="24"/>
        </w:rPr>
        <w:t>communication</w:t>
      </w:r>
      <w:r w:rsidR="00494AA7">
        <w:rPr>
          <w:szCs w:val="24"/>
        </w:rPr>
        <w:t xml:space="preserve"> of safety</w:t>
      </w:r>
      <w:r w:rsidR="0057117D">
        <w:rPr>
          <w:szCs w:val="24"/>
        </w:rPr>
        <w:t xml:space="preserve"> and security</w:t>
      </w:r>
      <w:r w:rsidR="00494AA7">
        <w:rPr>
          <w:szCs w:val="24"/>
        </w:rPr>
        <w:t xml:space="preserve"> issues</w:t>
      </w:r>
      <w:r w:rsidR="0057117D">
        <w:rPr>
          <w:szCs w:val="24"/>
        </w:rPr>
        <w:t xml:space="preserve"> within the branch that would then flow through</w:t>
      </w:r>
      <w:r w:rsidR="00494AA7">
        <w:rPr>
          <w:szCs w:val="24"/>
        </w:rPr>
        <w:t xml:space="preserve"> to </w:t>
      </w:r>
      <w:r w:rsidR="0057117D">
        <w:rPr>
          <w:szCs w:val="24"/>
        </w:rPr>
        <w:t>licence holders</w:t>
      </w:r>
      <w:r w:rsidR="00BE0E0D">
        <w:rPr>
          <w:szCs w:val="24"/>
        </w:rPr>
        <w:t>, particularly in relation to greater consistency of approach by different inspectors</w:t>
      </w:r>
      <w:r>
        <w:rPr>
          <w:szCs w:val="24"/>
        </w:rPr>
        <w:t>.</w:t>
      </w:r>
    </w:p>
    <w:p w14:paraId="665C728C" w14:textId="5771694D" w:rsidR="00C573BC" w:rsidRPr="00A9092B" w:rsidRDefault="008B0EA6" w:rsidP="008B0EA6">
      <w:pPr>
        <w:widowControl w:val="0"/>
        <w:spacing w:after="120"/>
        <w:rPr>
          <w:szCs w:val="24"/>
        </w:rPr>
      </w:pPr>
      <w:r w:rsidRPr="000836EE">
        <w:rPr>
          <w:b/>
          <w:szCs w:val="24"/>
        </w:rPr>
        <w:t>Other Evidence</w:t>
      </w:r>
      <w:r>
        <w:rPr>
          <w:b/>
          <w:szCs w:val="24"/>
        </w:rPr>
        <w:t>:</w:t>
      </w:r>
      <w:r>
        <w:rPr>
          <w:szCs w:val="24"/>
        </w:rPr>
        <w:t xml:space="preserve"> </w:t>
      </w:r>
      <w:r w:rsidRPr="00A9092B">
        <w:rPr>
          <w:szCs w:val="24"/>
        </w:rPr>
        <w:t>The effectiveness of ARPANSA</w:t>
      </w:r>
      <w:r>
        <w:rPr>
          <w:szCs w:val="24"/>
        </w:rPr>
        <w:t>’s</w:t>
      </w:r>
      <w:r w:rsidRPr="00A9092B">
        <w:rPr>
          <w:szCs w:val="24"/>
        </w:rPr>
        <w:t xml:space="preserve"> communication was reported as acceptable although</w:t>
      </w:r>
      <w:r w:rsidR="00B82F74">
        <w:rPr>
          <w:szCs w:val="24"/>
        </w:rPr>
        <w:t>, a</w:t>
      </w:r>
      <w:r w:rsidR="00AE089F">
        <w:rPr>
          <w:szCs w:val="24"/>
        </w:rPr>
        <w:t xml:space="preserve">s with the </w:t>
      </w:r>
      <w:r w:rsidR="007F5E44">
        <w:rPr>
          <w:szCs w:val="24"/>
        </w:rPr>
        <w:t>2015-16</w:t>
      </w:r>
      <w:r w:rsidR="00AE089F">
        <w:rPr>
          <w:szCs w:val="24"/>
        </w:rPr>
        <w:t xml:space="preserve"> assessment,</w:t>
      </w:r>
      <w:r w:rsidRPr="00A9092B">
        <w:rPr>
          <w:szCs w:val="24"/>
        </w:rPr>
        <w:t xml:space="preserve"> the team noted that information</w:t>
      </w:r>
      <w:r>
        <w:rPr>
          <w:szCs w:val="24"/>
        </w:rPr>
        <w:t>-</w:t>
      </w:r>
      <w:r w:rsidRPr="00A9092B">
        <w:rPr>
          <w:szCs w:val="24"/>
        </w:rPr>
        <w:t xml:space="preserve">sharing meetings are predominantly undertaken with large </w:t>
      </w:r>
      <w:r>
        <w:rPr>
          <w:szCs w:val="24"/>
        </w:rPr>
        <w:t>licence holder</w:t>
      </w:r>
      <w:r w:rsidRPr="00A9092B">
        <w:rPr>
          <w:szCs w:val="24"/>
        </w:rPr>
        <w:t>s</w:t>
      </w:r>
      <w:r>
        <w:rPr>
          <w:szCs w:val="24"/>
        </w:rPr>
        <w:t xml:space="preserve">. </w:t>
      </w:r>
      <w:r w:rsidR="0057117D">
        <w:rPr>
          <w:szCs w:val="24"/>
        </w:rPr>
        <w:t>While</w:t>
      </w:r>
      <w:r w:rsidR="0092165B">
        <w:rPr>
          <w:szCs w:val="24"/>
        </w:rPr>
        <w:t xml:space="preserve"> 16 site visits to source licences had taken place the team observed that no progress had been made towards implementing other ‘site visit’ methods such as video or telephone </w:t>
      </w:r>
      <w:r w:rsidR="002E31C9">
        <w:rPr>
          <w:szCs w:val="24"/>
        </w:rPr>
        <w:t>conferences that</w:t>
      </w:r>
      <w:r w:rsidR="0092165B">
        <w:rPr>
          <w:szCs w:val="24"/>
        </w:rPr>
        <w:t xml:space="preserve"> had been a finding of the </w:t>
      </w:r>
      <w:r w:rsidR="007F5E44">
        <w:rPr>
          <w:szCs w:val="24"/>
        </w:rPr>
        <w:lastRenderedPageBreak/>
        <w:t>2015-16</w:t>
      </w:r>
      <w:r w:rsidR="0092165B">
        <w:rPr>
          <w:szCs w:val="24"/>
        </w:rPr>
        <w:t xml:space="preserve"> report. </w:t>
      </w:r>
      <w:r w:rsidR="00BE0D08">
        <w:rPr>
          <w:szCs w:val="24"/>
        </w:rPr>
        <w:t xml:space="preserve">Regulatory staff reported that this is unlikely to be beneficial for many operators of low hazard sources. </w:t>
      </w:r>
      <w:r w:rsidR="0092165B">
        <w:rPr>
          <w:szCs w:val="24"/>
        </w:rPr>
        <w:t>The team considered that the licence holder forum may be sufficient opportunity for small licence holders to liaise with ARPANSA.</w:t>
      </w:r>
      <w:r w:rsidR="000D1A15">
        <w:rPr>
          <w:szCs w:val="24"/>
        </w:rPr>
        <w:t xml:space="preserve"> </w:t>
      </w:r>
    </w:p>
    <w:p w14:paraId="03A34020" w14:textId="52399D88" w:rsidR="008B0EA6" w:rsidRDefault="008B0EA6" w:rsidP="008B0EA6">
      <w:pPr>
        <w:pStyle w:val="Heading3"/>
        <w:keepLines w:val="0"/>
        <w:widowControl w:val="0"/>
        <w:spacing w:before="120" w:after="120" w:line="240" w:lineRule="auto"/>
        <w:jc w:val="both"/>
        <w:rPr>
          <w:lang w:eastAsia="en-AU"/>
        </w:rPr>
      </w:pPr>
      <w:bookmarkStart w:id="24" w:name="_Toc470173148"/>
      <w:r w:rsidRPr="00A9092B">
        <w:rPr>
          <w:lang w:eastAsia="en-AU"/>
        </w:rPr>
        <w:t>Self</w:t>
      </w:r>
      <w:r>
        <w:rPr>
          <w:lang w:eastAsia="en-AU"/>
        </w:rPr>
        <w:t>-</w:t>
      </w:r>
      <w:r w:rsidRPr="00A9092B">
        <w:rPr>
          <w:lang w:eastAsia="en-AU"/>
        </w:rPr>
        <w:t>assessed rating of performance against KPI 2 – 201</w:t>
      </w:r>
      <w:r w:rsidR="00751425">
        <w:rPr>
          <w:lang w:eastAsia="en-AU"/>
        </w:rPr>
        <w:t>6</w:t>
      </w:r>
      <w:r w:rsidRPr="00A9092B">
        <w:rPr>
          <w:lang w:eastAsia="en-AU"/>
        </w:rPr>
        <w:t>-1</w:t>
      </w:r>
      <w:bookmarkEnd w:id="24"/>
      <w:r w:rsidR="00751425">
        <w:rPr>
          <w:lang w:eastAsia="en-AU"/>
        </w:rPr>
        <w:t>7</w:t>
      </w:r>
    </w:p>
    <w:tbl>
      <w:tblPr>
        <w:tblStyle w:val="TableGrid"/>
        <w:tblW w:w="9781" w:type="dxa"/>
        <w:tblInd w:w="108" w:type="dxa"/>
        <w:tblLook w:val="04A0" w:firstRow="1" w:lastRow="0" w:firstColumn="1" w:lastColumn="0" w:noHBand="0" w:noVBand="1"/>
        <w:tblDescription w:val="Chapter 2.2.5 table contains a list of performance ratings against Key Performance Indicator (KPI) 2 of the 2015-16 Regulator Performance Framework. "/>
      </w:tblPr>
      <w:tblGrid>
        <w:gridCol w:w="1560"/>
        <w:gridCol w:w="3118"/>
        <w:gridCol w:w="1701"/>
        <w:gridCol w:w="1701"/>
        <w:gridCol w:w="1701"/>
      </w:tblGrid>
      <w:tr w:rsidR="008B0EA6" w:rsidRPr="00173273" w14:paraId="7D27C1AE" w14:textId="77777777" w:rsidTr="00172661">
        <w:trPr>
          <w:cantSplit/>
          <w:tblHeader/>
        </w:trPr>
        <w:tc>
          <w:tcPr>
            <w:tcW w:w="1560" w:type="dxa"/>
          </w:tcPr>
          <w:p w14:paraId="28DFC83E" w14:textId="77777777" w:rsidR="008B0EA6" w:rsidRPr="00EA634A" w:rsidRDefault="008B0EA6" w:rsidP="00172661">
            <w:pPr>
              <w:pStyle w:val="Tabletext"/>
              <w:rPr>
                <w:rStyle w:val="Strong"/>
              </w:rPr>
            </w:pPr>
            <w:r w:rsidRPr="00EA634A">
              <w:rPr>
                <w:rStyle w:val="Strong"/>
              </w:rPr>
              <w:t>Excellent</w:t>
            </w:r>
          </w:p>
          <w:p w14:paraId="2C11CA57" w14:textId="77777777" w:rsidR="008B0EA6" w:rsidRPr="00173273" w:rsidRDefault="008B0EA6" w:rsidP="00172661">
            <w:pPr>
              <w:pStyle w:val="Tabletext"/>
              <w:rPr>
                <w:szCs w:val="20"/>
                <w:lang w:eastAsia="en-AU"/>
              </w:rPr>
            </w:pPr>
            <w:r w:rsidRPr="00173273">
              <w:rPr>
                <w:szCs w:val="20"/>
                <w:lang w:eastAsia="en-AU"/>
              </w:rPr>
              <w:t>Strong performance against all the measures under the KPI</w:t>
            </w:r>
          </w:p>
        </w:tc>
        <w:tc>
          <w:tcPr>
            <w:tcW w:w="3118" w:type="dxa"/>
            <w:shd w:val="clear" w:color="auto" w:fill="C9F0C9" w:themeFill="accent3" w:themeFillTint="33"/>
          </w:tcPr>
          <w:p w14:paraId="418C40F3" w14:textId="77777777" w:rsidR="008B0EA6" w:rsidRPr="00EA634A" w:rsidRDefault="008B0EA6" w:rsidP="00172661">
            <w:pPr>
              <w:pStyle w:val="Tabletext"/>
              <w:rPr>
                <w:rStyle w:val="Strong"/>
              </w:rPr>
            </w:pPr>
            <w:r w:rsidRPr="00EA634A">
              <w:rPr>
                <w:rStyle w:val="Strong"/>
              </w:rPr>
              <w:t>Very Good</w:t>
            </w:r>
          </w:p>
          <w:p w14:paraId="3CA47FD9" w14:textId="77777777" w:rsidR="008B0EA6" w:rsidRPr="00173273" w:rsidRDefault="008B0EA6" w:rsidP="00172661">
            <w:pPr>
              <w:pStyle w:val="Tabletext"/>
              <w:rPr>
                <w:szCs w:val="20"/>
                <w:lang w:eastAsia="en-AU"/>
              </w:rPr>
            </w:pPr>
            <w:r w:rsidRPr="00173273">
              <w:rPr>
                <w:szCs w:val="20"/>
                <w:lang w:eastAsia="en-AU"/>
              </w:rPr>
              <w:t>Strong performance against majority of the measures under the KPI and no evidence of negative/poor performance against any measure</w:t>
            </w:r>
          </w:p>
        </w:tc>
        <w:tc>
          <w:tcPr>
            <w:tcW w:w="1701" w:type="dxa"/>
            <w:shd w:val="clear" w:color="auto" w:fill="auto"/>
          </w:tcPr>
          <w:p w14:paraId="0DC96BF2" w14:textId="77777777" w:rsidR="008B0EA6" w:rsidRPr="00EA634A" w:rsidRDefault="008B0EA6" w:rsidP="00172661">
            <w:pPr>
              <w:pStyle w:val="Tabletext"/>
              <w:rPr>
                <w:rStyle w:val="Strong"/>
              </w:rPr>
            </w:pPr>
            <w:r w:rsidRPr="00EA634A">
              <w:rPr>
                <w:rStyle w:val="Strong"/>
              </w:rPr>
              <w:t>Good</w:t>
            </w:r>
          </w:p>
          <w:p w14:paraId="033EDAAA" w14:textId="77777777" w:rsidR="008B0EA6" w:rsidRPr="00173273" w:rsidRDefault="008B0EA6" w:rsidP="00172661">
            <w:pPr>
              <w:pStyle w:val="Tabletext"/>
              <w:rPr>
                <w:szCs w:val="20"/>
                <w:lang w:eastAsia="en-AU"/>
              </w:rPr>
            </w:pPr>
            <w:r w:rsidRPr="00173273">
              <w:rPr>
                <w:szCs w:val="20"/>
                <w:lang w:eastAsia="en-AU"/>
              </w:rPr>
              <w:t>Average performance against the measures under the KPI</w:t>
            </w:r>
          </w:p>
        </w:tc>
        <w:tc>
          <w:tcPr>
            <w:tcW w:w="1701" w:type="dxa"/>
            <w:shd w:val="clear" w:color="auto" w:fill="FFFFFF" w:themeFill="background1"/>
          </w:tcPr>
          <w:p w14:paraId="1D5764A1" w14:textId="77777777" w:rsidR="008B0EA6" w:rsidRPr="00EA634A" w:rsidRDefault="008B0EA6" w:rsidP="00172661">
            <w:pPr>
              <w:pStyle w:val="Tabletext"/>
              <w:rPr>
                <w:rStyle w:val="Strong"/>
              </w:rPr>
            </w:pPr>
            <w:r w:rsidRPr="00EA634A">
              <w:rPr>
                <w:rStyle w:val="Strong"/>
              </w:rPr>
              <w:t>Fair</w:t>
            </w:r>
          </w:p>
          <w:p w14:paraId="3CBC4929" w14:textId="77777777" w:rsidR="008B0EA6" w:rsidRPr="00173273" w:rsidRDefault="008B0EA6" w:rsidP="00172661">
            <w:pPr>
              <w:pStyle w:val="Tabletext"/>
              <w:rPr>
                <w:szCs w:val="20"/>
                <w:lang w:eastAsia="en-AU"/>
              </w:rPr>
            </w:pPr>
            <w:r w:rsidRPr="00173273">
              <w:rPr>
                <w:szCs w:val="20"/>
                <w:lang w:eastAsia="en-AU"/>
              </w:rPr>
              <w:t>Poor performance against some measures under the KPI</w:t>
            </w:r>
          </w:p>
        </w:tc>
        <w:tc>
          <w:tcPr>
            <w:tcW w:w="1701" w:type="dxa"/>
          </w:tcPr>
          <w:p w14:paraId="1E4F7E1E" w14:textId="77777777" w:rsidR="008B0EA6" w:rsidRPr="00EA634A" w:rsidRDefault="008B0EA6" w:rsidP="00172661">
            <w:pPr>
              <w:pStyle w:val="Tabletext"/>
              <w:rPr>
                <w:rStyle w:val="Strong"/>
              </w:rPr>
            </w:pPr>
            <w:r w:rsidRPr="00EA634A">
              <w:rPr>
                <w:rStyle w:val="Strong"/>
              </w:rPr>
              <w:t>Poor</w:t>
            </w:r>
          </w:p>
          <w:p w14:paraId="6AA5FEAA" w14:textId="77777777" w:rsidR="008B0EA6" w:rsidRPr="00173273" w:rsidRDefault="008B0EA6" w:rsidP="00172661">
            <w:pPr>
              <w:pStyle w:val="Tabletext"/>
              <w:rPr>
                <w:szCs w:val="20"/>
                <w:lang w:eastAsia="en-AU"/>
              </w:rPr>
            </w:pPr>
            <w:r w:rsidRPr="00173273">
              <w:rPr>
                <w:szCs w:val="20"/>
                <w:lang w:eastAsia="en-AU"/>
              </w:rPr>
              <w:t>Poor performance against most of the measures under the KPI</w:t>
            </w:r>
          </w:p>
        </w:tc>
      </w:tr>
    </w:tbl>
    <w:p w14:paraId="59F125A9" w14:textId="6A18DB17" w:rsidR="000C2A50" w:rsidRPr="000C2A50" w:rsidRDefault="000C5E33" w:rsidP="000C2A50">
      <w:pPr>
        <w:rPr>
          <w:lang w:eastAsia="en-AU"/>
        </w:rPr>
      </w:pPr>
      <w:bookmarkStart w:id="25" w:name="_Toc470173149"/>
      <w:r>
        <w:rPr>
          <w:lang w:eastAsia="en-AU"/>
        </w:rPr>
        <w:t>T</w:t>
      </w:r>
      <w:r w:rsidR="000C2A50">
        <w:rPr>
          <w:lang w:eastAsia="en-AU"/>
        </w:rPr>
        <w:t xml:space="preserve">his rating is the same as that given in the 2015-17 self-assessment.  The team found that a </w:t>
      </w:r>
      <w:r>
        <w:rPr>
          <w:lang w:eastAsia="en-AU"/>
        </w:rPr>
        <w:t>number</w:t>
      </w:r>
      <w:r w:rsidR="000C2A50">
        <w:rPr>
          <w:lang w:eastAsia="en-AU"/>
        </w:rPr>
        <w:t xml:space="preserve"> of </w:t>
      </w:r>
      <w:r w:rsidR="000C0137">
        <w:rPr>
          <w:lang w:eastAsia="en-AU"/>
        </w:rPr>
        <w:t>improvements had occurred over the year but that the ver</w:t>
      </w:r>
      <w:r>
        <w:rPr>
          <w:lang w:eastAsia="en-AU"/>
        </w:rPr>
        <w:t>y good rating remained appropri</w:t>
      </w:r>
      <w:r w:rsidR="000C0137">
        <w:rPr>
          <w:lang w:eastAsia="en-AU"/>
        </w:rPr>
        <w:t>ate.</w:t>
      </w:r>
    </w:p>
    <w:p w14:paraId="793E2F10" w14:textId="77777777" w:rsidR="008B0EA6" w:rsidRPr="00A9092B" w:rsidRDefault="008B0EA6" w:rsidP="008B0EA6">
      <w:pPr>
        <w:pStyle w:val="Heading3"/>
        <w:keepLines w:val="0"/>
        <w:spacing w:before="200" w:after="120" w:line="240" w:lineRule="auto"/>
        <w:jc w:val="both"/>
        <w:rPr>
          <w:lang w:eastAsia="en-AU"/>
        </w:rPr>
      </w:pPr>
      <w:r w:rsidRPr="00A9092B">
        <w:rPr>
          <w:lang w:eastAsia="en-AU"/>
        </w:rPr>
        <w:t>Actions for improving performance against KPI 2</w:t>
      </w:r>
      <w:bookmarkEnd w:id="25"/>
    </w:p>
    <w:p w14:paraId="61A06695" w14:textId="77777777" w:rsidR="008B0EA6" w:rsidRPr="005E5816" w:rsidRDefault="008B0EA6" w:rsidP="008B0EA6">
      <w:pPr>
        <w:autoSpaceDE w:val="0"/>
        <w:autoSpaceDN w:val="0"/>
        <w:adjustRightInd w:val="0"/>
        <w:spacing w:after="120"/>
        <w:rPr>
          <w:rFonts w:cs="Arial"/>
          <w:szCs w:val="24"/>
        </w:rPr>
      </w:pPr>
      <w:r w:rsidRPr="005E5816">
        <w:rPr>
          <w:rFonts w:cs="Arial"/>
          <w:szCs w:val="24"/>
        </w:rPr>
        <w:t xml:space="preserve">The team identified the following AFI related to PI </w:t>
      </w:r>
      <w:r>
        <w:rPr>
          <w:rFonts w:cs="Arial"/>
          <w:szCs w:val="24"/>
        </w:rPr>
        <w:t>2</w:t>
      </w:r>
      <w:r w:rsidRPr="005E5816">
        <w:rPr>
          <w:rFonts w:cs="Arial"/>
          <w:szCs w:val="24"/>
        </w:rPr>
        <w:t>.1:</w:t>
      </w:r>
    </w:p>
    <w:p w14:paraId="70A96BA0" w14:textId="77CC2257" w:rsidR="00B04022" w:rsidRDefault="00B04022" w:rsidP="008B0EA6">
      <w:pPr>
        <w:pStyle w:val="ListParagraph"/>
        <w:numPr>
          <w:ilvl w:val="0"/>
          <w:numId w:val="24"/>
        </w:numPr>
        <w:spacing w:before="0" w:after="120" w:line="276" w:lineRule="auto"/>
        <w:ind w:left="714" w:hanging="357"/>
        <w:contextualSpacing/>
        <w:rPr>
          <w:szCs w:val="24"/>
        </w:rPr>
      </w:pPr>
      <w:r>
        <w:rPr>
          <w:szCs w:val="24"/>
        </w:rPr>
        <w:t xml:space="preserve">Licence holders did not </w:t>
      </w:r>
      <w:r w:rsidR="00DA2000">
        <w:rPr>
          <w:szCs w:val="24"/>
        </w:rPr>
        <w:t xml:space="preserve">always see the value in completing the inspection surveys. Improved communication of </w:t>
      </w:r>
      <w:r w:rsidR="00DA2000">
        <w:rPr>
          <w:szCs w:val="24"/>
        </w:rPr>
        <w:lastRenderedPageBreak/>
        <w:t>improvements implemented based on survey results may assist in achieving this.</w:t>
      </w:r>
    </w:p>
    <w:p w14:paraId="6D4E5C63" w14:textId="10EB6237" w:rsidR="00A84D5E" w:rsidRPr="00B04022" w:rsidRDefault="00A84D5E" w:rsidP="008B0EA6">
      <w:pPr>
        <w:pStyle w:val="ListParagraph"/>
        <w:numPr>
          <w:ilvl w:val="0"/>
          <w:numId w:val="24"/>
        </w:numPr>
        <w:spacing w:before="0" w:after="120" w:line="276" w:lineRule="auto"/>
        <w:ind w:left="714" w:hanging="357"/>
        <w:contextualSpacing/>
        <w:rPr>
          <w:szCs w:val="24"/>
        </w:rPr>
      </w:pPr>
      <w:r>
        <w:t xml:space="preserve">Feedback </w:t>
      </w:r>
      <w:r w:rsidR="000C30B8">
        <w:t>may be</w:t>
      </w:r>
      <w:r>
        <w:t xml:space="preserve"> provided in regulatory meetings between inspectors and licence holders and during inspections. There is currently no mechanism for capturing this feedback to continuous improvement team</w:t>
      </w:r>
      <w:r w:rsidR="00D1731C">
        <w:t xml:space="preserve"> unless the licence holder also provides the feedback via the inspection survey.</w:t>
      </w:r>
    </w:p>
    <w:p w14:paraId="5C80A3C8" w14:textId="36EBEBB8" w:rsidR="008B0EA6" w:rsidRPr="00DC25B2" w:rsidRDefault="00BE0D08" w:rsidP="008B0EA6">
      <w:pPr>
        <w:pStyle w:val="ListParagraph"/>
        <w:numPr>
          <w:ilvl w:val="0"/>
          <w:numId w:val="24"/>
        </w:numPr>
        <w:spacing w:before="0" w:after="120" w:line="276" w:lineRule="auto"/>
        <w:ind w:left="714" w:hanging="357"/>
        <w:contextualSpacing/>
        <w:rPr>
          <w:szCs w:val="24"/>
        </w:rPr>
      </w:pPr>
      <w:r>
        <w:rPr>
          <w:rFonts w:cs="Arial"/>
          <w:szCs w:val="24"/>
        </w:rPr>
        <w:t xml:space="preserve">Client survey </w:t>
      </w:r>
      <w:r w:rsidR="00DA2000">
        <w:rPr>
          <w:rFonts w:cs="Arial"/>
          <w:szCs w:val="24"/>
        </w:rPr>
        <w:t>would</w:t>
      </w:r>
      <w:r>
        <w:rPr>
          <w:rFonts w:cs="Arial"/>
          <w:szCs w:val="24"/>
        </w:rPr>
        <w:t xml:space="preserve"> provide </w:t>
      </w:r>
      <w:r w:rsidRPr="006A0D6B">
        <w:rPr>
          <w:rFonts w:cs="Arial"/>
          <w:szCs w:val="24"/>
        </w:rPr>
        <w:t>useful information to drive improvements</w:t>
      </w:r>
      <w:r>
        <w:rPr>
          <w:rFonts w:cs="Arial"/>
          <w:szCs w:val="24"/>
        </w:rPr>
        <w:t xml:space="preserve"> relating to the licence assessment process (shared AFI with KPI 1)</w:t>
      </w:r>
      <w:r w:rsidRPr="00A9092B">
        <w:rPr>
          <w:rFonts w:cs="Arial"/>
          <w:szCs w:val="24"/>
        </w:rPr>
        <w:t>.</w:t>
      </w:r>
    </w:p>
    <w:p w14:paraId="4E1810B0" w14:textId="77777777" w:rsidR="008B0EA6" w:rsidRPr="00E04D16" w:rsidRDefault="008B0EA6" w:rsidP="008B0EA6">
      <w:pPr>
        <w:autoSpaceDE w:val="0"/>
        <w:autoSpaceDN w:val="0"/>
        <w:adjustRightInd w:val="0"/>
        <w:spacing w:after="120"/>
        <w:rPr>
          <w:rFonts w:cs="Arial"/>
          <w:szCs w:val="24"/>
        </w:rPr>
      </w:pPr>
      <w:r>
        <w:rPr>
          <w:rFonts w:cs="Arial"/>
          <w:szCs w:val="24"/>
        </w:rPr>
        <w:t xml:space="preserve">The team </w:t>
      </w:r>
      <w:r w:rsidRPr="00E04D16">
        <w:rPr>
          <w:rFonts w:cs="Arial"/>
          <w:szCs w:val="24"/>
        </w:rPr>
        <w:t>identified the following AFI related to PI 2.2:</w:t>
      </w:r>
    </w:p>
    <w:p w14:paraId="50DF7A17" w14:textId="3C9EC373" w:rsidR="00172661" w:rsidRDefault="00494AA7" w:rsidP="00494AA7">
      <w:pPr>
        <w:pStyle w:val="ListParagraph"/>
        <w:numPr>
          <w:ilvl w:val="0"/>
          <w:numId w:val="24"/>
        </w:numPr>
        <w:spacing w:before="0" w:after="120" w:line="276" w:lineRule="auto"/>
        <w:ind w:left="714" w:hanging="357"/>
        <w:contextualSpacing/>
      </w:pPr>
      <w:r>
        <w:rPr>
          <w:szCs w:val="24"/>
        </w:rPr>
        <w:t xml:space="preserve">Internal communications and information sharing </w:t>
      </w:r>
      <w:r w:rsidR="00B04022">
        <w:rPr>
          <w:szCs w:val="24"/>
        </w:rPr>
        <w:t>should be</w:t>
      </w:r>
      <w:r>
        <w:rPr>
          <w:szCs w:val="24"/>
        </w:rPr>
        <w:t xml:space="preserve"> improved to enhance </w:t>
      </w:r>
      <w:r w:rsidR="00704E89">
        <w:rPr>
          <w:szCs w:val="24"/>
        </w:rPr>
        <w:t xml:space="preserve">understanding of issues and sharing </w:t>
      </w:r>
      <w:r>
        <w:rPr>
          <w:szCs w:val="24"/>
        </w:rPr>
        <w:t>knowledge</w:t>
      </w:r>
      <w:r w:rsidR="00704E89">
        <w:rPr>
          <w:szCs w:val="24"/>
        </w:rPr>
        <w:t xml:space="preserve"> across the branch</w:t>
      </w:r>
      <w:r>
        <w:rPr>
          <w:szCs w:val="24"/>
        </w:rPr>
        <w:t>.</w:t>
      </w:r>
    </w:p>
    <w:p w14:paraId="285BB68C" w14:textId="77777777" w:rsidR="00172661" w:rsidRDefault="00172661" w:rsidP="00172661">
      <w:pPr>
        <w:pStyle w:val="Heading2"/>
        <w:keepLines w:val="0"/>
        <w:spacing w:before="480" w:after="120" w:line="240" w:lineRule="auto"/>
        <w:ind w:left="578" w:hanging="578"/>
        <w:rPr>
          <w:lang w:eastAsia="en-AU"/>
        </w:rPr>
      </w:pPr>
      <w:bookmarkStart w:id="26" w:name="_Toc470173150"/>
      <w:bookmarkStart w:id="27" w:name="_Toc492467952"/>
      <w:r w:rsidRPr="00A9092B">
        <w:rPr>
          <w:lang w:eastAsia="en-AU"/>
        </w:rPr>
        <w:lastRenderedPageBreak/>
        <w:t xml:space="preserve">KPI 3 </w:t>
      </w:r>
      <w:r>
        <w:rPr>
          <w:lang w:eastAsia="en-AU"/>
        </w:rPr>
        <w:t>–</w:t>
      </w:r>
      <w:r w:rsidRPr="00A9092B">
        <w:rPr>
          <w:lang w:eastAsia="en-AU"/>
        </w:rPr>
        <w:t xml:space="preserve"> Actions undertaken by regulators are proportionate to the regulatory risk being managed</w:t>
      </w:r>
      <w:bookmarkEnd w:id="26"/>
      <w:bookmarkEnd w:id="27"/>
    </w:p>
    <w:p w14:paraId="6176EBCE" w14:textId="77777777" w:rsidR="00EB714D" w:rsidRPr="00EB714D" w:rsidRDefault="00EB714D" w:rsidP="00EB714D">
      <w:pPr>
        <w:pStyle w:val="Heading3"/>
        <w:keepLines w:val="0"/>
        <w:spacing w:before="120" w:after="120" w:line="240" w:lineRule="auto"/>
        <w:jc w:val="both"/>
        <w:rPr>
          <w:lang w:eastAsia="en-AU"/>
        </w:rPr>
      </w:pPr>
      <w:r>
        <w:rPr>
          <w:lang w:eastAsia="en-AU"/>
        </w:rPr>
        <w:t>Overview of</w:t>
      </w:r>
      <w:r w:rsidRPr="00A9092B">
        <w:rPr>
          <w:lang w:eastAsia="en-AU"/>
        </w:rPr>
        <w:t xml:space="preserve"> KPI </w:t>
      </w:r>
      <w:r>
        <w:rPr>
          <w:lang w:eastAsia="en-AU"/>
        </w:rPr>
        <w:t>3</w:t>
      </w:r>
    </w:p>
    <w:p w14:paraId="2A411A99" w14:textId="2C86582A" w:rsidR="00172661" w:rsidRDefault="00172661" w:rsidP="00172661">
      <w:pPr>
        <w:autoSpaceDE w:val="0"/>
        <w:autoSpaceDN w:val="0"/>
        <w:adjustRightInd w:val="0"/>
        <w:spacing w:after="120"/>
        <w:rPr>
          <w:rFonts w:cs="Times New Roman"/>
          <w:bCs/>
          <w:szCs w:val="24"/>
          <w:lang w:eastAsia="en-AU"/>
        </w:rPr>
      </w:pPr>
      <w:r>
        <w:rPr>
          <w:rFonts w:cs="Times New Roman"/>
          <w:bCs/>
          <w:szCs w:val="24"/>
          <w:lang w:eastAsia="en-AU"/>
        </w:rPr>
        <w:t xml:space="preserve">ARPANSA’s regulatory oversight program is proportionate to the </w:t>
      </w:r>
      <w:r w:rsidR="00D555B8">
        <w:rPr>
          <w:rFonts w:cs="Times New Roman"/>
          <w:bCs/>
          <w:szCs w:val="24"/>
          <w:lang w:eastAsia="en-AU"/>
        </w:rPr>
        <w:t xml:space="preserve">radiation </w:t>
      </w:r>
      <w:r>
        <w:rPr>
          <w:rFonts w:cs="Times New Roman"/>
          <w:bCs/>
          <w:szCs w:val="24"/>
          <w:lang w:eastAsia="en-AU"/>
        </w:rPr>
        <w:t>risk</w:t>
      </w:r>
      <w:r w:rsidR="00D555B8">
        <w:rPr>
          <w:rStyle w:val="FootnoteReference"/>
          <w:rFonts w:cs="Times New Roman"/>
          <w:bCs/>
          <w:szCs w:val="24"/>
          <w:lang w:eastAsia="en-AU"/>
        </w:rPr>
        <w:footnoteReference w:id="3"/>
      </w:r>
      <w:r>
        <w:rPr>
          <w:rFonts w:cs="Times New Roman"/>
          <w:bCs/>
          <w:szCs w:val="24"/>
          <w:lang w:eastAsia="en-AU"/>
        </w:rPr>
        <w:t xml:space="preserve"> the controlled activity</w:t>
      </w:r>
      <w:r w:rsidR="00D555B8">
        <w:rPr>
          <w:rFonts w:cs="Times New Roman"/>
          <w:bCs/>
          <w:szCs w:val="24"/>
          <w:lang w:eastAsia="en-AU"/>
        </w:rPr>
        <w:t xml:space="preserve"> poses to people and </w:t>
      </w:r>
      <w:r w:rsidR="00D555B8">
        <w:rPr>
          <w:rFonts w:cs="Times New Roman"/>
          <w:bCs/>
          <w:szCs w:val="24"/>
          <w:lang w:eastAsia="en-AU"/>
        </w:rPr>
        <w:lastRenderedPageBreak/>
        <w:t>the environment</w:t>
      </w:r>
      <w:r>
        <w:rPr>
          <w:rFonts w:cs="Times New Roman"/>
          <w:bCs/>
          <w:szCs w:val="24"/>
          <w:lang w:eastAsia="en-AU"/>
        </w:rPr>
        <w:t>. It includes licence holder reporting, inspections, site visits and other meetings or forums. An inspection may identify potential non-compliance, performance deficiencies or good practices.</w:t>
      </w:r>
    </w:p>
    <w:p w14:paraId="1EA6347A" w14:textId="205D1597" w:rsidR="00172661" w:rsidRDefault="005024AA" w:rsidP="00172661">
      <w:pPr>
        <w:autoSpaceDE w:val="0"/>
        <w:autoSpaceDN w:val="0"/>
        <w:adjustRightInd w:val="0"/>
        <w:spacing w:after="120"/>
        <w:rPr>
          <w:rFonts w:cs="Times New Roman"/>
          <w:bCs/>
          <w:szCs w:val="24"/>
          <w:lang w:eastAsia="en-AU"/>
        </w:rPr>
      </w:pPr>
      <w:r>
        <w:rPr>
          <w:rFonts w:cs="Times New Roman"/>
          <w:bCs/>
          <w:szCs w:val="24"/>
          <w:lang w:eastAsia="en-AU"/>
        </w:rPr>
        <w:t>“Areas for Improvement”</w:t>
      </w:r>
      <w:r w:rsidR="00172661">
        <w:rPr>
          <w:rFonts w:cs="Times New Roman"/>
          <w:bCs/>
          <w:szCs w:val="24"/>
          <w:lang w:eastAsia="en-AU"/>
        </w:rPr>
        <w:t xml:space="preserve"> </w:t>
      </w:r>
      <w:r w:rsidR="00172661" w:rsidRPr="00A9092B">
        <w:rPr>
          <w:rFonts w:cs="Times New Roman"/>
          <w:bCs/>
          <w:szCs w:val="24"/>
          <w:lang w:eastAsia="en-AU"/>
        </w:rPr>
        <w:t xml:space="preserve">may occur when a </w:t>
      </w:r>
      <w:r w:rsidR="00172661">
        <w:rPr>
          <w:rFonts w:cs="Times New Roman"/>
          <w:bCs/>
          <w:szCs w:val="24"/>
          <w:lang w:eastAsia="en-AU"/>
        </w:rPr>
        <w:t>licence holder</w:t>
      </w:r>
      <w:r w:rsidR="00172661" w:rsidRPr="00A9092B">
        <w:rPr>
          <w:rFonts w:cs="Times New Roman"/>
          <w:bCs/>
          <w:szCs w:val="24"/>
          <w:lang w:eastAsia="en-AU"/>
        </w:rPr>
        <w:t xml:space="preserve"> does not follow accepted best practice or does not meet self-imposed standards</w:t>
      </w:r>
      <w:r w:rsidR="00172661">
        <w:rPr>
          <w:rFonts w:cs="Times New Roman"/>
          <w:bCs/>
          <w:szCs w:val="24"/>
          <w:lang w:eastAsia="en-AU"/>
        </w:rPr>
        <w:t xml:space="preserve">. These represent an area where the licence holder could improve their safety </w:t>
      </w:r>
      <w:r w:rsidR="002275A0">
        <w:rPr>
          <w:rFonts w:cs="Times New Roman"/>
          <w:bCs/>
          <w:szCs w:val="24"/>
          <w:lang w:eastAsia="en-AU"/>
        </w:rPr>
        <w:t xml:space="preserve">and security </w:t>
      </w:r>
      <w:r w:rsidR="00172661">
        <w:rPr>
          <w:rFonts w:cs="Times New Roman"/>
          <w:bCs/>
          <w:szCs w:val="24"/>
          <w:lang w:eastAsia="en-AU"/>
        </w:rPr>
        <w:t xml:space="preserve">systems and practices and are typically actioned voluntarily without regulatory intervention. </w:t>
      </w:r>
    </w:p>
    <w:p w14:paraId="6937FE71" w14:textId="77777777" w:rsidR="00172661" w:rsidRDefault="00172661" w:rsidP="00172661">
      <w:pPr>
        <w:autoSpaceDE w:val="0"/>
        <w:autoSpaceDN w:val="0"/>
        <w:adjustRightInd w:val="0"/>
        <w:spacing w:after="120"/>
        <w:rPr>
          <w:rFonts w:cs="Times New Roman"/>
          <w:bCs/>
          <w:szCs w:val="24"/>
          <w:lang w:eastAsia="en-AU"/>
        </w:rPr>
      </w:pPr>
      <w:r>
        <w:rPr>
          <w:rFonts w:cs="Times New Roman"/>
          <w:bCs/>
          <w:szCs w:val="24"/>
          <w:lang w:eastAsia="en-AU"/>
        </w:rPr>
        <w:t>P</w:t>
      </w:r>
      <w:r w:rsidRPr="00A9092B">
        <w:rPr>
          <w:rFonts w:cs="Times New Roman"/>
          <w:bCs/>
          <w:szCs w:val="24"/>
          <w:lang w:eastAsia="en-AU"/>
        </w:rPr>
        <w:t xml:space="preserve">otential </w:t>
      </w:r>
      <w:r>
        <w:rPr>
          <w:rFonts w:cs="Times New Roman"/>
          <w:bCs/>
          <w:szCs w:val="24"/>
          <w:lang w:eastAsia="en-AU"/>
        </w:rPr>
        <w:t>n</w:t>
      </w:r>
      <w:r w:rsidRPr="00A9092B">
        <w:rPr>
          <w:rFonts w:cs="Times New Roman"/>
          <w:bCs/>
          <w:szCs w:val="24"/>
          <w:lang w:eastAsia="en-AU"/>
        </w:rPr>
        <w:t>on-</w:t>
      </w:r>
      <w:r>
        <w:rPr>
          <w:rFonts w:cs="Times New Roman"/>
          <w:bCs/>
          <w:szCs w:val="24"/>
          <w:lang w:eastAsia="en-AU"/>
        </w:rPr>
        <w:t>c</w:t>
      </w:r>
      <w:r w:rsidRPr="00A9092B">
        <w:rPr>
          <w:rFonts w:cs="Times New Roman"/>
          <w:bCs/>
          <w:szCs w:val="24"/>
          <w:lang w:eastAsia="en-AU"/>
        </w:rPr>
        <w:t>ompliances</w:t>
      </w:r>
      <w:r>
        <w:rPr>
          <w:rFonts w:cs="Times New Roman"/>
          <w:bCs/>
          <w:szCs w:val="24"/>
          <w:lang w:eastAsia="en-AU"/>
        </w:rPr>
        <w:t xml:space="preserve"> </w:t>
      </w:r>
      <w:r w:rsidRPr="00A9092B">
        <w:rPr>
          <w:rFonts w:cs="Times New Roman"/>
          <w:bCs/>
          <w:szCs w:val="24"/>
          <w:lang w:eastAsia="en-AU"/>
        </w:rPr>
        <w:t xml:space="preserve">may arise when </w:t>
      </w:r>
      <w:r>
        <w:rPr>
          <w:rFonts w:cs="Times New Roman"/>
          <w:bCs/>
          <w:szCs w:val="24"/>
          <w:lang w:eastAsia="en-AU"/>
        </w:rPr>
        <w:t>inspectors consider that a licence holder</w:t>
      </w:r>
      <w:r w:rsidRPr="00A9092B">
        <w:rPr>
          <w:rFonts w:cs="Times New Roman"/>
          <w:bCs/>
          <w:szCs w:val="24"/>
          <w:lang w:eastAsia="en-AU"/>
        </w:rPr>
        <w:t xml:space="preserve"> do</w:t>
      </w:r>
      <w:r>
        <w:rPr>
          <w:rFonts w:cs="Times New Roman"/>
          <w:bCs/>
          <w:szCs w:val="24"/>
          <w:lang w:eastAsia="en-AU"/>
        </w:rPr>
        <w:t>es</w:t>
      </w:r>
      <w:r w:rsidRPr="00A9092B">
        <w:rPr>
          <w:rFonts w:cs="Times New Roman"/>
          <w:bCs/>
          <w:szCs w:val="24"/>
          <w:lang w:eastAsia="en-AU"/>
        </w:rPr>
        <w:t xml:space="preserve"> not meet the legislative re</w:t>
      </w:r>
      <w:r w:rsidRPr="00A9092B">
        <w:rPr>
          <w:rFonts w:cs="Times New Roman"/>
          <w:bCs/>
          <w:szCs w:val="24"/>
          <w:lang w:eastAsia="en-AU"/>
        </w:rPr>
        <w:lastRenderedPageBreak/>
        <w:t>quirements of the Act</w:t>
      </w:r>
      <w:r>
        <w:rPr>
          <w:rFonts w:cs="Times New Roman"/>
          <w:bCs/>
          <w:szCs w:val="24"/>
          <w:lang w:eastAsia="en-AU"/>
        </w:rPr>
        <w:t xml:space="preserve"> and</w:t>
      </w:r>
      <w:r w:rsidRPr="00A9092B">
        <w:rPr>
          <w:rFonts w:cs="Times New Roman"/>
          <w:bCs/>
          <w:szCs w:val="24"/>
          <w:lang w:eastAsia="en-AU"/>
        </w:rPr>
        <w:t xml:space="preserve"> Regulations</w:t>
      </w:r>
      <w:r>
        <w:rPr>
          <w:rFonts w:cs="Times New Roman"/>
          <w:bCs/>
          <w:szCs w:val="24"/>
          <w:lang w:eastAsia="en-AU"/>
        </w:rPr>
        <w:t xml:space="preserve"> or specific</w:t>
      </w:r>
      <w:r w:rsidRPr="00A9092B">
        <w:rPr>
          <w:rFonts w:cs="Times New Roman"/>
          <w:bCs/>
          <w:szCs w:val="24"/>
          <w:lang w:eastAsia="en-AU"/>
        </w:rPr>
        <w:t xml:space="preserve"> licence conditions</w:t>
      </w:r>
      <w:r>
        <w:rPr>
          <w:rFonts w:cs="Times New Roman"/>
          <w:bCs/>
          <w:szCs w:val="24"/>
          <w:lang w:eastAsia="en-AU"/>
        </w:rPr>
        <w:t xml:space="preserve">. A formal determination of whether a potential non-compliance is a breach of the Act is made by the CEO of ARPANSA (or his delegate), based on the evidence presented by inspectors and the licence holder. </w:t>
      </w:r>
    </w:p>
    <w:p w14:paraId="242911E4" w14:textId="7EFE5202" w:rsidR="00172661" w:rsidRDefault="00172661" w:rsidP="00172661">
      <w:pPr>
        <w:tabs>
          <w:tab w:val="left" w:pos="0"/>
        </w:tabs>
        <w:spacing w:after="120"/>
        <w:ind w:right="34"/>
        <w:rPr>
          <w:rFonts w:cs="Times New Roman"/>
          <w:bCs/>
          <w:szCs w:val="24"/>
          <w:lang w:eastAsia="en-AU"/>
        </w:rPr>
      </w:pPr>
      <w:r>
        <w:rPr>
          <w:rFonts w:cs="Times New Roman"/>
          <w:bCs/>
          <w:szCs w:val="24"/>
          <w:lang w:eastAsia="en-AU"/>
        </w:rPr>
        <w:t>The CEO has a range of regulatory responses to non-compliance</w:t>
      </w:r>
      <w:r w:rsidR="00A84D5E">
        <w:rPr>
          <w:rFonts w:cs="Times New Roman"/>
          <w:bCs/>
          <w:szCs w:val="24"/>
          <w:lang w:eastAsia="en-AU"/>
        </w:rPr>
        <w:t xml:space="preserve"> available to him</w:t>
      </w:r>
      <w:r>
        <w:rPr>
          <w:rFonts w:cs="Times New Roman"/>
          <w:bCs/>
          <w:szCs w:val="24"/>
          <w:lang w:eastAsia="en-AU"/>
        </w:rPr>
        <w:t>. The level of response is proportionate to the particular circumstance. ARPANSA provides guidance on how the response is determined in</w:t>
      </w:r>
      <w:r w:rsidR="00E96876">
        <w:rPr>
          <w:rFonts w:cs="Times New Roman"/>
          <w:bCs/>
          <w:szCs w:val="24"/>
          <w:lang w:eastAsia="en-AU"/>
        </w:rPr>
        <w:t xml:space="preserve"> the</w:t>
      </w:r>
      <w:r>
        <w:rPr>
          <w:rFonts w:cs="Times New Roman"/>
          <w:bCs/>
          <w:szCs w:val="24"/>
          <w:lang w:eastAsia="en-AU"/>
        </w:rPr>
        <w:t xml:space="preserve"> </w:t>
      </w:r>
      <w:r w:rsidR="00E96876">
        <w:rPr>
          <w:rFonts w:cs="Times New Roman"/>
          <w:bCs/>
          <w:szCs w:val="24"/>
          <w:lang w:eastAsia="en-AU"/>
        </w:rPr>
        <w:t>R</w:t>
      </w:r>
      <w:r>
        <w:rPr>
          <w:rFonts w:cs="Times New Roman"/>
          <w:bCs/>
          <w:szCs w:val="24"/>
          <w:lang w:eastAsia="en-AU"/>
        </w:rPr>
        <w:t xml:space="preserve">egulatory </w:t>
      </w:r>
      <w:r w:rsidR="00E96876">
        <w:rPr>
          <w:rFonts w:cs="Times New Roman"/>
          <w:bCs/>
          <w:szCs w:val="24"/>
          <w:lang w:eastAsia="en-AU"/>
        </w:rPr>
        <w:t>G</w:t>
      </w:r>
      <w:r>
        <w:rPr>
          <w:rFonts w:cs="Times New Roman"/>
          <w:bCs/>
          <w:szCs w:val="24"/>
          <w:lang w:eastAsia="en-AU"/>
        </w:rPr>
        <w:t xml:space="preserve">uide </w:t>
      </w:r>
      <w:hyperlink r:id="rId21" w:history="1">
        <w:r w:rsidR="00B978C7">
          <w:rPr>
            <w:rStyle w:val="Hyperlink"/>
            <w:rFonts w:cs="Times New Roman"/>
            <w:bCs/>
            <w:i/>
            <w:szCs w:val="24"/>
            <w:lang w:eastAsia="en-AU"/>
          </w:rPr>
          <w:t>Graded R</w:t>
        </w:r>
        <w:r w:rsidRPr="00B978C7">
          <w:rPr>
            <w:rStyle w:val="Hyperlink"/>
            <w:rFonts w:cs="Times New Roman"/>
            <w:bCs/>
            <w:i/>
            <w:szCs w:val="24"/>
            <w:lang w:eastAsia="en-AU"/>
          </w:rPr>
          <w:t xml:space="preserve">esponse to </w:t>
        </w:r>
        <w:r w:rsidR="00B978C7">
          <w:rPr>
            <w:rStyle w:val="Hyperlink"/>
            <w:rFonts w:cs="Times New Roman"/>
            <w:bCs/>
            <w:i/>
            <w:szCs w:val="24"/>
            <w:lang w:eastAsia="en-AU"/>
          </w:rPr>
          <w:t>D</w:t>
        </w:r>
        <w:r w:rsidR="00B978C7" w:rsidRPr="00B978C7">
          <w:rPr>
            <w:rStyle w:val="Hyperlink"/>
            <w:rFonts w:cs="Times New Roman"/>
            <w:bCs/>
            <w:i/>
            <w:szCs w:val="24"/>
            <w:lang w:eastAsia="en-AU"/>
          </w:rPr>
          <w:t xml:space="preserve">ealing with </w:t>
        </w:r>
        <w:r w:rsidR="00B978C7">
          <w:rPr>
            <w:rStyle w:val="Hyperlink"/>
            <w:rFonts w:cs="Times New Roman"/>
            <w:bCs/>
            <w:i/>
            <w:szCs w:val="24"/>
            <w:lang w:eastAsia="en-AU"/>
          </w:rPr>
          <w:t>Licence H</w:t>
        </w:r>
        <w:r w:rsidR="00B978C7" w:rsidRPr="00B978C7">
          <w:rPr>
            <w:rStyle w:val="Hyperlink"/>
            <w:rFonts w:cs="Times New Roman"/>
            <w:bCs/>
            <w:i/>
            <w:szCs w:val="24"/>
            <w:lang w:eastAsia="en-AU"/>
          </w:rPr>
          <w:t xml:space="preserve">older </w:t>
        </w:r>
        <w:r w:rsidR="00B978C7">
          <w:rPr>
            <w:rStyle w:val="Hyperlink"/>
            <w:rFonts w:cs="Times New Roman"/>
            <w:bCs/>
            <w:i/>
            <w:szCs w:val="24"/>
            <w:lang w:eastAsia="en-AU"/>
          </w:rPr>
          <w:t>N</w:t>
        </w:r>
        <w:r w:rsidRPr="00B978C7">
          <w:rPr>
            <w:rStyle w:val="Hyperlink"/>
            <w:rFonts w:cs="Times New Roman"/>
            <w:bCs/>
            <w:i/>
            <w:szCs w:val="24"/>
            <w:lang w:eastAsia="en-AU"/>
          </w:rPr>
          <w:t>on-compliance</w:t>
        </w:r>
      </w:hyperlink>
      <w:r>
        <w:rPr>
          <w:rFonts w:cs="Times New Roman"/>
          <w:bCs/>
          <w:szCs w:val="24"/>
          <w:lang w:eastAsia="en-AU"/>
        </w:rPr>
        <w:t xml:space="preserve">. In most cases, ARPANSA’s initial response will be to encourage a return to compliance. If this is unsuccessful, the regulatory response </w:t>
      </w:r>
      <w:r>
        <w:t>may b</w:t>
      </w:r>
      <w:r w:rsidRPr="008B0018">
        <w:t xml:space="preserve">e escalated </w:t>
      </w:r>
      <w:r>
        <w:rPr>
          <w:rFonts w:cs="Times New Roman"/>
          <w:bCs/>
          <w:szCs w:val="24"/>
          <w:lang w:eastAsia="en-AU"/>
        </w:rPr>
        <w:t xml:space="preserve">to more formal action such as an improvement notice or direction through to suspension or cancellation of licence, or court action. Most of these enforcement actions, </w:t>
      </w:r>
      <w:r w:rsidR="000C30B8">
        <w:rPr>
          <w:rFonts w:cs="Times New Roman"/>
          <w:bCs/>
          <w:szCs w:val="24"/>
          <w:lang w:eastAsia="en-AU"/>
        </w:rPr>
        <w:t>that</w:t>
      </w:r>
      <w:r>
        <w:rPr>
          <w:rFonts w:cs="Times New Roman"/>
          <w:bCs/>
          <w:szCs w:val="24"/>
          <w:lang w:eastAsia="en-AU"/>
        </w:rPr>
        <w:t xml:space="preserve"> are similar to those of other regulatory bodies, have never </w:t>
      </w:r>
      <w:r w:rsidR="002275A0">
        <w:rPr>
          <w:rFonts w:cs="Times New Roman"/>
          <w:bCs/>
          <w:szCs w:val="24"/>
          <w:lang w:eastAsia="en-AU"/>
        </w:rPr>
        <w:t xml:space="preserve">been </w:t>
      </w:r>
      <w:r>
        <w:rPr>
          <w:rFonts w:cs="Times New Roman"/>
          <w:bCs/>
          <w:szCs w:val="24"/>
          <w:lang w:eastAsia="en-AU"/>
        </w:rPr>
        <w:t xml:space="preserve">needed, but are nonetheless </w:t>
      </w:r>
      <w:r w:rsidR="00E96876">
        <w:rPr>
          <w:rFonts w:cs="Times New Roman"/>
          <w:bCs/>
          <w:szCs w:val="24"/>
          <w:lang w:eastAsia="en-AU"/>
        </w:rPr>
        <w:t xml:space="preserve">necessary </w:t>
      </w:r>
      <w:r>
        <w:rPr>
          <w:rFonts w:cs="Times New Roman"/>
          <w:bCs/>
          <w:szCs w:val="24"/>
          <w:lang w:eastAsia="en-AU"/>
        </w:rPr>
        <w:t xml:space="preserve">tools to ensure compliance with the Act </w:t>
      </w:r>
      <w:r w:rsidR="00E96876">
        <w:rPr>
          <w:rFonts w:cs="Times New Roman"/>
          <w:bCs/>
          <w:szCs w:val="24"/>
          <w:lang w:eastAsia="en-AU"/>
        </w:rPr>
        <w:t xml:space="preserve">in </w:t>
      </w:r>
      <w:r w:rsidR="00E96876">
        <w:rPr>
          <w:rFonts w:cs="Times New Roman"/>
          <w:bCs/>
          <w:szCs w:val="24"/>
          <w:lang w:eastAsia="en-AU"/>
        </w:rPr>
        <w:lastRenderedPageBreak/>
        <w:t xml:space="preserve">cases of acute risks to the safety of people and the environment; </w:t>
      </w:r>
      <w:r>
        <w:rPr>
          <w:rFonts w:cs="Times New Roman"/>
          <w:bCs/>
          <w:szCs w:val="24"/>
          <w:lang w:eastAsia="en-AU"/>
        </w:rPr>
        <w:t xml:space="preserve">and </w:t>
      </w:r>
      <w:r w:rsidR="00E96876">
        <w:rPr>
          <w:rFonts w:cs="Times New Roman"/>
          <w:bCs/>
          <w:szCs w:val="24"/>
          <w:lang w:eastAsia="en-AU"/>
        </w:rPr>
        <w:t xml:space="preserve">to </w:t>
      </w:r>
      <w:r>
        <w:rPr>
          <w:rFonts w:cs="Times New Roman"/>
          <w:bCs/>
          <w:szCs w:val="24"/>
          <w:lang w:eastAsia="en-AU"/>
        </w:rPr>
        <w:t xml:space="preserve">provide confidence to stakeholders, including the public, in ARPANSA’s ability to protect the people and environment from the harmful effects of radiation. In practice, ARPANSA strives to use the lowest level of regulatory response </w:t>
      </w:r>
      <w:r w:rsidR="00E96876">
        <w:rPr>
          <w:rFonts w:cs="Times New Roman"/>
          <w:bCs/>
          <w:szCs w:val="24"/>
          <w:lang w:eastAsia="en-AU"/>
        </w:rPr>
        <w:t xml:space="preserve">possible, while being as firm as necessary, </w:t>
      </w:r>
      <w:r>
        <w:rPr>
          <w:rFonts w:cs="Times New Roman"/>
          <w:bCs/>
          <w:szCs w:val="24"/>
          <w:lang w:eastAsia="en-AU"/>
        </w:rPr>
        <w:t xml:space="preserve">to assure </w:t>
      </w:r>
      <w:r w:rsidR="00E96876">
        <w:rPr>
          <w:rFonts w:cs="Times New Roman"/>
          <w:bCs/>
          <w:szCs w:val="24"/>
          <w:lang w:eastAsia="en-AU"/>
        </w:rPr>
        <w:t xml:space="preserve">protection, </w:t>
      </w:r>
      <w:r>
        <w:rPr>
          <w:rFonts w:cs="Times New Roman"/>
          <w:bCs/>
          <w:szCs w:val="24"/>
          <w:lang w:eastAsia="en-AU"/>
        </w:rPr>
        <w:t xml:space="preserve">safety and security. </w:t>
      </w:r>
    </w:p>
    <w:p w14:paraId="56A00D53" w14:textId="77777777" w:rsidR="00172661" w:rsidRDefault="00172661" w:rsidP="00172661">
      <w:pPr>
        <w:autoSpaceDE w:val="0"/>
        <w:autoSpaceDN w:val="0"/>
        <w:adjustRightInd w:val="0"/>
        <w:spacing w:after="120"/>
        <w:rPr>
          <w:rFonts w:cs="Times New Roman"/>
          <w:bCs/>
          <w:szCs w:val="24"/>
          <w:lang w:eastAsia="en-AU"/>
        </w:rPr>
      </w:pPr>
      <w:r>
        <w:rPr>
          <w:rFonts w:cs="Times New Roman"/>
          <w:bCs/>
          <w:szCs w:val="24"/>
          <w:lang w:eastAsia="en-AU"/>
        </w:rPr>
        <w:t>The Act requires that a licence only be issued to an applicant who is able to demonstrate a capacity to comply with the Act, the Regulations and any licence conditions. Consequently, a finding of non-compliance (breach) almost always results in corrective actions by the licence holder without the need for formal enforcement action.</w:t>
      </w:r>
    </w:p>
    <w:p w14:paraId="552C1D84" w14:textId="1C78FCF2" w:rsidR="00172661" w:rsidRDefault="00172661" w:rsidP="00172661">
      <w:pPr>
        <w:autoSpaceDE w:val="0"/>
        <w:autoSpaceDN w:val="0"/>
        <w:adjustRightInd w:val="0"/>
        <w:spacing w:after="120"/>
        <w:rPr>
          <w:rFonts w:cs="Times New Roman"/>
          <w:bCs/>
          <w:szCs w:val="24"/>
          <w:lang w:eastAsia="en-AU"/>
        </w:rPr>
      </w:pPr>
      <w:r>
        <w:rPr>
          <w:rFonts w:cs="Times New Roman"/>
          <w:bCs/>
          <w:szCs w:val="24"/>
          <w:lang w:eastAsia="en-AU"/>
        </w:rPr>
        <w:t xml:space="preserve">As discussed under KPI 1, </w:t>
      </w:r>
      <w:r w:rsidRPr="00A9092B">
        <w:rPr>
          <w:rFonts w:cs="Times New Roman"/>
          <w:bCs/>
          <w:szCs w:val="24"/>
          <w:lang w:eastAsia="en-AU"/>
        </w:rPr>
        <w:t>ARPANSA schedule</w:t>
      </w:r>
      <w:r>
        <w:rPr>
          <w:rFonts w:cs="Times New Roman"/>
          <w:bCs/>
          <w:szCs w:val="24"/>
          <w:lang w:eastAsia="en-AU"/>
        </w:rPr>
        <w:t>s</w:t>
      </w:r>
      <w:r w:rsidRPr="00A9092B">
        <w:rPr>
          <w:rFonts w:cs="Times New Roman"/>
          <w:bCs/>
          <w:szCs w:val="24"/>
          <w:lang w:eastAsia="en-AU"/>
        </w:rPr>
        <w:t xml:space="preserve"> </w:t>
      </w:r>
      <w:r w:rsidR="00975768">
        <w:rPr>
          <w:rFonts w:cs="Times New Roman"/>
          <w:bCs/>
          <w:szCs w:val="24"/>
          <w:lang w:eastAsia="en-AU"/>
        </w:rPr>
        <w:t xml:space="preserve">the frequency and intensity of </w:t>
      </w:r>
      <w:r w:rsidRPr="00A9092B">
        <w:rPr>
          <w:rFonts w:cs="Times New Roman"/>
          <w:bCs/>
          <w:szCs w:val="24"/>
          <w:lang w:eastAsia="en-AU"/>
        </w:rPr>
        <w:t xml:space="preserve">inspections commensurate </w:t>
      </w:r>
      <w:r w:rsidR="00975768">
        <w:rPr>
          <w:rFonts w:cs="Times New Roman"/>
          <w:bCs/>
          <w:szCs w:val="24"/>
          <w:lang w:eastAsia="en-AU"/>
        </w:rPr>
        <w:t xml:space="preserve">to be </w:t>
      </w:r>
      <w:r w:rsidRPr="00A9092B">
        <w:rPr>
          <w:rFonts w:cs="Times New Roman"/>
          <w:bCs/>
          <w:szCs w:val="24"/>
          <w:lang w:eastAsia="en-AU"/>
        </w:rPr>
        <w:t>with risk</w:t>
      </w:r>
      <w:r>
        <w:rPr>
          <w:rFonts w:cs="Times New Roman"/>
          <w:bCs/>
          <w:szCs w:val="24"/>
          <w:lang w:eastAsia="en-AU"/>
        </w:rPr>
        <w:t xml:space="preserve">. </w:t>
      </w:r>
      <w:r w:rsidR="000279EF">
        <w:rPr>
          <w:rFonts w:cs="Times New Roman"/>
          <w:bCs/>
          <w:szCs w:val="24"/>
          <w:lang w:eastAsia="en-AU"/>
        </w:rPr>
        <w:t>Differen</w:t>
      </w:r>
      <w:r w:rsidR="000464D9">
        <w:rPr>
          <w:rFonts w:cs="Times New Roman"/>
          <w:bCs/>
          <w:szCs w:val="24"/>
          <w:lang w:eastAsia="en-AU"/>
        </w:rPr>
        <w:t>t</w:t>
      </w:r>
      <w:r w:rsidR="000279EF">
        <w:rPr>
          <w:rFonts w:cs="Times New Roman"/>
          <w:bCs/>
          <w:szCs w:val="24"/>
          <w:lang w:eastAsia="en-AU"/>
        </w:rPr>
        <w:t xml:space="preserve"> systems are in place for facility and source licences. </w:t>
      </w:r>
      <w:r>
        <w:rPr>
          <w:rFonts w:cs="Times New Roman"/>
          <w:bCs/>
          <w:szCs w:val="24"/>
          <w:lang w:eastAsia="en-AU"/>
        </w:rPr>
        <w:t>In the case of facilities, the</w:t>
      </w:r>
      <w:r w:rsidRPr="00A9092B">
        <w:rPr>
          <w:rFonts w:cs="Times New Roman"/>
          <w:bCs/>
          <w:szCs w:val="24"/>
          <w:lang w:eastAsia="en-AU"/>
        </w:rPr>
        <w:t xml:space="preserve"> risk is determined </w:t>
      </w:r>
      <w:r w:rsidR="00F46F08">
        <w:rPr>
          <w:rFonts w:cs="Times New Roman"/>
          <w:bCs/>
          <w:szCs w:val="24"/>
          <w:lang w:eastAsia="en-AU"/>
        </w:rPr>
        <w:t>on the basis of</w:t>
      </w:r>
      <w:r w:rsidRPr="00A9092B">
        <w:rPr>
          <w:rFonts w:cs="Times New Roman"/>
          <w:bCs/>
          <w:szCs w:val="24"/>
          <w:lang w:eastAsia="en-AU"/>
        </w:rPr>
        <w:t xml:space="preserve"> the </w:t>
      </w:r>
      <w:r>
        <w:rPr>
          <w:rFonts w:cs="Times New Roman"/>
          <w:bCs/>
          <w:szCs w:val="24"/>
          <w:lang w:eastAsia="en-AU"/>
        </w:rPr>
        <w:t xml:space="preserve">inherent </w:t>
      </w:r>
      <w:r w:rsidRPr="00A9092B">
        <w:rPr>
          <w:rFonts w:cs="Times New Roman"/>
          <w:bCs/>
          <w:szCs w:val="24"/>
          <w:lang w:eastAsia="en-AU"/>
        </w:rPr>
        <w:t xml:space="preserve">hazard, the effectiveness of </w:t>
      </w:r>
      <w:r>
        <w:rPr>
          <w:rFonts w:cs="Times New Roman"/>
          <w:bCs/>
          <w:szCs w:val="24"/>
          <w:lang w:eastAsia="en-AU"/>
        </w:rPr>
        <w:t xml:space="preserve">critical safety and </w:t>
      </w:r>
      <w:r>
        <w:rPr>
          <w:rFonts w:cs="Times New Roman"/>
          <w:bCs/>
          <w:szCs w:val="24"/>
          <w:lang w:eastAsia="en-AU"/>
        </w:rPr>
        <w:lastRenderedPageBreak/>
        <w:t xml:space="preserve">security </w:t>
      </w:r>
      <w:r w:rsidRPr="00A9092B">
        <w:rPr>
          <w:rFonts w:cs="Times New Roman"/>
          <w:bCs/>
          <w:szCs w:val="24"/>
          <w:lang w:eastAsia="en-AU"/>
        </w:rPr>
        <w:t>controls</w:t>
      </w:r>
      <w:r>
        <w:rPr>
          <w:rFonts w:cs="Times New Roman"/>
          <w:bCs/>
          <w:szCs w:val="24"/>
          <w:lang w:eastAsia="en-AU"/>
        </w:rPr>
        <w:t>,</w:t>
      </w:r>
      <w:r w:rsidRPr="00A9092B">
        <w:rPr>
          <w:rFonts w:cs="Times New Roman"/>
          <w:bCs/>
          <w:szCs w:val="24"/>
          <w:lang w:eastAsia="en-AU"/>
        </w:rPr>
        <w:t xml:space="preserve"> and performance</w:t>
      </w:r>
      <w:r>
        <w:rPr>
          <w:rFonts w:cs="Times New Roman"/>
          <w:bCs/>
          <w:szCs w:val="24"/>
          <w:lang w:eastAsia="en-AU"/>
        </w:rPr>
        <w:t xml:space="preserve"> history. Where the risk is altered</w:t>
      </w:r>
      <w:r w:rsidR="000464D9">
        <w:rPr>
          <w:rFonts w:cs="Times New Roman"/>
          <w:bCs/>
          <w:szCs w:val="24"/>
          <w:lang w:eastAsia="en-AU"/>
        </w:rPr>
        <w:t>,</w:t>
      </w:r>
      <w:r>
        <w:rPr>
          <w:rFonts w:cs="Times New Roman"/>
          <w:bCs/>
          <w:szCs w:val="24"/>
          <w:lang w:eastAsia="en-AU"/>
        </w:rPr>
        <w:t xml:space="preserve"> the inspection schedule is adjusted accordingly. Two identical facilities may therefore have a different inspection frequency if the safety and security practices of one are better than the other. </w:t>
      </w:r>
    </w:p>
    <w:p w14:paraId="18752E2B" w14:textId="2F18BB41" w:rsidR="00172661" w:rsidRDefault="00172661" w:rsidP="00172661">
      <w:pPr>
        <w:autoSpaceDE w:val="0"/>
        <w:autoSpaceDN w:val="0"/>
        <w:adjustRightInd w:val="0"/>
        <w:spacing w:after="120"/>
        <w:rPr>
          <w:rFonts w:cs="Times New Roman"/>
          <w:bCs/>
          <w:szCs w:val="24"/>
          <w:lang w:eastAsia="en-AU"/>
        </w:rPr>
      </w:pPr>
      <w:r>
        <w:rPr>
          <w:rFonts w:cs="Times New Roman"/>
          <w:bCs/>
          <w:szCs w:val="24"/>
          <w:lang w:eastAsia="en-AU"/>
        </w:rPr>
        <w:t>In the case of sources, the method for determining the inspection schedule recognise</w:t>
      </w:r>
      <w:r w:rsidR="000464D9">
        <w:rPr>
          <w:rFonts w:cs="Times New Roman"/>
          <w:bCs/>
          <w:szCs w:val="24"/>
          <w:lang w:eastAsia="en-AU"/>
        </w:rPr>
        <w:t>s</w:t>
      </w:r>
      <w:r>
        <w:rPr>
          <w:rFonts w:cs="Times New Roman"/>
          <w:bCs/>
          <w:szCs w:val="24"/>
          <w:lang w:eastAsia="en-AU"/>
        </w:rPr>
        <w:t xml:space="preserve"> the generally less complex nature of sources compared to facilities. The baseline inspection program is based on the hazard category of the source with additional (augmented) inspections undertaken where a performance issue is identified. For very low risk sources, a remote inspection process (known as an e-Inspection) </w:t>
      </w:r>
      <w:r w:rsidR="000464D9">
        <w:rPr>
          <w:rFonts w:cs="Times New Roman"/>
          <w:bCs/>
          <w:szCs w:val="24"/>
          <w:lang w:eastAsia="en-AU"/>
        </w:rPr>
        <w:t>is used</w:t>
      </w:r>
      <w:r>
        <w:rPr>
          <w:rFonts w:cs="Times New Roman"/>
          <w:bCs/>
          <w:szCs w:val="24"/>
          <w:lang w:eastAsia="en-AU"/>
        </w:rPr>
        <w:t xml:space="preserve"> </w:t>
      </w:r>
      <w:r w:rsidR="000C30B8">
        <w:rPr>
          <w:rFonts w:cs="Times New Roman"/>
          <w:bCs/>
          <w:szCs w:val="24"/>
          <w:lang w:eastAsia="en-AU"/>
        </w:rPr>
        <w:t>that</w:t>
      </w:r>
      <w:r>
        <w:rPr>
          <w:rFonts w:cs="Times New Roman"/>
          <w:bCs/>
          <w:szCs w:val="24"/>
          <w:lang w:eastAsia="en-AU"/>
        </w:rPr>
        <w:t xml:space="preserve"> does not require inspectors to physically attend the site. This is particularly useful for sources in remote locations or overseas.</w:t>
      </w:r>
    </w:p>
    <w:p w14:paraId="6278D999" w14:textId="29642AEB" w:rsidR="00172661" w:rsidRPr="00A9092B" w:rsidRDefault="00172661" w:rsidP="00172661">
      <w:pPr>
        <w:autoSpaceDE w:val="0"/>
        <w:autoSpaceDN w:val="0"/>
        <w:adjustRightInd w:val="0"/>
        <w:spacing w:after="120"/>
        <w:rPr>
          <w:rFonts w:cs="Times New Roman"/>
          <w:bCs/>
          <w:szCs w:val="24"/>
          <w:lang w:eastAsia="en-AU"/>
        </w:rPr>
      </w:pPr>
      <w:r>
        <w:rPr>
          <w:rFonts w:cs="Times New Roman"/>
          <w:bCs/>
          <w:szCs w:val="24"/>
          <w:lang w:eastAsia="en-AU"/>
        </w:rPr>
        <w:t xml:space="preserve">The </w:t>
      </w:r>
      <w:r w:rsidRPr="00A9092B">
        <w:rPr>
          <w:rFonts w:cs="Times New Roman"/>
          <w:bCs/>
          <w:szCs w:val="24"/>
          <w:lang w:eastAsia="en-AU"/>
        </w:rPr>
        <w:t xml:space="preserve">inspection schedules are recorded in the records management system and </w:t>
      </w:r>
      <w:r>
        <w:rPr>
          <w:rFonts w:cs="Times New Roman"/>
          <w:bCs/>
          <w:szCs w:val="24"/>
          <w:lang w:eastAsia="en-AU"/>
        </w:rPr>
        <w:t xml:space="preserve">are </w:t>
      </w:r>
      <w:r w:rsidRPr="00A9092B">
        <w:rPr>
          <w:rFonts w:cs="Times New Roman"/>
          <w:bCs/>
          <w:szCs w:val="24"/>
          <w:lang w:eastAsia="en-AU"/>
        </w:rPr>
        <w:t xml:space="preserve">updated </w:t>
      </w:r>
      <w:r w:rsidR="00155168">
        <w:rPr>
          <w:rFonts w:cs="Times New Roman"/>
          <w:bCs/>
          <w:szCs w:val="24"/>
          <w:lang w:eastAsia="en-AU"/>
        </w:rPr>
        <w:t xml:space="preserve">annually or </w:t>
      </w:r>
      <w:r w:rsidRPr="00A9092B">
        <w:rPr>
          <w:rFonts w:cs="Times New Roman"/>
          <w:bCs/>
          <w:szCs w:val="24"/>
          <w:lang w:eastAsia="en-AU"/>
        </w:rPr>
        <w:t>as required</w:t>
      </w:r>
      <w:r w:rsidR="00A04656">
        <w:rPr>
          <w:rFonts w:cs="Times New Roman"/>
          <w:bCs/>
          <w:szCs w:val="24"/>
          <w:lang w:eastAsia="en-AU"/>
        </w:rPr>
        <w:t xml:space="preserve"> by changes i</w:t>
      </w:r>
      <w:r w:rsidR="00F46F08">
        <w:rPr>
          <w:rFonts w:cs="Times New Roman"/>
          <w:bCs/>
          <w:szCs w:val="24"/>
          <w:lang w:eastAsia="en-AU"/>
        </w:rPr>
        <w:t>n</w:t>
      </w:r>
      <w:r w:rsidR="00A04656">
        <w:rPr>
          <w:rFonts w:cs="Times New Roman"/>
          <w:bCs/>
          <w:szCs w:val="24"/>
          <w:lang w:eastAsia="en-AU"/>
        </w:rPr>
        <w:t xml:space="preserve"> licence holder performance</w:t>
      </w:r>
      <w:r w:rsidRPr="00A9092B">
        <w:rPr>
          <w:rFonts w:cs="Times New Roman"/>
          <w:bCs/>
          <w:szCs w:val="24"/>
          <w:lang w:eastAsia="en-AU"/>
        </w:rPr>
        <w:t>.</w:t>
      </w:r>
    </w:p>
    <w:p w14:paraId="5140A257" w14:textId="04B0F70C" w:rsidR="00172661" w:rsidRPr="00A9092B" w:rsidRDefault="00172661" w:rsidP="00172661">
      <w:pPr>
        <w:autoSpaceDE w:val="0"/>
        <w:autoSpaceDN w:val="0"/>
        <w:adjustRightInd w:val="0"/>
        <w:spacing w:after="120"/>
        <w:rPr>
          <w:rFonts w:cs="Times New Roman"/>
          <w:bCs/>
          <w:szCs w:val="24"/>
          <w:lang w:eastAsia="en-AU"/>
        </w:rPr>
      </w:pPr>
      <w:r>
        <w:rPr>
          <w:rFonts w:cs="Times New Roman"/>
          <w:bCs/>
          <w:szCs w:val="24"/>
          <w:lang w:eastAsia="en-AU"/>
        </w:rPr>
        <w:lastRenderedPageBreak/>
        <w:t>I</w:t>
      </w:r>
      <w:r w:rsidRPr="00A9092B">
        <w:rPr>
          <w:rFonts w:cs="Times New Roman"/>
          <w:bCs/>
          <w:szCs w:val="24"/>
          <w:lang w:eastAsia="en-AU"/>
        </w:rPr>
        <w:t xml:space="preserve">nspectors monitor </w:t>
      </w:r>
      <w:r>
        <w:rPr>
          <w:rFonts w:cs="Times New Roman"/>
          <w:bCs/>
          <w:szCs w:val="24"/>
          <w:lang w:eastAsia="en-AU"/>
        </w:rPr>
        <w:t xml:space="preserve">licence holder </w:t>
      </w:r>
      <w:r w:rsidRPr="00A9092B">
        <w:rPr>
          <w:rFonts w:cs="Times New Roman"/>
          <w:bCs/>
          <w:szCs w:val="24"/>
          <w:lang w:eastAsia="en-AU"/>
        </w:rPr>
        <w:t xml:space="preserve">performance on a regular basis outside the inspection process through site visits, </w:t>
      </w:r>
      <w:r w:rsidR="00707271">
        <w:rPr>
          <w:rFonts w:cs="Times New Roman"/>
          <w:bCs/>
          <w:szCs w:val="24"/>
          <w:lang w:eastAsia="en-AU"/>
        </w:rPr>
        <w:t xml:space="preserve">licence holder reporting </w:t>
      </w:r>
      <w:r w:rsidRPr="00A9092B">
        <w:rPr>
          <w:rFonts w:cs="Times New Roman"/>
          <w:bCs/>
          <w:szCs w:val="24"/>
          <w:lang w:eastAsia="en-AU"/>
        </w:rPr>
        <w:t>and meetings</w:t>
      </w:r>
      <w:r>
        <w:rPr>
          <w:rFonts w:cs="Times New Roman"/>
          <w:bCs/>
          <w:szCs w:val="24"/>
          <w:lang w:eastAsia="en-AU"/>
        </w:rPr>
        <w:t xml:space="preserve">. </w:t>
      </w:r>
      <w:r w:rsidRPr="00A9092B">
        <w:rPr>
          <w:rFonts w:cs="Times New Roman"/>
          <w:bCs/>
          <w:szCs w:val="24"/>
          <w:lang w:eastAsia="en-AU"/>
        </w:rPr>
        <w:t xml:space="preserve">Frequent site visits are undertaken to </w:t>
      </w:r>
      <w:r>
        <w:rPr>
          <w:rFonts w:cs="Times New Roman"/>
          <w:bCs/>
          <w:szCs w:val="24"/>
          <w:lang w:eastAsia="en-AU"/>
        </w:rPr>
        <w:t xml:space="preserve">meet with </w:t>
      </w:r>
      <w:r w:rsidR="002275A0">
        <w:rPr>
          <w:rFonts w:cs="Times New Roman"/>
          <w:bCs/>
          <w:szCs w:val="24"/>
          <w:lang w:eastAsia="en-AU"/>
        </w:rPr>
        <w:t xml:space="preserve">licence holder </w:t>
      </w:r>
      <w:r>
        <w:rPr>
          <w:rFonts w:cs="Times New Roman"/>
          <w:bCs/>
          <w:szCs w:val="24"/>
          <w:lang w:eastAsia="en-AU"/>
        </w:rPr>
        <w:t xml:space="preserve">staff and </w:t>
      </w:r>
      <w:r w:rsidRPr="00A9092B">
        <w:rPr>
          <w:rFonts w:cs="Times New Roman"/>
          <w:bCs/>
          <w:szCs w:val="24"/>
          <w:lang w:eastAsia="en-AU"/>
        </w:rPr>
        <w:t xml:space="preserve">observe </w:t>
      </w:r>
      <w:r w:rsidR="002275A0">
        <w:rPr>
          <w:rFonts w:cs="Times New Roman"/>
          <w:bCs/>
          <w:szCs w:val="24"/>
          <w:lang w:eastAsia="en-AU"/>
        </w:rPr>
        <w:t xml:space="preserve">their </w:t>
      </w:r>
      <w:r w:rsidRPr="00A9092B">
        <w:rPr>
          <w:rFonts w:cs="Times New Roman"/>
          <w:bCs/>
          <w:szCs w:val="24"/>
          <w:lang w:eastAsia="en-AU"/>
        </w:rPr>
        <w:t xml:space="preserve">operations. Unlike inspections, no detailed advance planning is required and observations are shared verbally with the </w:t>
      </w:r>
      <w:r>
        <w:rPr>
          <w:rFonts w:cs="Times New Roman"/>
          <w:bCs/>
          <w:szCs w:val="24"/>
          <w:lang w:eastAsia="en-AU"/>
        </w:rPr>
        <w:t>licence holder</w:t>
      </w:r>
      <w:r w:rsidR="002275A0">
        <w:rPr>
          <w:rFonts w:cs="Times New Roman"/>
          <w:bCs/>
          <w:szCs w:val="24"/>
          <w:lang w:eastAsia="en-AU"/>
        </w:rPr>
        <w:t xml:space="preserve"> at the time of the site visit</w:t>
      </w:r>
      <w:r>
        <w:rPr>
          <w:rFonts w:cs="Times New Roman"/>
          <w:bCs/>
          <w:szCs w:val="24"/>
          <w:lang w:eastAsia="en-AU"/>
        </w:rPr>
        <w:t xml:space="preserve">. </w:t>
      </w:r>
      <w:r w:rsidRPr="00A9092B">
        <w:rPr>
          <w:rFonts w:cs="Times New Roman"/>
          <w:bCs/>
          <w:szCs w:val="24"/>
          <w:lang w:eastAsia="en-AU"/>
        </w:rPr>
        <w:t>Frequent site visits improve regulatory</w:t>
      </w:r>
      <w:r>
        <w:rPr>
          <w:rFonts w:cs="Times New Roman"/>
          <w:bCs/>
          <w:szCs w:val="24"/>
          <w:lang w:eastAsia="en-AU"/>
        </w:rPr>
        <w:t xml:space="preserve"> understanding and</w:t>
      </w:r>
      <w:r w:rsidRPr="00A9092B">
        <w:rPr>
          <w:rFonts w:cs="Times New Roman"/>
          <w:bCs/>
          <w:szCs w:val="24"/>
          <w:lang w:eastAsia="en-AU"/>
        </w:rPr>
        <w:t xml:space="preserve"> oversight</w:t>
      </w:r>
      <w:r>
        <w:rPr>
          <w:rFonts w:cs="Times New Roman"/>
          <w:bCs/>
          <w:szCs w:val="24"/>
          <w:lang w:eastAsia="en-AU"/>
        </w:rPr>
        <w:t xml:space="preserve"> and</w:t>
      </w:r>
      <w:r w:rsidRPr="00A9092B">
        <w:rPr>
          <w:rFonts w:cs="Times New Roman"/>
          <w:bCs/>
          <w:szCs w:val="24"/>
          <w:lang w:eastAsia="en-AU"/>
        </w:rPr>
        <w:t xml:space="preserve"> increase the visibility of </w:t>
      </w:r>
      <w:r>
        <w:rPr>
          <w:rFonts w:cs="Times New Roman"/>
          <w:bCs/>
          <w:szCs w:val="24"/>
          <w:lang w:eastAsia="en-AU"/>
        </w:rPr>
        <w:t xml:space="preserve">the </w:t>
      </w:r>
      <w:r w:rsidRPr="00A9092B">
        <w:rPr>
          <w:rFonts w:cs="Times New Roman"/>
          <w:bCs/>
          <w:szCs w:val="24"/>
          <w:lang w:eastAsia="en-AU"/>
        </w:rPr>
        <w:t>regulator</w:t>
      </w:r>
      <w:r>
        <w:rPr>
          <w:rFonts w:cs="Times New Roman"/>
          <w:bCs/>
          <w:szCs w:val="24"/>
          <w:lang w:eastAsia="en-AU"/>
        </w:rPr>
        <w:t xml:space="preserve">. They also </w:t>
      </w:r>
      <w:r w:rsidRPr="00A9092B">
        <w:rPr>
          <w:rFonts w:cs="Times New Roman"/>
          <w:bCs/>
          <w:szCs w:val="24"/>
          <w:lang w:eastAsia="en-AU"/>
        </w:rPr>
        <w:t>contribute to minimising the incidence of potential non-compliances through enhanced communication</w:t>
      </w:r>
      <w:r>
        <w:rPr>
          <w:rFonts w:cs="Times New Roman"/>
          <w:bCs/>
          <w:szCs w:val="24"/>
          <w:lang w:eastAsia="en-AU"/>
        </w:rPr>
        <w:t xml:space="preserve"> of regulatory requirements and experience</w:t>
      </w:r>
      <w:r w:rsidRPr="00A9092B">
        <w:rPr>
          <w:rFonts w:cs="Times New Roman"/>
          <w:bCs/>
          <w:szCs w:val="24"/>
          <w:lang w:eastAsia="en-AU"/>
        </w:rPr>
        <w:t>.</w:t>
      </w:r>
    </w:p>
    <w:p w14:paraId="37A0C2B1" w14:textId="77777777" w:rsidR="00172661" w:rsidRPr="0013090A" w:rsidRDefault="002D13FF" w:rsidP="00172661">
      <w:pPr>
        <w:pStyle w:val="Heading3"/>
        <w:keepLines w:val="0"/>
        <w:spacing w:before="200" w:after="120" w:line="240" w:lineRule="auto"/>
        <w:jc w:val="both"/>
        <w:rPr>
          <w:lang w:eastAsia="en-AU"/>
        </w:rPr>
      </w:pPr>
      <w:bookmarkStart w:id="28" w:name="_Toc470173152"/>
      <w:r>
        <w:rPr>
          <w:lang w:eastAsia="en-AU"/>
        </w:rPr>
        <w:t>Approved evidence metrics for</w:t>
      </w:r>
      <w:r w:rsidR="00172661" w:rsidRPr="00A9092B">
        <w:rPr>
          <w:lang w:eastAsia="en-AU"/>
        </w:rPr>
        <w:t xml:space="preserve"> KPI 3</w:t>
      </w:r>
      <w:bookmarkEnd w:id="28"/>
    </w:p>
    <w:tbl>
      <w:tblPr>
        <w:tblStyle w:val="TableGrid"/>
        <w:tblW w:w="9747" w:type="dxa"/>
        <w:tblLook w:val="04A0" w:firstRow="1" w:lastRow="0" w:firstColumn="1" w:lastColumn="0" w:noHBand="0" w:noVBand="1"/>
        <w:tblDescription w:val="Chapter 2.3.2 table contains a list of evidence metrics against Key Performance Indicator (KPI) 3.  This table contains 3 heading columns 1. Indicators, 2. Evidence and 3. Comment. "/>
      </w:tblPr>
      <w:tblGrid>
        <w:gridCol w:w="2802"/>
        <w:gridCol w:w="2835"/>
        <w:gridCol w:w="4110"/>
      </w:tblGrid>
      <w:tr w:rsidR="005B3FB2" w:rsidRPr="005B3FB2" w14:paraId="1E02BA9A" w14:textId="77777777" w:rsidTr="005B3FB2">
        <w:trPr>
          <w:cantSplit/>
          <w:tblHeader/>
        </w:trPr>
        <w:tc>
          <w:tcPr>
            <w:tcW w:w="2802" w:type="dxa"/>
            <w:shd w:val="clear" w:color="auto" w:fill="4E1A74" w:themeFill="text2"/>
            <w:vAlign w:val="center"/>
          </w:tcPr>
          <w:p w14:paraId="2D59C709" w14:textId="77777777" w:rsidR="00172661" w:rsidRPr="005B3FB2" w:rsidRDefault="00172661" w:rsidP="005B3FB2">
            <w:pPr>
              <w:pStyle w:val="Tableheading"/>
              <w:jc w:val="center"/>
              <w:rPr>
                <w:rFonts w:asciiTheme="minorHAnsi" w:hAnsiTheme="minorHAnsi" w:cstheme="minorHAnsi"/>
                <w:color w:val="FFFFFF" w:themeColor="background1"/>
                <w:sz w:val="22"/>
                <w:szCs w:val="22"/>
              </w:rPr>
            </w:pPr>
            <w:r w:rsidRPr="005B3FB2">
              <w:rPr>
                <w:rFonts w:asciiTheme="minorHAnsi" w:hAnsiTheme="minorHAnsi" w:cstheme="minorHAnsi"/>
                <w:color w:val="FFFFFF" w:themeColor="background1"/>
                <w:sz w:val="22"/>
                <w:szCs w:val="22"/>
              </w:rPr>
              <w:t>Indicator</w:t>
            </w:r>
          </w:p>
        </w:tc>
        <w:tc>
          <w:tcPr>
            <w:tcW w:w="2835" w:type="dxa"/>
            <w:shd w:val="clear" w:color="auto" w:fill="4E1A74" w:themeFill="text2"/>
            <w:vAlign w:val="center"/>
          </w:tcPr>
          <w:p w14:paraId="683569BA" w14:textId="77777777" w:rsidR="00172661" w:rsidRPr="005B3FB2" w:rsidRDefault="00172661" w:rsidP="005B3FB2">
            <w:pPr>
              <w:pStyle w:val="Tableheading"/>
              <w:jc w:val="center"/>
              <w:rPr>
                <w:rFonts w:asciiTheme="minorHAnsi" w:hAnsiTheme="minorHAnsi" w:cstheme="minorHAnsi"/>
                <w:color w:val="FFFFFF" w:themeColor="background1"/>
                <w:sz w:val="22"/>
                <w:szCs w:val="22"/>
              </w:rPr>
            </w:pPr>
            <w:r w:rsidRPr="005B3FB2">
              <w:rPr>
                <w:rFonts w:asciiTheme="minorHAnsi" w:hAnsiTheme="minorHAnsi" w:cstheme="minorHAnsi"/>
                <w:color w:val="FFFFFF" w:themeColor="background1"/>
                <w:sz w:val="22"/>
                <w:szCs w:val="22"/>
              </w:rPr>
              <w:t>Evidence</w:t>
            </w:r>
          </w:p>
        </w:tc>
        <w:tc>
          <w:tcPr>
            <w:tcW w:w="4110" w:type="dxa"/>
            <w:shd w:val="clear" w:color="auto" w:fill="4E1A74" w:themeFill="text2"/>
            <w:vAlign w:val="center"/>
          </w:tcPr>
          <w:p w14:paraId="6425ED05" w14:textId="77777777" w:rsidR="00172661" w:rsidRPr="005B3FB2" w:rsidRDefault="00172661" w:rsidP="005B3FB2">
            <w:pPr>
              <w:pStyle w:val="Tableheading"/>
              <w:jc w:val="center"/>
              <w:rPr>
                <w:rFonts w:asciiTheme="minorHAnsi" w:hAnsiTheme="minorHAnsi" w:cstheme="minorHAnsi"/>
                <w:color w:val="FFFFFF" w:themeColor="background1"/>
                <w:sz w:val="22"/>
                <w:szCs w:val="22"/>
              </w:rPr>
            </w:pPr>
            <w:r w:rsidRPr="005B3FB2">
              <w:rPr>
                <w:rFonts w:asciiTheme="minorHAnsi" w:hAnsiTheme="minorHAnsi" w:cstheme="minorHAnsi"/>
                <w:color w:val="FFFFFF" w:themeColor="background1"/>
                <w:sz w:val="22"/>
                <w:szCs w:val="22"/>
              </w:rPr>
              <w:t>Comment</w:t>
            </w:r>
          </w:p>
        </w:tc>
      </w:tr>
      <w:tr w:rsidR="00172661" w:rsidRPr="00C15611" w14:paraId="31966E9F" w14:textId="77777777" w:rsidTr="00172661">
        <w:trPr>
          <w:trHeight w:val="2623"/>
        </w:trPr>
        <w:tc>
          <w:tcPr>
            <w:tcW w:w="2802" w:type="dxa"/>
          </w:tcPr>
          <w:p w14:paraId="69BD5AFE" w14:textId="77777777" w:rsidR="00172661" w:rsidRPr="00C15611" w:rsidRDefault="00172661" w:rsidP="00981C87">
            <w:pPr>
              <w:pStyle w:val="Tabletext"/>
              <w:jc w:val="left"/>
            </w:pPr>
            <w:r w:rsidRPr="00C15611">
              <w:t xml:space="preserve">PI 3.1 – Ratio of </w:t>
            </w:r>
            <w:r w:rsidR="00D5048C">
              <w:t>areas for improvement</w:t>
            </w:r>
            <w:r w:rsidRPr="00C15611">
              <w:t xml:space="preserve"> to non-compliances during inspections (graded approach)</w:t>
            </w:r>
            <w:r>
              <w:t>.</w:t>
            </w:r>
          </w:p>
        </w:tc>
        <w:tc>
          <w:tcPr>
            <w:tcW w:w="2835" w:type="dxa"/>
          </w:tcPr>
          <w:p w14:paraId="2934A7D7" w14:textId="77777777" w:rsidR="00EB4F1B" w:rsidRDefault="004A5DAA" w:rsidP="00541756">
            <w:pPr>
              <w:pStyle w:val="Tabletext"/>
              <w:jc w:val="left"/>
            </w:pPr>
            <w:r>
              <w:rPr>
                <w:noProof/>
                <w:lang w:eastAsia="en-AU"/>
              </w:rPr>
              <w:drawing>
                <wp:inline distT="0" distB="0" distL="0" distR="0" wp14:anchorId="5B9484B5" wp14:editId="6BB40844">
                  <wp:extent cx="252000" cy="25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b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14:paraId="2058B331" w14:textId="29BBEB0A" w:rsidR="00172661" w:rsidRPr="00167AA9" w:rsidRDefault="00207D88" w:rsidP="00541756">
            <w:pPr>
              <w:pStyle w:val="Tabletext"/>
              <w:jc w:val="left"/>
            </w:pPr>
            <w:r>
              <w:t>16</w:t>
            </w:r>
            <w:r w:rsidR="00172661" w:rsidRPr="00C15611">
              <w:t xml:space="preserve"> </w:t>
            </w:r>
            <w:r w:rsidR="00D5048C">
              <w:t>areas for improvement</w:t>
            </w:r>
            <w:r w:rsidR="00172661" w:rsidRPr="00C15611">
              <w:t xml:space="preserve"> to each </w:t>
            </w:r>
            <w:r>
              <w:t xml:space="preserve">potential </w:t>
            </w:r>
            <w:r w:rsidR="00172661" w:rsidRPr="00C15611">
              <w:t>non-comp</w:t>
            </w:r>
            <w:r w:rsidR="00172661">
              <w:t>liance – target (</w:t>
            </w:r>
            <w:r w:rsidR="00A04656">
              <w:t>2</w:t>
            </w:r>
            <w:r w:rsidR="00172661">
              <w:t xml:space="preserve">5:1) </w:t>
            </w:r>
            <w:r w:rsidR="006C24DF" w:rsidRPr="00C15611">
              <w:t xml:space="preserve">not </w:t>
            </w:r>
            <w:r w:rsidR="002E31C9">
              <w:t>met</w:t>
            </w:r>
            <w:r w:rsidR="00172661">
              <w:t>.</w:t>
            </w:r>
          </w:p>
        </w:tc>
        <w:tc>
          <w:tcPr>
            <w:tcW w:w="4110" w:type="dxa"/>
          </w:tcPr>
          <w:p w14:paraId="05DF2E61" w14:textId="77777777" w:rsidR="00172661" w:rsidRPr="00C15611" w:rsidRDefault="00172661" w:rsidP="00172661">
            <w:pPr>
              <w:pStyle w:val="Tabletext"/>
              <w:numPr>
                <w:ilvl w:val="0"/>
                <w:numId w:val="29"/>
              </w:numPr>
              <w:spacing w:before="0" w:after="0"/>
              <w:ind w:left="303"/>
              <w:jc w:val="left"/>
              <w:rPr>
                <w:bCs/>
                <w:lang w:eastAsia="en-AU"/>
              </w:rPr>
            </w:pPr>
            <w:r w:rsidRPr="00C15611">
              <w:rPr>
                <w:bCs/>
                <w:lang w:eastAsia="en-AU"/>
              </w:rPr>
              <w:t>16</w:t>
            </w:r>
            <w:r w:rsidR="00207D88">
              <w:rPr>
                <w:bCs/>
                <w:lang w:eastAsia="en-AU"/>
              </w:rPr>
              <w:t>2</w:t>
            </w:r>
            <w:r w:rsidRPr="00C15611">
              <w:rPr>
                <w:bCs/>
                <w:lang w:eastAsia="en-AU"/>
              </w:rPr>
              <w:t xml:space="preserve"> </w:t>
            </w:r>
            <w:r w:rsidR="00207D88">
              <w:rPr>
                <w:bCs/>
                <w:lang w:eastAsia="en-AU"/>
              </w:rPr>
              <w:t xml:space="preserve">Areas for </w:t>
            </w:r>
            <w:r w:rsidR="00A04656">
              <w:rPr>
                <w:bCs/>
                <w:lang w:eastAsia="en-AU"/>
              </w:rPr>
              <w:t xml:space="preserve">Improvement </w:t>
            </w:r>
            <w:r w:rsidR="00A04656" w:rsidRPr="00C15611">
              <w:rPr>
                <w:bCs/>
                <w:lang w:eastAsia="en-AU"/>
              </w:rPr>
              <w:t>(</w:t>
            </w:r>
            <w:r w:rsidR="00207D88">
              <w:rPr>
                <w:bCs/>
                <w:lang w:eastAsia="en-AU"/>
              </w:rPr>
              <w:t>AFI</w:t>
            </w:r>
            <w:r w:rsidRPr="00C15611">
              <w:rPr>
                <w:bCs/>
                <w:lang w:eastAsia="en-AU"/>
              </w:rPr>
              <w:t xml:space="preserve">s) &amp; </w:t>
            </w:r>
            <w:r w:rsidR="00207D88">
              <w:rPr>
                <w:bCs/>
                <w:lang w:eastAsia="en-AU"/>
              </w:rPr>
              <w:t>10</w:t>
            </w:r>
            <w:r w:rsidRPr="00C15611">
              <w:rPr>
                <w:bCs/>
                <w:lang w:eastAsia="en-AU"/>
              </w:rPr>
              <w:t xml:space="preserve"> potential non-compliances (NCs).</w:t>
            </w:r>
          </w:p>
          <w:p w14:paraId="5E02EEF7" w14:textId="77777777" w:rsidR="00172661" w:rsidRPr="00207D88" w:rsidRDefault="00FD12AD" w:rsidP="00207D88">
            <w:pPr>
              <w:pStyle w:val="Tabletext"/>
              <w:numPr>
                <w:ilvl w:val="0"/>
                <w:numId w:val="29"/>
              </w:numPr>
              <w:spacing w:before="0" w:after="0"/>
              <w:ind w:left="303"/>
              <w:jc w:val="left"/>
              <w:rPr>
                <w:bCs/>
                <w:lang w:eastAsia="en-AU"/>
              </w:rPr>
            </w:pPr>
            <w:r>
              <w:rPr>
                <w:bCs/>
                <w:lang w:eastAsia="en-AU"/>
              </w:rPr>
              <w:t>From 1 July 2017</w:t>
            </w:r>
            <w:r w:rsidR="00556B89">
              <w:rPr>
                <w:bCs/>
                <w:lang w:eastAsia="en-AU"/>
              </w:rPr>
              <w:t>,</w:t>
            </w:r>
            <w:r>
              <w:rPr>
                <w:bCs/>
                <w:lang w:eastAsia="en-AU"/>
              </w:rPr>
              <w:t xml:space="preserve"> this indicator is replaced </w:t>
            </w:r>
            <w:r w:rsidR="00556B89">
              <w:rPr>
                <w:bCs/>
                <w:lang w:eastAsia="en-AU"/>
              </w:rPr>
              <w:t xml:space="preserve">with a </w:t>
            </w:r>
            <w:r w:rsidR="006761C9">
              <w:rPr>
                <w:bCs/>
                <w:lang w:eastAsia="en-AU"/>
              </w:rPr>
              <w:t xml:space="preserve">metric to assess that the </w:t>
            </w:r>
            <w:r w:rsidR="00556B89">
              <w:rPr>
                <w:bCs/>
                <w:lang w:eastAsia="en-AU"/>
              </w:rPr>
              <w:t>inspection schedule is risk informed and reviewed annually.</w:t>
            </w:r>
          </w:p>
        </w:tc>
      </w:tr>
      <w:tr w:rsidR="00172661" w:rsidRPr="00C15611" w14:paraId="7EE6980B" w14:textId="77777777" w:rsidTr="001D04B0">
        <w:trPr>
          <w:trHeight w:val="2623"/>
        </w:trPr>
        <w:tc>
          <w:tcPr>
            <w:tcW w:w="2802" w:type="dxa"/>
            <w:shd w:val="clear" w:color="auto" w:fill="F4EBFB"/>
          </w:tcPr>
          <w:p w14:paraId="731E8B05" w14:textId="77777777" w:rsidR="00172661" w:rsidRPr="00C15611" w:rsidRDefault="00172661" w:rsidP="00541756">
            <w:pPr>
              <w:pStyle w:val="Tabletext"/>
              <w:jc w:val="left"/>
            </w:pPr>
            <w:r w:rsidRPr="00C15611">
              <w:lastRenderedPageBreak/>
              <w:t>PI 3.2 – Ratio of site visits (monitoring) to inspections at licensed facilities (performance monitoring)</w:t>
            </w:r>
            <w:r>
              <w:t>.</w:t>
            </w:r>
          </w:p>
        </w:tc>
        <w:tc>
          <w:tcPr>
            <w:tcW w:w="2835" w:type="dxa"/>
            <w:shd w:val="clear" w:color="auto" w:fill="F4EBFB"/>
          </w:tcPr>
          <w:p w14:paraId="3860DBCD" w14:textId="77777777" w:rsidR="00EB4F1B" w:rsidRDefault="004A5DAA" w:rsidP="00541756">
            <w:pPr>
              <w:pStyle w:val="Tabletext"/>
              <w:jc w:val="left"/>
            </w:pPr>
            <w:r>
              <w:rPr>
                <w:noProof/>
                <w:lang w:eastAsia="en-AU"/>
              </w:rPr>
              <w:drawing>
                <wp:inline distT="0" distB="0" distL="0" distR="0" wp14:anchorId="1E958021" wp14:editId="68614216">
                  <wp:extent cx="252000" cy="252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b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14:paraId="75C84708" w14:textId="099F1E7A" w:rsidR="00172661" w:rsidRPr="00C15611" w:rsidRDefault="00172661" w:rsidP="00541756">
            <w:pPr>
              <w:pStyle w:val="Tabletext"/>
              <w:jc w:val="left"/>
              <w:rPr>
                <w:color w:val="0070C0"/>
              </w:rPr>
            </w:pPr>
            <w:bookmarkStart w:id="29" w:name="_GoBack"/>
            <w:bookmarkEnd w:id="29"/>
            <w:r w:rsidRPr="00C15611">
              <w:t>3 site visits per inspections at licensed facilities – target (</w:t>
            </w:r>
            <w:r w:rsidR="00437806">
              <w:t>4</w:t>
            </w:r>
            <w:r w:rsidRPr="00C15611">
              <w:t>:1) not met.</w:t>
            </w:r>
          </w:p>
        </w:tc>
        <w:tc>
          <w:tcPr>
            <w:tcW w:w="4110" w:type="dxa"/>
            <w:shd w:val="clear" w:color="auto" w:fill="F4EBFB"/>
          </w:tcPr>
          <w:p w14:paraId="1F5A06CD" w14:textId="77777777" w:rsidR="00172661" w:rsidRPr="00C15611" w:rsidRDefault="00556B89" w:rsidP="00172661">
            <w:pPr>
              <w:pStyle w:val="Tabletext"/>
              <w:numPr>
                <w:ilvl w:val="0"/>
                <w:numId w:val="29"/>
              </w:numPr>
              <w:spacing w:before="0" w:after="0"/>
              <w:ind w:left="303"/>
              <w:jc w:val="left"/>
              <w:rPr>
                <w:bCs/>
                <w:lang w:eastAsia="en-AU"/>
              </w:rPr>
            </w:pPr>
            <w:r>
              <w:rPr>
                <w:bCs/>
                <w:lang w:eastAsia="en-AU"/>
              </w:rPr>
              <w:t>60</w:t>
            </w:r>
            <w:r w:rsidRPr="00C15611">
              <w:rPr>
                <w:bCs/>
                <w:lang w:eastAsia="en-AU"/>
              </w:rPr>
              <w:t xml:space="preserve"> </w:t>
            </w:r>
            <w:r w:rsidR="00172661" w:rsidRPr="00C15611">
              <w:rPr>
                <w:bCs/>
                <w:lang w:eastAsia="en-AU"/>
              </w:rPr>
              <w:t xml:space="preserve">site visits &amp; </w:t>
            </w:r>
            <w:r>
              <w:rPr>
                <w:bCs/>
                <w:lang w:eastAsia="en-AU"/>
              </w:rPr>
              <w:t>2</w:t>
            </w:r>
            <w:r w:rsidRPr="00C15611">
              <w:rPr>
                <w:bCs/>
                <w:lang w:eastAsia="en-AU"/>
              </w:rPr>
              <w:t xml:space="preserve">0 </w:t>
            </w:r>
            <w:r w:rsidR="00172661" w:rsidRPr="00C15611">
              <w:rPr>
                <w:bCs/>
                <w:lang w:eastAsia="en-AU"/>
              </w:rPr>
              <w:t>inspections of licensed facilities.</w:t>
            </w:r>
          </w:p>
          <w:p w14:paraId="5BC3BAEA" w14:textId="160C333F" w:rsidR="00172661" w:rsidRPr="00207D88" w:rsidRDefault="006761C9" w:rsidP="00207D88">
            <w:pPr>
              <w:pStyle w:val="Tabletext"/>
              <w:numPr>
                <w:ilvl w:val="0"/>
                <w:numId w:val="29"/>
              </w:numPr>
              <w:spacing w:before="0" w:after="0"/>
              <w:ind w:left="303"/>
              <w:jc w:val="left"/>
              <w:rPr>
                <w:bCs/>
                <w:lang w:eastAsia="en-AU"/>
              </w:rPr>
            </w:pPr>
            <w:r>
              <w:rPr>
                <w:bCs/>
                <w:lang w:eastAsia="en-AU"/>
              </w:rPr>
              <w:t>From 1 July 2017, this indicator is replaced with a metric to assess that the regulatory response is graded and proportionate</w:t>
            </w:r>
            <w:r w:rsidR="000D0687">
              <w:rPr>
                <w:bCs/>
                <w:lang w:eastAsia="en-AU"/>
              </w:rPr>
              <w:t>.</w:t>
            </w:r>
          </w:p>
        </w:tc>
      </w:tr>
    </w:tbl>
    <w:p w14:paraId="6F63D38E" w14:textId="77777777" w:rsidR="002D13FF" w:rsidRPr="0013090A" w:rsidRDefault="002D13FF" w:rsidP="00E3684B">
      <w:pPr>
        <w:pStyle w:val="Heading3"/>
        <w:rPr>
          <w:lang w:eastAsia="en-AU"/>
        </w:rPr>
      </w:pPr>
      <w:r>
        <w:rPr>
          <w:lang w:eastAsia="en-AU"/>
        </w:rPr>
        <w:t>Other evidence to indicate compliance with</w:t>
      </w:r>
      <w:r w:rsidRPr="00A9092B">
        <w:rPr>
          <w:lang w:eastAsia="en-AU"/>
        </w:rPr>
        <w:t xml:space="preserve"> KPI 3</w:t>
      </w:r>
    </w:p>
    <w:p w14:paraId="63B7EEA3" w14:textId="6F511AC3" w:rsidR="00172661" w:rsidRDefault="00172661" w:rsidP="00172661">
      <w:pPr>
        <w:autoSpaceDE w:val="0"/>
        <w:autoSpaceDN w:val="0"/>
        <w:adjustRightInd w:val="0"/>
        <w:spacing w:after="120"/>
        <w:rPr>
          <w:rFonts w:cs="Times New Roman"/>
          <w:bCs/>
          <w:szCs w:val="24"/>
          <w:lang w:eastAsia="en-AU"/>
        </w:rPr>
      </w:pPr>
      <w:r>
        <w:rPr>
          <w:rFonts w:cs="Times New Roman"/>
          <w:bCs/>
          <w:szCs w:val="24"/>
          <w:lang w:eastAsia="en-AU"/>
        </w:rPr>
        <w:t xml:space="preserve">ARPANSA’s application process requires an applicant to demonstrate their capacity to meet regulatory requirements under the Act and Regulations. ARPANSA strives to avoid direct regulatory intervention wherever </w:t>
      </w:r>
      <w:r w:rsidR="006C24DF">
        <w:rPr>
          <w:rFonts w:cs="Times New Roman"/>
          <w:bCs/>
          <w:szCs w:val="24"/>
          <w:lang w:eastAsia="en-AU"/>
        </w:rPr>
        <w:t xml:space="preserve">it is not </w:t>
      </w:r>
      <w:r w:rsidR="000C30B8">
        <w:rPr>
          <w:rFonts w:cs="Times New Roman"/>
          <w:bCs/>
          <w:szCs w:val="24"/>
          <w:lang w:eastAsia="en-AU"/>
        </w:rPr>
        <w:t xml:space="preserve">necessary. </w:t>
      </w:r>
      <w:r>
        <w:rPr>
          <w:rFonts w:cs="Times New Roman"/>
          <w:bCs/>
          <w:szCs w:val="24"/>
          <w:lang w:eastAsia="en-AU"/>
        </w:rPr>
        <w:t xml:space="preserve">Its policies have effectively emphasised that the prime responsibility to identify and rectify safety or security issues rests with the licence holder. </w:t>
      </w:r>
    </w:p>
    <w:p w14:paraId="224ACD64" w14:textId="2BE379BF" w:rsidR="00172661" w:rsidRDefault="00172661" w:rsidP="00172661">
      <w:pPr>
        <w:autoSpaceDE w:val="0"/>
        <w:autoSpaceDN w:val="0"/>
        <w:adjustRightInd w:val="0"/>
        <w:spacing w:after="120"/>
        <w:rPr>
          <w:rFonts w:cs="Times New Roman"/>
          <w:bCs/>
          <w:szCs w:val="24"/>
          <w:lang w:eastAsia="en-AU"/>
        </w:rPr>
      </w:pPr>
      <w:r>
        <w:rPr>
          <w:rFonts w:cs="Times New Roman"/>
          <w:bCs/>
          <w:szCs w:val="24"/>
          <w:lang w:eastAsia="en-AU"/>
        </w:rPr>
        <w:t xml:space="preserve">ARPANSA promotes </w:t>
      </w:r>
      <w:r w:rsidR="002E31C9">
        <w:rPr>
          <w:rFonts w:cs="Times New Roman"/>
          <w:bCs/>
          <w:szCs w:val="24"/>
          <w:lang w:eastAsia="en-AU"/>
        </w:rPr>
        <w:t>a</w:t>
      </w:r>
      <w:r>
        <w:rPr>
          <w:rFonts w:cs="Times New Roman"/>
          <w:bCs/>
          <w:szCs w:val="24"/>
          <w:lang w:eastAsia="en-AU"/>
        </w:rPr>
        <w:t xml:space="preserve"> </w:t>
      </w:r>
      <w:hyperlink r:id="rId22" w:history="1">
        <w:r w:rsidRPr="00557AC5">
          <w:rPr>
            <w:rStyle w:val="Hyperlink"/>
            <w:rFonts w:cs="Times New Roman"/>
            <w:bCs/>
            <w:szCs w:val="24"/>
            <w:lang w:eastAsia="en-AU"/>
          </w:rPr>
          <w:t>holistic approach to safety</w:t>
        </w:r>
      </w:hyperlink>
      <w:r>
        <w:rPr>
          <w:rFonts w:cs="Times New Roman"/>
          <w:bCs/>
          <w:szCs w:val="24"/>
          <w:lang w:eastAsia="en-AU"/>
        </w:rPr>
        <w:t xml:space="preserve"> that encourages licence holders to consider any human and organisational factors affecting safety of controlled activities</w:t>
      </w:r>
      <w:r w:rsidR="00CE647A">
        <w:rPr>
          <w:rFonts w:cs="Times New Roman"/>
          <w:bCs/>
          <w:szCs w:val="24"/>
          <w:lang w:eastAsia="en-AU"/>
        </w:rPr>
        <w:t xml:space="preserve"> </w:t>
      </w:r>
      <w:r w:rsidR="000C30B8">
        <w:rPr>
          <w:rFonts w:cs="Times New Roman"/>
          <w:bCs/>
          <w:szCs w:val="24"/>
          <w:lang w:eastAsia="en-AU"/>
        </w:rPr>
        <w:t>that</w:t>
      </w:r>
      <w:r w:rsidR="00CE647A">
        <w:rPr>
          <w:rFonts w:cs="Times New Roman"/>
          <w:bCs/>
          <w:szCs w:val="24"/>
          <w:lang w:eastAsia="en-AU"/>
        </w:rPr>
        <w:t xml:space="preserve"> are underlying causes of accidents</w:t>
      </w:r>
      <w:r>
        <w:rPr>
          <w:rFonts w:cs="Times New Roman"/>
          <w:bCs/>
          <w:szCs w:val="24"/>
          <w:lang w:eastAsia="en-AU"/>
        </w:rPr>
        <w:t xml:space="preserve">. A licence holder is expected to improve systems and processes beyond an immediate </w:t>
      </w:r>
      <w:r>
        <w:rPr>
          <w:rFonts w:cs="Times New Roman"/>
          <w:bCs/>
          <w:szCs w:val="24"/>
          <w:lang w:eastAsia="en-AU"/>
        </w:rPr>
        <w:lastRenderedPageBreak/>
        <w:t xml:space="preserve">problem, and carefully consider wide ranging issues of safety </w:t>
      </w:r>
      <w:r w:rsidR="002275A0">
        <w:rPr>
          <w:rFonts w:cs="Times New Roman"/>
          <w:bCs/>
          <w:szCs w:val="24"/>
          <w:lang w:eastAsia="en-AU"/>
        </w:rPr>
        <w:t xml:space="preserve">and security </w:t>
      </w:r>
      <w:r>
        <w:rPr>
          <w:rFonts w:cs="Times New Roman"/>
          <w:bCs/>
          <w:szCs w:val="24"/>
          <w:lang w:eastAsia="en-AU"/>
        </w:rPr>
        <w:t xml:space="preserve">culture, human performance and performance improvement. </w:t>
      </w:r>
    </w:p>
    <w:p w14:paraId="2B7E7F08" w14:textId="35A8960A" w:rsidR="00172661" w:rsidRPr="00A9092B" w:rsidRDefault="00172661" w:rsidP="00172661">
      <w:pPr>
        <w:autoSpaceDE w:val="0"/>
        <w:autoSpaceDN w:val="0"/>
        <w:adjustRightInd w:val="0"/>
        <w:spacing w:after="120"/>
        <w:rPr>
          <w:rFonts w:cs="Times New Roman"/>
          <w:bCs/>
          <w:szCs w:val="24"/>
          <w:lang w:eastAsia="en-AU"/>
        </w:rPr>
      </w:pPr>
      <w:r>
        <w:rPr>
          <w:rFonts w:cs="Times New Roman"/>
          <w:bCs/>
          <w:szCs w:val="24"/>
          <w:lang w:eastAsia="en-AU"/>
        </w:rPr>
        <w:t>The</w:t>
      </w:r>
      <w:r w:rsidRPr="00A9092B">
        <w:rPr>
          <w:rFonts w:cs="Times New Roman"/>
          <w:bCs/>
          <w:szCs w:val="24"/>
          <w:lang w:eastAsia="en-AU"/>
        </w:rPr>
        <w:t xml:space="preserve"> risk</w:t>
      </w:r>
      <w:r w:rsidR="00DD1AC7">
        <w:rPr>
          <w:rFonts w:cs="Times New Roman"/>
          <w:bCs/>
          <w:szCs w:val="24"/>
          <w:lang w:eastAsia="en-AU"/>
        </w:rPr>
        <w:t>-</w:t>
      </w:r>
      <w:r w:rsidRPr="00A9092B">
        <w:rPr>
          <w:rFonts w:cs="Times New Roman"/>
          <w:bCs/>
          <w:szCs w:val="24"/>
          <w:lang w:eastAsia="en-AU"/>
        </w:rPr>
        <w:t xml:space="preserve">informed inspection </w:t>
      </w:r>
      <w:r>
        <w:rPr>
          <w:rFonts w:cs="Times New Roman"/>
          <w:bCs/>
          <w:szCs w:val="24"/>
          <w:lang w:eastAsia="en-AU"/>
        </w:rPr>
        <w:t>program</w:t>
      </w:r>
      <w:r w:rsidRPr="00A9092B">
        <w:rPr>
          <w:rFonts w:cs="Times New Roman"/>
          <w:bCs/>
          <w:szCs w:val="24"/>
          <w:lang w:eastAsia="en-AU"/>
        </w:rPr>
        <w:t xml:space="preserve"> is designed </w:t>
      </w:r>
      <w:r>
        <w:rPr>
          <w:rFonts w:cs="Times New Roman"/>
          <w:bCs/>
          <w:szCs w:val="24"/>
          <w:lang w:eastAsia="en-AU"/>
        </w:rPr>
        <w:t xml:space="preserve">to direct regulatory resources to licences presenting the highest risk. </w:t>
      </w:r>
      <w:r>
        <w:t>Inspections are undertaken using PO&amp;Cs as described under KPI 1. The PO&amp;Cs provide a structure for inspections, with a scope and depth proportionate to the risk of the controlled activity, and at an appropriate frequency</w:t>
      </w:r>
      <w:r>
        <w:rPr>
          <w:rFonts w:cs="Times New Roman"/>
          <w:bCs/>
          <w:szCs w:val="24"/>
          <w:lang w:eastAsia="en-AU"/>
        </w:rPr>
        <w:t xml:space="preserve">. </w:t>
      </w:r>
      <w:r w:rsidRPr="00A9092B">
        <w:rPr>
          <w:rFonts w:cs="Times New Roman"/>
          <w:bCs/>
          <w:szCs w:val="24"/>
          <w:lang w:eastAsia="en-AU"/>
        </w:rPr>
        <w:t xml:space="preserve">The </w:t>
      </w:r>
      <w:hyperlink r:id="rId23" w:history="1">
        <w:r w:rsidRPr="00576909">
          <w:rPr>
            <w:rStyle w:val="Hyperlink"/>
            <w:rFonts w:cs="Times New Roman"/>
            <w:bCs/>
            <w:szCs w:val="24"/>
            <w:lang w:eastAsia="en-AU"/>
          </w:rPr>
          <w:t>risk ranking methodology</w:t>
        </w:r>
      </w:hyperlink>
      <w:r w:rsidRPr="00A9092B">
        <w:rPr>
          <w:rFonts w:cs="Times New Roman"/>
          <w:bCs/>
          <w:szCs w:val="24"/>
          <w:lang w:eastAsia="en-AU"/>
        </w:rPr>
        <w:t xml:space="preserve"> used </w:t>
      </w:r>
      <w:r>
        <w:rPr>
          <w:rFonts w:cs="Times New Roman"/>
          <w:bCs/>
          <w:szCs w:val="24"/>
          <w:lang w:eastAsia="en-AU"/>
        </w:rPr>
        <w:t xml:space="preserve">to allocate regulatory resources </w:t>
      </w:r>
      <w:r w:rsidRPr="00A9092B">
        <w:rPr>
          <w:rFonts w:cs="Times New Roman"/>
          <w:bCs/>
          <w:szCs w:val="24"/>
          <w:lang w:eastAsia="en-AU"/>
        </w:rPr>
        <w:t>is available to stakeholders on the ARPANSA website</w:t>
      </w:r>
      <w:r>
        <w:rPr>
          <w:rFonts w:cs="Times New Roman"/>
          <w:bCs/>
          <w:szCs w:val="24"/>
          <w:lang w:eastAsia="en-AU"/>
        </w:rPr>
        <w:t>. Facility r</w:t>
      </w:r>
      <w:r w:rsidRPr="00A9092B">
        <w:rPr>
          <w:rFonts w:cs="Times New Roman"/>
          <w:bCs/>
          <w:szCs w:val="24"/>
          <w:lang w:eastAsia="en-AU"/>
        </w:rPr>
        <w:t>isk ranking</w:t>
      </w:r>
      <w:r>
        <w:rPr>
          <w:rFonts w:cs="Times New Roman"/>
          <w:bCs/>
          <w:szCs w:val="24"/>
          <w:lang w:eastAsia="en-AU"/>
        </w:rPr>
        <w:t xml:space="preserve"> is</w:t>
      </w:r>
      <w:r w:rsidRPr="00A9092B">
        <w:rPr>
          <w:rFonts w:cs="Times New Roman"/>
          <w:bCs/>
          <w:szCs w:val="24"/>
          <w:lang w:eastAsia="en-AU"/>
        </w:rPr>
        <w:t xml:space="preserve"> reviewed annually</w:t>
      </w:r>
      <w:r>
        <w:rPr>
          <w:rFonts w:cs="Times New Roman"/>
          <w:bCs/>
          <w:szCs w:val="24"/>
          <w:lang w:eastAsia="en-AU"/>
        </w:rPr>
        <w:t xml:space="preserve"> and after</w:t>
      </w:r>
      <w:r w:rsidRPr="00A9092B">
        <w:rPr>
          <w:rFonts w:cs="Times New Roman"/>
          <w:bCs/>
          <w:szCs w:val="24"/>
          <w:lang w:eastAsia="en-AU"/>
        </w:rPr>
        <w:t xml:space="preserve"> </w:t>
      </w:r>
      <w:r>
        <w:rPr>
          <w:rFonts w:cs="Times New Roman"/>
          <w:bCs/>
          <w:szCs w:val="24"/>
          <w:lang w:eastAsia="en-AU"/>
        </w:rPr>
        <w:t xml:space="preserve">any significant change or inspection </w:t>
      </w:r>
      <w:r w:rsidRPr="00A9092B">
        <w:rPr>
          <w:rFonts w:cs="Times New Roman"/>
          <w:bCs/>
          <w:szCs w:val="24"/>
          <w:lang w:eastAsia="en-AU"/>
        </w:rPr>
        <w:t xml:space="preserve">finding such as </w:t>
      </w:r>
      <w:r>
        <w:rPr>
          <w:rFonts w:cs="Times New Roman"/>
          <w:bCs/>
          <w:szCs w:val="24"/>
          <w:lang w:eastAsia="en-AU"/>
        </w:rPr>
        <w:t>non</w:t>
      </w:r>
      <w:r w:rsidRPr="00A9092B">
        <w:rPr>
          <w:rFonts w:cs="Times New Roman"/>
          <w:bCs/>
          <w:szCs w:val="24"/>
          <w:lang w:eastAsia="en-AU"/>
        </w:rPr>
        <w:t>-compliance</w:t>
      </w:r>
      <w:r>
        <w:rPr>
          <w:rFonts w:cs="Times New Roman"/>
          <w:bCs/>
          <w:szCs w:val="24"/>
          <w:lang w:eastAsia="en-AU"/>
        </w:rPr>
        <w:t xml:space="preserve">. </w:t>
      </w:r>
      <w:r w:rsidR="00D143FA">
        <w:rPr>
          <w:rFonts w:cs="Times New Roman"/>
          <w:bCs/>
          <w:szCs w:val="24"/>
          <w:lang w:eastAsia="en-AU"/>
        </w:rPr>
        <w:t>During the reporting period, time logged against specific licence holders showed that 78% of time was used on licence holders with a medium to high risk. Policies and guidance on assessing regulatory risks and the effects on inspection schedules are clearly documented and published where appropriate.</w:t>
      </w:r>
    </w:p>
    <w:p w14:paraId="2EDC2914" w14:textId="77777777" w:rsidR="00172661" w:rsidRDefault="00172661" w:rsidP="00172661">
      <w:pPr>
        <w:pStyle w:val="Heading3"/>
        <w:keepLines w:val="0"/>
        <w:spacing w:before="120" w:after="120" w:line="240" w:lineRule="auto"/>
        <w:jc w:val="both"/>
        <w:rPr>
          <w:lang w:eastAsia="en-AU"/>
        </w:rPr>
      </w:pPr>
      <w:bookmarkStart w:id="30" w:name="_Toc470173153"/>
      <w:r w:rsidRPr="00A9092B">
        <w:rPr>
          <w:lang w:eastAsia="en-AU"/>
        </w:rPr>
        <w:lastRenderedPageBreak/>
        <w:t>Analysis of evidence presented</w:t>
      </w:r>
      <w:bookmarkEnd w:id="30"/>
    </w:p>
    <w:p w14:paraId="4F20AF91" w14:textId="4C8D3585" w:rsidR="00172661" w:rsidRPr="00A9092B" w:rsidRDefault="00172661" w:rsidP="00172661">
      <w:pPr>
        <w:autoSpaceDE w:val="0"/>
        <w:autoSpaceDN w:val="0"/>
        <w:adjustRightInd w:val="0"/>
        <w:spacing w:after="120"/>
        <w:rPr>
          <w:rFonts w:cs="Times New Roman"/>
          <w:b/>
          <w:bCs/>
          <w:szCs w:val="24"/>
          <w:lang w:eastAsia="en-AU"/>
        </w:rPr>
      </w:pPr>
      <w:r w:rsidRPr="008077B9">
        <w:rPr>
          <w:szCs w:val="24"/>
        </w:rPr>
        <w:t xml:space="preserve">Overall </w:t>
      </w:r>
      <w:r>
        <w:rPr>
          <w:szCs w:val="24"/>
        </w:rPr>
        <w:t xml:space="preserve">performance against this KPI was assessed as </w:t>
      </w:r>
      <w:r w:rsidR="000C5E33">
        <w:rPr>
          <w:szCs w:val="24"/>
        </w:rPr>
        <w:t xml:space="preserve">very </w:t>
      </w:r>
      <w:r>
        <w:rPr>
          <w:szCs w:val="24"/>
        </w:rPr>
        <w:t xml:space="preserve">good. This is based on evidence that a range of enforcement options are available, and risk assessment and management policies and procedures are in place and available to stakeholders. </w:t>
      </w:r>
      <w:r w:rsidR="00ED73A5">
        <w:rPr>
          <w:szCs w:val="24"/>
        </w:rPr>
        <w:t xml:space="preserve">Licence holders expressed the view that ARPANSA programs are aligned to risk. </w:t>
      </w:r>
      <w:r>
        <w:rPr>
          <w:szCs w:val="24"/>
        </w:rPr>
        <w:t xml:space="preserve">Performance against the </w:t>
      </w:r>
      <w:r w:rsidRPr="008B348F">
        <w:rPr>
          <w:szCs w:val="24"/>
        </w:rPr>
        <w:t>PI</w:t>
      </w:r>
      <w:r>
        <w:rPr>
          <w:szCs w:val="24"/>
        </w:rPr>
        <w:t>s was reasonable, but they are</w:t>
      </w:r>
      <w:r w:rsidR="00447D38">
        <w:rPr>
          <w:szCs w:val="24"/>
        </w:rPr>
        <w:t xml:space="preserve"> not closely aligned with KPI 3. Replacement PIs took effect from 1 July 2017.</w:t>
      </w:r>
      <w:r w:rsidR="00ED73A5">
        <w:rPr>
          <w:szCs w:val="24"/>
        </w:rPr>
        <w:t xml:space="preserve"> </w:t>
      </w:r>
    </w:p>
    <w:p w14:paraId="33FC3C92" w14:textId="08EC418E" w:rsidR="00172661" w:rsidRPr="00A9092B" w:rsidRDefault="00172661" w:rsidP="00172661">
      <w:pPr>
        <w:spacing w:after="120"/>
        <w:rPr>
          <w:szCs w:val="24"/>
        </w:rPr>
      </w:pPr>
      <w:r w:rsidRPr="00A9092B">
        <w:rPr>
          <w:b/>
          <w:szCs w:val="24"/>
        </w:rPr>
        <w:t>PI 3.1</w:t>
      </w:r>
      <w:r w:rsidRPr="00A9092B">
        <w:rPr>
          <w:szCs w:val="24"/>
        </w:rPr>
        <w:t xml:space="preserve"> </w:t>
      </w:r>
      <w:r>
        <w:rPr>
          <w:szCs w:val="24"/>
        </w:rPr>
        <w:t>shows</w:t>
      </w:r>
      <w:r w:rsidRPr="00A9092B">
        <w:rPr>
          <w:szCs w:val="24"/>
        </w:rPr>
        <w:t xml:space="preserve"> that </w:t>
      </w:r>
      <w:r>
        <w:rPr>
          <w:szCs w:val="24"/>
        </w:rPr>
        <w:t xml:space="preserve">ARPANSA applies a graded </w:t>
      </w:r>
      <w:r w:rsidRPr="00A9092B">
        <w:rPr>
          <w:szCs w:val="24"/>
        </w:rPr>
        <w:t xml:space="preserve">approach </w:t>
      </w:r>
      <w:r>
        <w:rPr>
          <w:szCs w:val="24"/>
        </w:rPr>
        <w:t>to regulatory intervention. Formal</w:t>
      </w:r>
      <w:r w:rsidRPr="00A9092B">
        <w:rPr>
          <w:szCs w:val="24"/>
        </w:rPr>
        <w:t xml:space="preserve"> enforcement action will only be initiated </w:t>
      </w:r>
      <w:r w:rsidR="002E31C9">
        <w:rPr>
          <w:szCs w:val="24"/>
        </w:rPr>
        <w:t>where there is, or is likely to be, a</w:t>
      </w:r>
      <w:r w:rsidRPr="00A9092B">
        <w:rPr>
          <w:szCs w:val="24"/>
        </w:rPr>
        <w:t xml:space="preserve"> non-compliance</w:t>
      </w:r>
      <w:r>
        <w:rPr>
          <w:szCs w:val="24"/>
        </w:rPr>
        <w:t xml:space="preserve"> </w:t>
      </w:r>
      <w:r w:rsidR="002E31C9">
        <w:rPr>
          <w:szCs w:val="24"/>
        </w:rPr>
        <w:t xml:space="preserve">of </w:t>
      </w:r>
      <w:r w:rsidR="006C24DF">
        <w:rPr>
          <w:szCs w:val="24"/>
        </w:rPr>
        <w:t xml:space="preserve">a high safety significance or </w:t>
      </w:r>
      <w:r>
        <w:rPr>
          <w:szCs w:val="24"/>
        </w:rPr>
        <w:t>the licence holder fails to solve its own problems</w:t>
      </w:r>
      <w:r w:rsidRPr="00A9092B">
        <w:rPr>
          <w:szCs w:val="24"/>
        </w:rPr>
        <w:t xml:space="preserve">. This is </w:t>
      </w:r>
      <w:r>
        <w:rPr>
          <w:szCs w:val="24"/>
        </w:rPr>
        <w:t xml:space="preserve">an effective approach </w:t>
      </w:r>
      <w:r w:rsidR="00D143FA">
        <w:rPr>
          <w:szCs w:val="24"/>
        </w:rPr>
        <w:t>that</w:t>
      </w:r>
      <w:r>
        <w:rPr>
          <w:szCs w:val="24"/>
        </w:rPr>
        <w:t xml:space="preserve"> helps to avoid direct interference in the operations of a licence holder. </w:t>
      </w:r>
      <w:r w:rsidRPr="00A9092B">
        <w:rPr>
          <w:szCs w:val="24"/>
        </w:rPr>
        <w:t xml:space="preserve">It indicates that </w:t>
      </w:r>
      <w:r>
        <w:rPr>
          <w:szCs w:val="24"/>
        </w:rPr>
        <w:t>ARPANSA</w:t>
      </w:r>
      <w:r w:rsidRPr="00A9092B">
        <w:rPr>
          <w:szCs w:val="24"/>
        </w:rPr>
        <w:t xml:space="preserve"> is mindful of the need to be proportionate and predic</w:t>
      </w:r>
      <w:r>
        <w:rPr>
          <w:szCs w:val="24"/>
        </w:rPr>
        <w:t>t</w:t>
      </w:r>
      <w:r w:rsidRPr="00A9092B">
        <w:rPr>
          <w:szCs w:val="24"/>
        </w:rPr>
        <w:t>able in the</w:t>
      </w:r>
      <w:r>
        <w:rPr>
          <w:szCs w:val="24"/>
        </w:rPr>
        <w:t>ir</w:t>
      </w:r>
      <w:r w:rsidRPr="00A9092B">
        <w:rPr>
          <w:szCs w:val="24"/>
        </w:rPr>
        <w:t xml:space="preserve"> regulatory </w:t>
      </w:r>
      <w:r>
        <w:rPr>
          <w:szCs w:val="24"/>
        </w:rPr>
        <w:t>response</w:t>
      </w:r>
      <w:r w:rsidRPr="00A9092B">
        <w:rPr>
          <w:szCs w:val="24"/>
        </w:rPr>
        <w:t xml:space="preserve">. The measured value for </w:t>
      </w:r>
      <w:r>
        <w:rPr>
          <w:szCs w:val="24"/>
        </w:rPr>
        <w:t>this PI was</w:t>
      </w:r>
      <w:r w:rsidRPr="00A9092B">
        <w:rPr>
          <w:szCs w:val="24"/>
        </w:rPr>
        <w:t xml:space="preserve"> </w:t>
      </w:r>
      <w:r w:rsidR="00447D38">
        <w:rPr>
          <w:szCs w:val="24"/>
        </w:rPr>
        <w:t>16</w:t>
      </w:r>
      <w:r w:rsidRPr="00A9092B">
        <w:rPr>
          <w:szCs w:val="24"/>
        </w:rPr>
        <w:t xml:space="preserve">:1 against a target of </w:t>
      </w:r>
      <w:r w:rsidR="006C7AC9">
        <w:rPr>
          <w:szCs w:val="24"/>
        </w:rPr>
        <w:lastRenderedPageBreak/>
        <w:t>2</w:t>
      </w:r>
      <w:r w:rsidRPr="00A9092B">
        <w:rPr>
          <w:szCs w:val="24"/>
        </w:rPr>
        <w:t>5:1.</w:t>
      </w:r>
      <w:r w:rsidR="00447D38">
        <w:rPr>
          <w:szCs w:val="24"/>
        </w:rPr>
        <w:t xml:space="preserve"> The assessment team noted that this was significantly lower than the </w:t>
      </w:r>
      <w:r w:rsidR="007F5E44">
        <w:rPr>
          <w:szCs w:val="24"/>
        </w:rPr>
        <w:t>2015-16</w:t>
      </w:r>
      <w:r w:rsidR="00447D38">
        <w:rPr>
          <w:szCs w:val="24"/>
        </w:rPr>
        <w:t xml:space="preserve"> reporting period and that this appeared to be due to related AFI’s being combined under a single issue. This was seen as a positive i</w:t>
      </w:r>
      <w:r w:rsidR="0050377D">
        <w:rPr>
          <w:szCs w:val="24"/>
        </w:rPr>
        <w:t>mprovement in the way that the Regulatory Delivery M</w:t>
      </w:r>
      <w:r w:rsidR="00447D38">
        <w:rPr>
          <w:szCs w:val="24"/>
        </w:rPr>
        <w:t xml:space="preserve">odel is being implemented as the system matures. </w:t>
      </w:r>
    </w:p>
    <w:p w14:paraId="6EAC8048" w14:textId="0042774B" w:rsidR="00172661" w:rsidRDefault="00447D38" w:rsidP="00172661">
      <w:pPr>
        <w:spacing w:after="120"/>
        <w:rPr>
          <w:szCs w:val="24"/>
        </w:rPr>
      </w:pPr>
      <w:r>
        <w:rPr>
          <w:szCs w:val="24"/>
        </w:rPr>
        <w:t xml:space="preserve">The assessment team noted that the PI </w:t>
      </w:r>
      <w:r w:rsidR="00476464">
        <w:rPr>
          <w:szCs w:val="24"/>
        </w:rPr>
        <w:t xml:space="preserve">was replaced from 1 July 2017 in line with the findings of the </w:t>
      </w:r>
      <w:r w:rsidR="007F5E44">
        <w:rPr>
          <w:szCs w:val="24"/>
        </w:rPr>
        <w:t>2015-16</w:t>
      </w:r>
      <w:r w:rsidR="00476464">
        <w:rPr>
          <w:szCs w:val="24"/>
        </w:rPr>
        <w:t xml:space="preserve"> self-assessment. </w:t>
      </w:r>
    </w:p>
    <w:p w14:paraId="6AC242CA" w14:textId="77777777" w:rsidR="00172661" w:rsidRDefault="00172661" w:rsidP="00172661">
      <w:pPr>
        <w:spacing w:after="120"/>
        <w:rPr>
          <w:szCs w:val="24"/>
        </w:rPr>
      </w:pPr>
      <w:r w:rsidRPr="007D0C92">
        <w:rPr>
          <w:b/>
          <w:szCs w:val="24"/>
        </w:rPr>
        <w:t>PI 3.2</w:t>
      </w:r>
      <w:r w:rsidRPr="007D0C92">
        <w:rPr>
          <w:szCs w:val="24"/>
        </w:rPr>
        <w:t xml:space="preserve"> measures </w:t>
      </w:r>
      <w:r>
        <w:rPr>
          <w:szCs w:val="24"/>
        </w:rPr>
        <w:t xml:space="preserve">the ratio </w:t>
      </w:r>
      <w:r w:rsidRPr="007D0C92">
        <w:rPr>
          <w:szCs w:val="24"/>
        </w:rPr>
        <w:t>o</w:t>
      </w:r>
      <w:r>
        <w:rPr>
          <w:szCs w:val="24"/>
        </w:rPr>
        <w:t>f</w:t>
      </w:r>
      <w:r w:rsidRPr="007D0C92">
        <w:rPr>
          <w:szCs w:val="24"/>
        </w:rPr>
        <w:t xml:space="preserve"> site visits to inspections</w:t>
      </w:r>
      <w:r w:rsidR="00476464">
        <w:rPr>
          <w:szCs w:val="24"/>
        </w:rPr>
        <w:t xml:space="preserve"> at facilities</w:t>
      </w:r>
      <w:r w:rsidRPr="007D0C92">
        <w:rPr>
          <w:szCs w:val="24"/>
        </w:rPr>
        <w:t>. This measure</w:t>
      </w:r>
      <w:r>
        <w:rPr>
          <w:szCs w:val="24"/>
        </w:rPr>
        <w:t xml:space="preserve"> indicates</w:t>
      </w:r>
      <w:r w:rsidRPr="007D0C92">
        <w:rPr>
          <w:szCs w:val="24"/>
        </w:rPr>
        <w:t xml:space="preserve"> the level of involvement</w:t>
      </w:r>
      <w:r>
        <w:rPr>
          <w:szCs w:val="24"/>
        </w:rPr>
        <w:t>, oversight and presence of ARPANSA outside of scheduled inspections.</w:t>
      </w:r>
    </w:p>
    <w:p w14:paraId="39892A4E" w14:textId="77777777" w:rsidR="00172661" w:rsidRPr="00A9092B" w:rsidRDefault="00172661" w:rsidP="00172661">
      <w:pPr>
        <w:spacing w:after="120"/>
        <w:rPr>
          <w:szCs w:val="24"/>
        </w:rPr>
      </w:pPr>
      <w:r w:rsidRPr="00A9092B">
        <w:rPr>
          <w:szCs w:val="24"/>
        </w:rPr>
        <w:t>The 201</w:t>
      </w:r>
      <w:r w:rsidR="00476464">
        <w:rPr>
          <w:szCs w:val="24"/>
        </w:rPr>
        <w:t>6</w:t>
      </w:r>
      <w:r w:rsidRPr="00A9092B">
        <w:rPr>
          <w:szCs w:val="24"/>
        </w:rPr>
        <w:t>/1</w:t>
      </w:r>
      <w:r w:rsidR="00476464">
        <w:rPr>
          <w:szCs w:val="24"/>
        </w:rPr>
        <w:t>7</w:t>
      </w:r>
      <w:r w:rsidRPr="00A9092B">
        <w:rPr>
          <w:szCs w:val="24"/>
        </w:rPr>
        <w:t xml:space="preserve"> </w:t>
      </w:r>
      <w:r w:rsidRPr="00697486">
        <w:rPr>
          <w:szCs w:val="24"/>
        </w:rPr>
        <w:t xml:space="preserve">data shows that the target of </w:t>
      </w:r>
      <w:r w:rsidR="00476464">
        <w:rPr>
          <w:szCs w:val="24"/>
        </w:rPr>
        <w:t>four</w:t>
      </w:r>
      <w:r w:rsidRPr="00697486">
        <w:rPr>
          <w:szCs w:val="24"/>
        </w:rPr>
        <w:t xml:space="preserve"> site visits to each inspection was not met for many facilities</w:t>
      </w:r>
      <w:r w:rsidR="00476464">
        <w:rPr>
          <w:szCs w:val="24"/>
        </w:rPr>
        <w:t xml:space="preserve"> despite the target reduction from 5:1 the previous year</w:t>
      </w:r>
      <w:r>
        <w:rPr>
          <w:szCs w:val="24"/>
        </w:rPr>
        <w:t>.</w:t>
      </w:r>
      <w:r w:rsidRPr="00697486">
        <w:rPr>
          <w:szCs w:val="24"/>
        </w:rPr>
        <w:t xml:space="preserve"> </w:t>
      </w:r>
      <w:r w:rsidR="00476464">
        <w:rPr>
          <w:szCs w:val="24"/>
        </w:rPr>
        <w:t xml:space="preserve">The team heard that there was continued mixed feedback from regulatory staff and licence holders as to the value of site visits at the </w:t>
      </w:r>
      <w:r w:rsidR="00476464">
        <w:rPr>
          <w:szCs w:val="24"/>
        </w:rPr>
        <w:lastRenderedPageBreak/>
        <w:t>target rate. The assessment team noted that the PI was replaced from 1 July 2017</w:t>
      </w:r>
      <w:r w:rsidR="00195A52">
        <w:rPr>
          <w:szCs w:val="24"/>
        </w:rPr>
        <w:t>.</w:t>
      </w:r>
      <w:r w:rsidR="00476464">
        <w:rPr>
          <w:szCs w:val="24"/>
        </w:rPr>
        <w:t xml:space="preserve"> </w:t>
      </w:r>
    </w:p>
    <w:p w14:paraId="5E28D3E4" w14:textId="2A594797" w:rsidR="00172661" w:rsidRPr="00BC039C" w:rsidRDefault="00172661" w:rsidP="00172661">
      <w:pPr>
        <w:spacing w:after="120"/>
        <w:rPr>
          <w:szCs w:val="24"/>
        </w:rPr>
      </w:pPr>
      <w:r>
        <w:rPr>
          <w:b/>
          <w:szCs w:val="24"/>
        </w:rPr>
        <w:t xml:space="preserve">Other Evidence </w:t>
      </w:r>
      <w:r w:rsidRPr="00CC0F36">
        <w:rPr>
          <w:szCs w:val="24"/>
        </w:rPr>
        <w:t>supporting KPI</w:t>
      </w:r>
      <w:r>
        <w:rPr>
          <w:szCs w:val="24"/>
        </w:rPr>
        <w:t xml:space="preserve"> </w:t>
      </w:r>
      <w:r w:rsidRPr="00CC0F36">
        <w:rPr>
          <w:szCs w:val="24"/>
        </w:rPr>
        <w:t>3</w:t>
      </w:r>
      <w:r>
        <w:rPr>
          <w:szCs w:val="24"/>
        </w:rPr>
        <w:t xml:space="preserve"> indicates that the Act and supporting policies and procedures have been effective </w:t>
      </w:r>
      <w:r w:rsidR="001C2C6E">
        <w:rPr>
          <w:szCs w:val="24"/>
        </w:rPr>
        <w:t>in</w:t>
      </w:r>
      <w:r>
        <w:rPr>
          <w:szCs w:val="24"/>
        </w:rPr>
        <w:t xml:space="preserve"> emphasis</w:t>
      </w:r>
      <w:r w:rsidR="001C2C6E">
        <w:rPr>
          <w:szCs w:val="24"/>
        </w:rPr>
        <w:t>ing</w:t>
      </w:r>
      <w:r>
        <w:rPr>
          <w:szCs w:val="24"/>
        </w:rPr>
        <w:t xml:space="preserve"> the responsibility of licence holders to rectify their own problems without the need for regulatory intervention. ARPANSA’s approach to </w:t>
      </w:r>
      <w:hyperlink r:id="rId24" w:history="1">
        <w:r w:rsidRPr="00C82B50">
          <w:rPr>
            <w:rStyle w:val="Hyperlink"/>
            <w:szCs w:val="24"/>
          </w:rPr>
          <w:t>holistic safety</w:t>
        </w:r>
      </w:hyperlink>
      <w:r>
        <w:rPr>
          <w:szCs w:val="24"/>
        </w:rPr>
        <w:t xml:space="preserve"> emphasises the importance of safety culture, human performance and performance improvement. Applying this approach may result in improvements made by licence holders having a wider effect than may otherwise be the case.</w:t>
      </w:r>
      <w:r w:rsidRPr="00CC0F36">
        <w:rPr>
          <w:szCs w:val="24"/>
        </w:rPr>
        <w:t xml:space="preserve"> </w:t>
      </w:r>
      <w:r>
        <w:rPr>
          <w:szCs w:val="24"/>
        </w:rPr>
        <w:t xml:space="preserve">ARPANSA has published </w:t>
      </w:r>
      <w:r w:rsidR="000D0687">
        <w:rPr>
          <w:szCs w:val="24"/>
        </w:rPr>
        <w:t>information</w:t>
      </w:r>
      <w:r>
        <w:rPr>
          <w:szCs w:val="24"/>
        </w:rPr>
        <w:t xml:space="preserve"> about its </w:t>
      </w:r>
      <w:hyperlink r:id="rId25" w:history="1">
        <w:r w:rsidRPr="00C82B50">
          <w:rPr>
            <w:rStyle w:val="Hyperlink"/>
            <w:szCs w:val="24"/>
          </w:rPr>
          <w:t>inspection process</w:t>
        </w:r>
      </w:hyperlink>
      <w:r>
        <w:rPr>
          <w:szCs w:val="24"/>
        </w:rPr>
        <w:t xml:space="preserve"> on the website to inform licence holders of </w:t>
      </w:r>
      <w:r w:rsidRPr="00BC039C">
        <w:rPr>
          <w:szCs w:val="24"/>
        </w:rPr>
        <w:t xml:space="preserve">their regulatory responsibilities and </w:t>
      </w:r>
      <w:r w:rsidR="000D0687">
        <w:rPr>
          <w:szCs w:val="24"/>
        </w:rPr>
        <w:t>assist and encourage</w:t>
      </w:r>
      <w:r w:rsidR="000D0687" w:rsidRPr="00BC039C">
        <w:rPr>
          <w:szCs w:val="24"/>
        </w:rPr>
        <w:t xml:space="preserve"> </w:t>
      </w:r>
      <w:r w:rsidRPr="00BC039C">
        <w:rPr>
          <w:szCs w:val="24"/>
        </w:rPr>
        <w:t>them to identify and rectify their own problems.</w:t>
      </w:r>
    </w:p>
    <w:p w14:paraId="5F55BEB3" w14:textId="14023299" w:rsidR="009F68CF" w:rsidRPr="00CC0F36" w:rsidRDefault="009F68CF" w:rsidP="00172661">
      <w:pPr>
        <w:spacing w:after="120"/>
        <w:rPr>
          <w:szCs w:val="24"/>
        </w:rPr>
      </w:pPr>
      <w:r w:rsidRPr="00BC039C">
        <w:rPr>
          <w:szCs w:val="24"/>
        </w:rPr>
        <w:t xml:space="preserve">A potential area of uncertainty is the comparative safety risk between sources and facilities, i.e. does a source having an inspection frequency of </w:t>
      </w:r>
      <w:r w:rsidR="00707271">
        <w:rPr>
          <w:szCs w:val="24"/>
        </w:rPr>
        <w:t xml:space="preserve">once </w:t>
      </w:r>
      <w:r w:rsidRPr="00BC039C">
        <w:rPr>
          <w:szCs w:val="24"/>
        </w:rPr>
        <w:t xml:space="preserve">a year present the same risk as </w:t>
      </w:r>
      <w:r w:rsidRPr="00BC039C">
        <w:rPr>
          <w:szCs w:val="24"/>
        </w:rPr>
        <w:lastRenderedPageBreak/>
        <w:t>a facility having an inspection</w:t>
      </w:r>
      <w:r>
        <w:rPr>
          <w:szCs w:val="24"/>
        </w:rPr>
        <w:t xml:space="preserve"> frequency of </w:t>
      </w:r>
      <w:r w:rsidR="00707271">
        <w:rPr>
          <w:szCs w:val="24"/>
        </w:rPr>
        <w:t xml:space="preserve">once a </w:t>
      </w:r>
      <w:r>
        <w:rPr>
          <w:szCs w:val="24"/>
        </w:rPr>
        <w:t>year</w:t>
      </w:r>
      <w:r w:rsidR="00707271">
        <w:rPr>
          <w:szCs w:val="24"/>
        </w:rPr>
        <w:t xml:space="preserve">? </w:t>
      </w:r>
      <w:r>
        <w:rPr>
          <w:szCs w:val="24"/>
        </w:rPr>
        <w:t xml:space="preserve">It was suggested that this </w:t>
      </w:r>
      <w:r w:rsidR="00D143FA">
        <w:rPr>
          <w:szCs w:val="24"/>
        </w:rPr>
        <w:t>should</w:t>
      </w:r>
      <w:r>
        <w:rPr>
          <w:szCs w:val="24"/>
        </w:rPr>
        <w:t xml:space="preserve"> be an area of research.</w:t>
      </w:r>
    </w:p>
    <w:p w14:paraId="7781AFF1" w14:textId="38BC39D7" w:rsidR="00172661" w:rsidRPr="00A9092B" w:rsidRDefault="00172661" w:rsidP="00172661">
      <w:pPr>
        <w:pStyle w:val="Heading3"/>
        <w:keepLines w:val="0"/>
        <w:spacing w:before="120" w:after="120" w:line="240" w:lineRule="auto"/>
        <w:jc w:val="both"/>
        <w:rPr>
          <w:lang w:eastAsia="en-AU"/>
        </w:rPr>
      </w:pPr>
      <w:bookmarkStart w:id="31" w:name="_Toc470173154"/>
      <w:r>
        <w:rPr>
          <w:lang w:eastAsia="en-AU"/>
        </w:rPr>
        <w:t>Self-</w:t>
      </w:r>
      <w:r w:rsidRPr="00A9092B">
        <w:rPr>
          <w:lang w:eastAsia="en-AU"/>
        </w:rPr>
        <w:t>assessed rating of performance against KPI 3 – 201</w:t>
      </w:r>
      <w:r w:rsidR="00751425">
        <w:rPr>
          <w:lang w:eastAsia="en-AU"/>
        </w:rPr>
        <w:t>6</w:t>
      </w:r>
      <w:r w:rsidRPr="00A9092B">
        <w:rPr>
          <w:lang w:eastAsia="en-AU"/>
        </w:rPr>
        <w:t>-1</w:t>
      </w:r>
      <w:bookmarkEnd w:id="31"/>
      <w:r w:rsidR="00751425">
        <w:rPr>
          <w:lang w:eastAsia="en-AU"/>
        </w:rPr>
        <w:t>7</w:t>
      </w:r>
    </w:p>
    <w:tbl>
      <w:tblPr>
        <w:tblStyle w:val="TableGrid"/>
        <w:tblW w:w="9781" w:type="dxa"/>
        <w:tblInd w:w="108" w:type="dxa"/>
        <w:tblLook w:val="04A0" w:firstRow="1" w:lastRow="0" w:firstColumn="1" w:lastColumn="0" w:noHBand="0" w:noVBand="1"/>
        <w:tblDescription w:val="Chapter 2.3.4 table contains a list of performance ratings against Key Performance Indicator (KPI) 3 of the 2015-16 Regulator Performance Framework. "/>
      </w:tblPr>
      <w:tblGrid>
        <w:gridCol w:w="1560"/>
        <w:gridCol w:w="2976"/>
        <w:gridCol w:w="1843"/>
        <w:gridCol w:w="1701"/>
        <w:gridCol w:w="1701"/>
      </w:tblGrid>
      <w:tr w:rsidR="00172661" w:rsidRPr="00E85C3E" w14:paraId="1AC8F08B" w14:textId="77777777" w:rsidTr="00C823C9">
        <w:trPr>
          <w:trHeight w:val="1783"/>
          <w:tblHeader/>
        </w:trPr>
        <w:tc>
          <w:tcPr>
            <w:tcW w:w="1560" w:type="dxa"/>
          </w:tcPr>
          <w:p w14:paraId="4547A55D" w14:textId="77777777" w:rsidR="00172661" w:rsidRPr="006D47B2" w:rsidRDefault="00172661" w:rsidP="00172661">
            <w:pPr>
              <w:autoSpaceDE w:val="0"/>
              <w:autoSpaceDN w:val="0"/>
              <w:adjustRightInd w:val="0"/>
              <w:spacing w:before="120" w:after="120"/>
              <w:jc w:val="center"/>
              <w:rPr>
                <w:rStyle w:val="Strong"/>
              </w:rPr>
            </w:pPr>
            <w:r w:rsidRPr="006D47B2">
              <w:rPr>
                <w:rStyle w:val="Strong"/>
              </w:rPr>
              <w:t>Excellent</w:t>
            </w:r>
          </w:p>
          <w:p w14:paraId="689FC184" w14:textId="77777777" w:rsidR="00172661" w:rsidRPr="00E85C3E" w:rsidRDefault="00172661" w:rsidP="00172661">
            <w:pPr>
              <w:autoSpaceDE w:val="0"/>
              <w:autoSpaceDN w:val="0"/>
              <w:adjustRightInd w:val="0"/>
              <w:spacing w:before="120" w:after="120"/>
              <w:jc w:val="center"/>
              <w:rPr>
                <w:rFonts w:cs="Times New Roman"/>
                <w:bCs/>
                <w:sz w:val="20"/>
                <w:szCs w:val="20"/>
                <w:lang w:eastAsia="en-AU"/>
              </w:rPr>
            </w:pPr>
            <w:r w:rsidRPr="00E85C3E">
              <w:rPr>
                <w:rFonts w:cs="Times New Roman"/>
                <w:bCs/>
                <w:sz w:val="20"/>
                <w:szCs w:val="20"/>
                <w:lang w:eastAsia="en-AU"/>
              </w:rPr>
              <w:t>Strong performance against all the measures under the KPI</w:t>
            </w:r>
          </w:p>
        </w:tc>
        <w:tc>
          <w:tcPr>
            <w:tcW w:w="2976" w:type="dxa"/>
            <w:shd w:val="clear" w:color="auto" w:fill="C9F0C9" w:themeFill="accent3" w:themeFillTint="33"/>
          </w:tcPr>
          <w:p w14:paraId="53CFD1E6" w14:textId="77777777" w:rsidR="00172661" w:rsidRPr="006D47B2" w:rsidRDefault="00172661" w:rsidP="00172661">
            <w:pPr>
              <w:autoSpaceDE w:val="0"/>
              <w:autoSpaceDN w:val="0"/>
              <w:adjustRightInd w:val="0"/>
              <w:spacing w:before="120" w:after="120"/>
              <w:jc w:val="center"/>
              <w:rPr>
                <w:rStyle w:val="Strong"/>
              </w:rPr>
            </w:pPr>
            <w:r w:rsidRPr="006D47B2">
              <w:rPr>
                <w:rStyle w:val="Strong"/>
              </w:rPr>
              <w:t>Very Good</w:t>
            </w:r>
          </w:p>
          <w:p w14:paraId="66B44270" w14:textId="77777777" w:rsidR="00172661" w:rsidRPr="00E85C3E" w:rsidRDefault="00172661" w:rsidP="00172661">
            <w:pPr>
              <w:autoSpaceDE w:val="0"/>
              <w:autoSpaceDN w:val="0"/>
              <w:adjustRightInd w:val="0"/>
              <w:spacing w:before="120" w:after="120"/>
              <w:jc w:val="center"/>
              <w:rPr>
                <w:rFonts w:cs="Times New Roman"/>
                <w:bCs/>
                <w:sz w:val="20"/>
                <w:szCs w:val="20"/>
                <w:lang w:eastAsia="en-AU"/>
              </w:rPr>
            </w:pPr>
            <w:r w:rsidRPr="00E85C3E">
              <w:rPr>
                <w:rFonts w:cs="Times New Roman"/>
                <w:bCs/>
                <w:sz w:val="20"/>
                <w:szCs w:val="20"/>
                <w:lang w:eastAsia="en-AU"/>
              </w:rPr>
              <w:t>Strong performance against majority of the measures under the KPI and no evidence of negative/poor performance against any measure</w:t>
            </w:r>
          </w:p>
        </w:tc>
        <w:tc>
          <w:tcPr>
            <w:tcW w:w="1843" w:type="dxa"/>
            <w:shd w:val="clear" w:color="auto" w:fill="auto"/>
          </w:tcPr>
          <w:p w14:paraId="2C65B362" w14:textId="77777777" w:rsidR="00172661" w:rsidRPr="006D47B2" w:rsidRDefault="00172661" w:rsidP="00172661">
            <w:pPr>
              <w:autoSpaceDE w:val="0"/>
              <w:autoSpaceDN w:val="0"/>
              <w:adjustRightInd w:val="0"/>
              <w:spacing w:before="120" w:after="120"/>
              <w:jc w:val="center"/>
              <w:rPr>
                <w:rStyle w:val="Strong"/>
              </w:rPr>
            </w:pPr>
            <w:r w:rsidRPr="006D47B2">
              <w:rPr>
                <w:rStyle w:val="Strong"/>
              </w:rPr>
              <w:t>Good</w:t>
            </w:r>
          </w:p>
          <w:p w14:paraId="549F7145" w14:textId="77777777" w:rsidR="00172661" w:rsidRPr="00E85C3E" w:rsidRDefault="00172661" w:rsidP="00172661">
            <w:pPr>
              <w:autoSpaceDE w:val="0"/>
              <w:autoSpaceDN w:val="0"/>
              <w:adjustRightInd w:val="0"/>
              <w:spacing w:before="120" w:after="120"/>
              <w:jc w:val="center"/>
              <w:rPr>
                <w:rFonts w:cs="Times New Roman"/>
                <w:b/>
                <w:bCs/>
                <w:sz w:val="20"/>
                <w:szCs w:val="20"/>
                <w:lang w:eastAsia="en-AU"/>
              </w:rPr>
            </w:pPr>
            <w:r w:rsidRPr="00E85C3E">
              <w:rPr>
                <w:rFonts w:cs="Times New Roman"/>
                <w:bCs/>
                <w:sz w:val="20"/>
                <w:szCs w:val="20"/>
                <w:lang w:eastAsia="en-AU"/>
              </w:rPr>
              <w:t>Average performance against the measures under the KPI</w:t>
            </w:r>
          </w:p>
        </w:tc>
        <w:tc>
          <w:tcPr>
            <w:tcW w:w="1701" w:type="dxa"/>
          </w:tcPr>
          <w:p w14:paraId="03C94687" w14:textId="77777777" w:rsidR="00172661" w:rsidRPr="006D47B2" w:rsidRDefault="00172661" w:rsidP="00172661">
            <w:pPr>
              <w:autoSpaceDE w:val="0"/>
              <w:autoSpaceDN w:val="0"/>
              <w:adjustRightInd w:val="0"/>
              <w:spacing w:before="120" w:after="120"/>
              <w:jc w:val="center"/>
              <w:rPr>
                <w:rStyle w:val="Strong"/>
              </w:rPr>
            </w:pPr>
            <w:r w:rsidRPr="006D47B2">
              <w:rPr>
                <w:rStyle w:val="Strong"/>
              </w:rPr>
              <w:t>Fair</w:t>
            </w:r>
          </w:p>
          <w:p w14:paraId="5BA35014" w14:textId="77777777" w:rsidR="00172661" w:rsidRPr="00E85C3E" w:rsidRDefault="00172661" w:rsidP="00172661">
            <w:pPr>
              <w:autoSpaceDE w:val="0"/>
              <w:autoSpaceDN w:val="0"/>
              <w:adjustRightInd w:val="0"/>
              <w:spacing w:before="120" w:after="120"/>
              <w:jc w:val="center"/>
              <w:rPr>
                <w:rFonts w:cs="Times New Roman"/>
                <w:bCs/>
                <w:sz w:val="20"/>
                <w:szCs w:val="20"/>
                <w:lang w:eastAsia="en-AU"/>
              </w:rPr>
            </w:pPr>
            <w:r w:rsidRPr="00E85C3E">
              <w:rPr>
                <w:rFonts w:cs="Times New Roman"/>
                <w:bCs/>
                <w:sz w:val="20"/>
                <w:szCs w:val="20"/>
                <w:lang w:eastAsia="en-AU"/>
              </w:rPr>
              <w:t>Poor performance against some measures under the KPI</w:t>
            </w:r>
          </w:p>
        </w:tc>
        <w:tc>
          <w:tcPr>
            <w:tcW w:w="1701" w:type="dxa"/>
          </w:tcPr>
          <w:p w14:paraId="23440175" w14:textId="77777777" w:rsidR="00172661" w:rsidRPr="006D47B2" w:rsidRDefault="00172661" w:rsidP="00172661">
            <w:pPr>
              <w:autoSpaceDE w:val="0"/>
              <w:autoSpaceDN w:val="0"/>
              <w:adjustRightInd w:val="0"/>
              <w:spacing w:before="120" w:after="120"/>
              <w:jc w:val="center"/>
              <w:rPr>
                <w:rStyle w:val="Strong"/>
              </w:rPr>
            </w:pPr>
            <w:r w:rsidRPr="006D47B2">
              <w:rPr>
                <w:rStyle w:val="Strong"/>
              </w:rPr>
              <w:t>Poor</w:t>
            </w:r>
          </w:p>
          <w:p w14:paraId="02F8B874" w14:textId="77777777" w:rsidR="00172661" w:rsidRPr="00E85C3E" w:rsidRDefault="00172661" w:rsidP="00172661">
            <w:pPr>
              <w:autoSpaceDE w:val="0"/>
              <w:autoSpaceDN w:val="0"/>
              <w:adjustRightInd w:val="0"/>
              <w:spacing w:before="120" w:after="120"/>
              <w:jc w:val="center"/>
              <w:rPr>
                <w:rFonts w:cs="Times New Roman"/>
                <w:b/>
                <w:bCs/>
                <w:sz w:val="20"/>
                <w:szCs w:val="20"/>
                <w:lang w:eastAsia="en-AU"/>
              </w:rPr>
            </w:pPr>
            <w:r w:rsidRPr="00E85C3E">
              <w:rPr>
                <w:rFonts w:cs="Times New Roman"/>
                <w:bCs/>
                <w:sz w:val="20"/>
                <w:szCs w:val="20"/>
                <w:lang w:eastAsia="en-AU"/>
              </w:rPr>
              <w:t>Poor performance against most of the measures under the KPI</w:t>
            </w:r>
          </w:p>
        </w:tc>
      </w:tr>
    </w:tbl>
    <w:p w14:paraId="7004520B" w14:textId="0154F1A8" w:rsidR="000C5E33" w:rsidRPr="000C5E33" w:rsidRDefault="000C5E33" w:rsidP="000C5E33">
      <w:pPr>
        <w:rPr>
          <w:lang w:eastAsia="en-AU"/>
        </w:rPr>
      </w:pPr>
      <w:bookmarkStart w:id="32" w:name="_Toc470173155"/>
      <w:r>
        <w:rPr>
          <w:lang w:eastAsia="en-AU"/>
        </w:rPr>
        <w:t xml:space="preserve">This rating compares with </w:t>
      </w:r>
      <w:r w:rsidR="00707271">
        <w:rPr>
          <w:lang w:eastAsia="en-AU"/>
        </w:rPr>
        <w:t>‘</w:t>
      </w:r>
      <w:r>
        <w:rPr>
          <w:lang w:eastAsia="en-AU"/>
        </w:rPr>
        <w:t>good</w:t>
      </w:r>
      <w:r w:rsidR="00707271">
        <w:rPr>
          <w:lang w:eastAsia="en-AU"/>
        </w:rPr>
        <w:t>’</w:t>
      </w:r>
      <w:r>
        <w:rPr>
          <w:lang w:eastAsia="en-AU"/>
        </w:rPr>
        <w:t xml:space="preserve"> in the 2015-16 self-assessment report. The team found that there was an effective range of </w:t>
      </w:r>
      <w:r w:rsidR="00EA542B">
        <w:rPr>
          <w:lang w:eastAsia="en-AU"/>
        </w:rPr>
        <w:t>regulatory actions available which are appropriately graded to risk.  Whilst performance against the measures was a little below the target, these alone do not properly measure performance to the KPI and other evidence indicated that a very good rating was warranted.</w:t>
      </w:r>
    </w:p>
    <w:p w14:paraId="29C0B308" w14:textId="77777777" w:rsidR="00172661" w:rsidRPr="00A9092B" w:rsidRDefault="00172661" w:rsidP="00172661">
      <w:pPr>
        <w:pStyle w:val="Heading3"/>
        <w:keepLines w:val="0"/>
        <w:spacing w:before="200" w:after="120" w:line="240" w:lineRule="auto"/>
        <w:jc w:val="both"/>
        <w:rPr>
          <w:lang w:eastAsia="en-AU"/>
        </w:rPr>
      </w:pPr>
      <w:r w:rsidRPr="00A9092B">
        <w:rPr>
          <w:lang w:eastAsia="en-AU"/>
        </w:rPr>
        <w:t>Actions for improving performance against KPI 3</w:t>
      </w:r>
      <w:bookmarkEnd w:id="32"/>
    </w:p>
    <w:p w14:paraId="60A0FCAA" w14:textId="77777777" w:rsidR="00172661" w:rsidRPr="00A9092B" w:rsidRDefault="00172661" w:rsidP="00172661">
      <w:pPr>
        <w:autoSpaceDE w:val="0"/>
        <w:autoSpaceDN w:val="0"/>
        <w:adjustRightInd w:val="0"/>
        <w:spacing w:after="120"/>
        <w:rPr>
          <w:rFonts w:cs="Arial"/>
          <w:szCs w:val="24"/>
        </w:rPr>
      </w:pPr>
      <w:r>
        <w:rPr>
          <w:rFonts w:cs="Arial"/>
          <w:szCs w:val="24"/>
        </w:rPr>
        <w:t xml:space="preserve">The team identified the following </w:t>
      </w:r>
      <w:r w:rsidRPr="00A9092B">
        <w:rPr>
          <w:rFonts w:cs="Arial"/>
          <w:szCs w:val="24"/>
        </w:rPr>
        <w:t xml:space="preserve">AFI </w:t>
      </w:r>
      <w:r>
        <w:rPr>
          <w:rFonts w:cs="Arial"/>
          <w:szCs w:val="24"/>
        </w:rPr>
        <w:t>related to</w:t>
      </w:r>
      <w:r w:rsidRPr="00A9092B">
        <w:rPr>
          <w:rFonts w:cs="Arial"/>
          <w:szCs w:val="24"/>
        </w:rPr>
        <w:t xml:space="preserve"> </w:t>
      </w:r>
      <w:r w:rsidR="009F68CF">
        <w:rPr>
          <w:rFonts w:cs="Arial"/>
          <w:szCs w:val="24"/>
        </w:rPr>
        <w:t>KPI 3</w:t>
      </w:r>
      <w:r w:rsidRPr="00A9092B">
        <w:rPr>
          <w:rFonts w:cs="Arial"/>
          <w:szCs w:val="24"/>
        </w:rPr>
        <w:t>:</w:t>
      </w:r>
    </w:p>
    <w:p w14:paraId="1B09FFE5" w14:textId="5CDDB8A9" w:rsidR="00172661" w:rsidRPr="00D17C73" w:rsidRDefault="009F68CF" w:rsidP="00172661">
      <w:pPr>
        <w:pStyle w:val="ListParagraph"/>
        <w:numPr>
          <w:ilvl w:val="0"/>
          <w:numId w:val="27"/>
        </w:numPr>
        <w:spacing w:before="0" w:after="120" w:line="276" w:lineRule="auto"/>
        <w:ind w:left="714" w:hanging="357"/>
        <w:contextualSpacing/>
        <w:rPr>
          <w:szCs w:val="24"/>
        </w:rPr>
      </w:pPr>
      <w:r>
        <w:rPr>
          <w:szCs w:val="24"/>
        </w:rPr>
        <w:t xml:space="preserve">Comparative safety risks between source and facilities licences is not </w:t>
      </w:r>
      <w:r w:rsidR="001C2C6E">
        <w:rPr>
          <w:szCs w:val="24"/>
        </w:rPr>
        <w:t xml:space="preserve">adequately </w:t>
      </w:r>
      <w:r>
        <w:rPr>
          <w:szCs w:val="24"/>
        </w:rPr>
        <w:t>characterised or moderated</w:t>
      </w:r>
      <w:r w:rsidR="00D143FA">
        <w:rPr>
          <w:szCs w:val="24"/>
        </w:rPr>
        <w:t xml:space="preserve"> and </w:t>
      </w:r>
      <w:r w:rsidR="00D143FA">
        <w:rPr>
          <w:szCs w:val="24"/>
        </w:rPr>
        <w:lastRenderedPageBreak/>
        <w:t xml:space="preserve">needs to be an area of research </w:t>
      </w:r>
      <w:r w:rsidR="00AB2995">
        <w:rPr>
          <w:szCs w:val="24"/>
        </w:rPr>
        <w:t xml:space="preserve">with a view </w:t>
      </w:r>
      <w:r w:rsidR="00D143FA">
        <w:rPr>
          <w:szCs w:val="24"/>
        </w:rPr>
        <w:t>to provid</w:t>
      </w:r>
      <w:r w:rsidR="00AB2995">
        <w:rPr>
          <w:szCs w:val="24"/>
        </w:rPr>
        <w:t xml:space="preserve">ing </w:t>
      </w:r>
      <w:r w:rsidR="00D143FA">
        <w:rPr>
          <w:szCs w:val="24"/>
        </w:rPr>
        <w:t>consistent</w:t>
      </w:r>
      <w:r w:rsidR="008C3DE3">
        <w:rPr>
          <w:szCs w:val="24"/>
        </w:rPr>
        <w:t>ly proportionate</w:t>
      </w:r>
      <w:r w:rsidR="00D143FA">
        <w:rPr>
          <w:szCs w:val="24"/>
        </w:rPr>
        <w:t xml:space="preserve"> level</w:t>
      </w:r>
      <w:r w:rsidR="00723A12">
        <w:rPr>
          <w:szCs w:val="24"/>
        </w:rPr>
        <w:t>s</w:t>
      </w:r>
      <w:r w:rsidR="00D143FA">
        <w:rPr>
          <w:szCs w:val="24"/>
        </w:rPr>
        <w:t xml:space="preserve"> of resources</w:t>
      </w:r>
      <w:r w:rsidR="008C3DE3">
        <w:rPr>
          <w:szCs w:val="24"/>
        </w:rPr>
        <w:t xml:space="preserve"> aligned to risk</w:t>
      </w:r>
      <w:r w:rsidR="00AB2995">
        <w:rPr>
          <w:szCs w:val="24"/>
        </w:rPr>
        <w:t xml:space="preserve"> across both areas</w:t>
      </w:r>
      <w:r>
        <w:rPr>
          <w:szCs w:val="24"/>
        </w:rPr>
        <w:t>.</w:t>
      </w:r>
    </w:p>
    <w:p w14:paraId="69AAAA83" w14:textId="77777777" w:rsidR="00546F70" w:rsidRPr="00A9092B" w:rsidRDefault="00546F70" w:rsidP="00546F70">
      <w:pPr>
        <w:pStyle w:val="Heading2"/>
        <w:rPr>
          <w:lang w:eastAsia="en-AU"/>
        </w:rPr>
      </w:pPr>
      <w:bookmarkStart w:id="33" w:name="_Toc470173156"/>
      <w:bookmarkStart w:id="34" w:name="_Toc492467953"/>
      <w:r w:rsidRPr="00A9092B">
        <w:rPr>
          <w:lang w:eastAsia="en-AU"/>
        </w:rPr>
        <w:t xml:space="preserve">KPI 4 </w:t>
      </w:r>
      <w:r>
        <w:rPr>
          <w:lang w:eastAsia="en-AU"/>
        </w:rPr>
        <w:t>–</w:t>
      </w:r>
      <w:r w:rsidRPr="00A9092B">
        <w:rPr>
          <w:lang w:eastAsia="en-AU"/>
        </w:rPr>
        <w:t xml:space="preserve"> Compliance and monitoring approaches are streamlined and co-ordinated</w:t>
      </w:r>
      <w:bookmarkEnd w:id="33"/>
      <w:bookmarkEnd w:id="34"/>
    </w:p>
    <w:p w14:paraId="535C57E1" w14:textId="77777777" w:rsidR="00EB714D" w:rsidRPr="00A9092B" w:rsidRDefault="00EB714D" w:rsidP="00EB714D">
      <w:pPr>
        <w:pStyle w:val="Heading3"/>
        <w:keepLines w:val="0"/>
        <w:spacing w:before="120" w:after="120" w:line="240" w:lineRule="auto"/>
        <w:jc w:val="both"/>
        <w:rPr>
          <w:lang w:eastAsia="en-AU"/>
        </w:rPr>
      </w:pPr>
      <w:r>
        <w:rPr>
          <w:lang w:eastAsia="en-AU"/>
        </w:rPr>
        <w:t>Overview of</w:t>
      </w:r>
      <w:r w:rsidRPr="00A9092B">
        <w:rPr>
          <w:lang w:eastAsia="en-AU"/>
        </w:rPr>
        <w:t xml:space="preserve"> KPI 4</w:t>
      </w:r>
    </w:p>
    <w:p w14:paraId="18A428FC" w14:textId="335BC3A4" w:rsidR="00546F70" w:rsidRDefault="00546F70" w:rsidP="00546F70">
      <w:pPr>
        <w:autoSpaceDE w:val="0"/>
        <w:autoSpaceDN w:val="0"/>
        <w:adjustRightInd w:val="0"/>
        <w:spacing w:after="120"/>
        <w:rPr>
          <w:rFonts w:cs="Times New Roman"/>
          <w:bCs/>
          <w:szCs w:val="24"/>
          <w:lang w:eastAsia="en-AU"/>
        </w:rPr>
      </w:pPr>
      <w:r>
        <w:rPr>
          <w:rFonts w:cs="Times New Roman"/>
          <w:bCs/>
          <w:szCs w:val="24"/>
          <w:lang w:eastAsia="en-AU"/>
        </w:rPr>
        <w:t>ARPANSA’s compliance monitoring program comprises performance reporting</w:t>
      </w:r>
      <w:r w:rsidR="00707271" w:rsidRPr="00707271">
        <w:rPr>
          <w:rFonts w:cs="Times New Roman"/>
          <w:bCs/>
          <w:szCs w:val="24"/>
          <w:lang w:eastAsia="en-AU"/>
        </w:rPr>
        <w:t xml:space="preserve"> </w:t>
      </w:r>
      <w:r w:rsidR="00707271">
        <w:rPr>
          <w:rFonts w:cs="Times New Roman"/>
          <w:bCs/>
          <w:szCs w:val="24"/>
          <w:lang w:eastAsia="en-AU"/>
        </w:rPr>
        <w:t>by the licence holder</w:t>
      </w:r>
      <w:r>
        <w:rPr>
          <w:rFonts w:cs="Times New Roman"/>
          <w:bCs/>
          <w:szCs w:val="24"/>
          <w:lang w:eastAsia="en-AU"/>
        </w:rPr>
        <w:t xml:space="preserve">, regulatory inspections and a range of communication practices that collectively provide effective regulatory oversight of licence holder compliance. </w:t>
      </w:r>
      <w:r w:rsidRPr="00D81AFE">
        <w:rPr>
          <w:rFonts w:cs="Times New Roman"/>
          <w:bCs/>
          <w:szCs w:val="24"/>
          <w:lang w:eastAsia="en-AU"/>
        </w:rPr>
        <w:t xml:space="preserve">Together, these approaches also enable ARPANSA to assess licence holder performance against international </w:t>
      </w:r>
      <w:r>
        <w:rPr>
          <w:rFonts w:cs="Times New Roman"/>
          <w:bCs/>
          <w:szCs w:val="24"/>
          <w:lang w:eastAsia="en-AU"/>
        </w:rPr>
        <w:t xml:space="preserve">best </w:t>
      </w:r>
      <w:r w:rsidRPr="00D81AFE">
        <w:rPr>
          <w:rFonts w:cs="Times New Roman"/>
          <w:bCs/>
          <w:szCs w:val="24"/>
          <w:lang w:eastAsia="en-AU"/>
        </w:rPr>
        <w:t xml:space="preserve">practice and to justify </w:t>
      </w:r>
      <w:r w:rsidRPr="00D90583">
        <w:rPr>
          <w:rFonts w:cs="Times New Roman"/>
          <w:bCs/>
          <w:szCs w:val="24"/>
          <w:lang w:eastAsia="en-AU"/>
        </w:rPr>
        <w:t>the need for any safety</w:t>
      </w:r>
      <w:r>
        <w:rPr>
          <w:rFonts w:cs="Times New Roman"/>
          <w:bCs/>
          <w:szCs w:val="24"/>
          <w:lang w:eastAsia="en-AU"/>
        </w:rPr>
        <w:t xml:space="preserve"> and security</w:t>
      </w:r>
      <w:r w:rsidRPr="00D90583">
        <w:rPr>
          <w:rFonts w:cs="Times New Roman"/>
          <w:bCs/>
          <w:szCs w:val="24"/>
          <w:lang w:eastAsia="en-AU"/>
        </w:rPr>
        <w:t xml:space="preserve"> improvements identified.</w:t>
      </w:r>
      <w:r w:rsidR="00FF45F5">
        <w:rPr>
          <w:rFonts w:cs="Times New Roman"/>
          <w:bCs/>
          <w:szCs w:val="24"/>
          <w:lang w:eastAsia="en-AU"/>
        </w:rPr>
        <w:t xml:space="preserve"> ARPANSA strives to be </w:t>
      </w:r>
      <w:r w:rsidR="00707271">
        <w:rPr>
          <w:rFonts w:cs="Times New Roman"/>
          <w:bCs/>
          <w:szCs w:val="24"/>
          <w:lang w:eastAsia="en-AU"/>
        </w:rPr>
        <w:t xml:space="preserve">non-intrusive </w:t>
      </w:r>
      <w:r w:rsidR="00FF45F5">
        <w:rPr>
          <w:rFonts w:cs="Times New Roman"/>
          <w:bCs/>
          <w:szCs w:val="24"/>
          <w:lang w:eastAsia="en-AU"/>
        </w:rPr>
        <w:t>in its regulation wherever possible.</w:t>
      </w:r>
    </w:p>
    <w:p w14:paraId="6CC501A5" w14:textId="77777777" w:rsidR="00546F70" w:rsidRDefault="00546F70" w:rsidP="00546F70">
      <w:pPr>
        <w:autoSpaceDE w:val="0"/>
        <w:autoSpaceDN w:val="0"/>
        <w:adjustRightInd w:val="0"/>
        <w:spacing w:after="120"/>
        <w:rPr>
          <w:rFonts w:cs="Times New Roman"/>
          <w:bCs/>
          <w:szCs w:val="24"/>
          <w:lang w:eastAsia="en-AU"/>
        </w:rPr>
      </w:pPr>
      <w:r>
        <w:rPr>
          <w:rFonts w:cs="Times New Roman"/>
          <w:bCs/>
          <w:szCs w:val="24"/>
          <w:lang w:eastAsia="en-AU"/>
        </w:rPr>
        <w:lastRenderedPageBreak/>
        <w:t>Each licence holder must report on its operations to ARPANSA. These reports keep ARPANSA informed of any significant operational matters. The usual interval for reporting is quarterly however this was streamlined in 2013 to annual reporting for low hazard activities</w:t>
      </w:r>
      <w:r w:rsidRPr="00D81AFE">
        <w:rPr>
          <w:rFonts w:cs="Times New Roman"/>
          <w:bCs/>
          <w:szCs w:val="24"/>
          <w:lang w:eastAsia="en-AU"/>
        </w:rPr>
        <w:t>. Reports include any self-identified potential non-compliance; acquisition, transfer or disposal of radiation sources; occurrence of any incidents; any changes that affect the basis on which the licence was issued; and updates on actions associated with inspection outcomes. Reporting is via a simple,</w:t>
      </w:r>
      <w:r>
        <w:rPr>
          <w:rFonts w:cs="Times New Roman"/>
          <w:bCs/>
          <w:szCs w:val="24"/>
          <w:lang w:eastAsia="en-AU"/>
        </w:rPr>
        <w:t xml:space="preserve"> standardised form and is a non-intrusive approach to regulatory oversight.</w:t>
      </w:r>
    </w:p>
    <w:p w14:paraId="5CDCF653" w14:textId="07B08D7C" w:rsidR="00546F70" w:rsidRPr="00A9092B" w:rsidRDefault="00546F70" w:rsidP="00546F70">
      <w:pPr>
        <w:autoSpaceDE w:val="0"/>
        <w:autoSpaceDN w:val="0"/>
        <w:adjustRightInd w:val="0"/>
        <w:spacing w:after="120"/>
        <w:rPr>
          <w:rFonts w:cs="Times New Roman"/>
          <w:bCs/>
          <w:szCs w:val="24"/>
          <w:lang w:eastAsia="en-AU"/>
        </w:rPr>
      </w:pPr>
      <w:r w:rsidRPr="00623D74">
        <w:rPr>
          <w:rFonts w:cs="Times New Roman"/>
          <w:bCs/>
          <w:szCs w:val="24"/>
          <w:lang w:eastAsia="en-AU"/>
        </w:rPr>
        <w:t>ARPANSA</w:t>
      </w:r>
      <w:r>
        <w:rPr>
          <w:rFonts w:cs="Times New Roman"/>
          <w:bCs/>
          <w:szCs w:val="24"/>
          <w:lang w:eastAsia="en-AU"/>
        </w:rPr>
        <w:t xml:space="preserve">’s </w:t>
      </w:r>
      <w:r w:rsidRPr="00623D74">
        <w:rPr>
          <w:rFonts w:cs="Times New Roman"/>
          <w:bCs/>
          <w:szCs w:val="24"/>
          <w:lang w:eastAsia="en-AU"/>
        </w:rPr>
        <w:t xml:space="preserve">inspection </w:t>
      </w:r>
      <w:r>
        <w:rPr>
          <w:rFonts w:cs="Times New Roman"/>
          <w:bCs/>
          <w:szCs w:val="24"/>
          <w:lang w:eastAsia="en-AU"/>
        </w:rPr>
        <w:t>program</w:t>
      </w:r>
      <w:r w:rsidRPr="00623D74">
        <w:rPr>
          <w:rFonts w:cs="Times New Roman"/>
          <w:bCs/>
          <w:szCs w:val="24"/>
          <w:lang w:eastAsia="en-AU"/>
        </w:rPr>
        <w:t xml:space="preserve"> is described under KPI</w:t>
      </w:r>
      <w:r>
        <w:rPr>
          <w:rFonts w:cs="Times New Roman"/>
          <w:bCs/>
          <w:szCs w:val="24"/>
          <w:lang w:eastAsia="en-AU"/>
        </w:rPr>
        <w:t xml:space="preserve"> </w:t>
      </w:r>
      <w:r w:rsidRPr="00623D74">
        <w:rPr>
          <w:rFonts w:cs="Times New Roman"/>
          <w:bCs/>
          <w:szCs w:val="24"/>
          <w:lang w:eastAsia="en-AU"/>
        </w:rPr>
        <w:t>1 and KPI</w:t>
      </w:r>
      <w:r>
        <w:rPr>
          <w:rFonts w:cs="Times New Roman"/>
          <w:bCs/>
          <w:szCs w:val="24"/>
          <w:lang w:eastAsia="en-AU"/>
        </w:rPr>
        <w:t xml:space="preserve"> </w:t>
      </w:r>
      <w:r w:rsidRPr="00623D74">
        <w:rPr>
          <w:rFonts w:cs="Times New Roman"/>
          <w:bCs/>
          <w:szCs w:val="24"/>
          <w:lang w:eastAsia="en-AU"/>
        </w:rPr>
        <w:t xml:space="preserve">3. Facilities </w:t>
      </w:r>
      <w:r w:rsidRPr="0044087B">
        <w:rPr>
          <w:rFonts w:cs="Times New Roman"/>
          <w:bCs/>
          <w:szCs w:val="24"/>
          <w:lang w:eastAsia="en-AU"/>
        </w:rPr>
        <w:t xml:space="preserve">and sources </w:t>
      </w:r>
      <w:r w:rsidRPr="00623D74">
        <w:rPr>
          <w:rFonts w:cs="Times New Roman"/>
          <w:bCs/>
          <w:szCs w:val="24"/>
          <w:lang w:eastAsia="en-AU"/>
        </w:rPr>
        <w:t xml:space="preserve">are inspected against published </w:t>
      </w:r>
      <w:r>
        <w:rPr>
          <w:rStyle w:val="Hyperlink"/>
          <w:rFonts w:cs="Times New Roman"/>
          <w:bCs/>
          <w:szCs w:val="24"/>
          <w:lang w:eastAsia="en-AU"/>
        </w:rPr>
        <w:t>PO&amp;C</w:t>
      </w:r>
      <w:r w:rsidRPr="00623D74">
        <w:rPr>
          <w:rFonts w:cs="Times New Roman"/>
          <w:bCs/>
          <w:szCs w:val="24"/>
          <w:lang w:eastAsia="en-AU"/>
        </w:rPr>
        <w:t xml:space="preserve"> </w:t>
      </w:r>
      <w:r w:rsidR="002C4C19">
        <w:rPr>
          <w:rFonts w:cs="Times New Roman"/>
          <w:bCs/>
          <w:szCs w:val="24"/>
          <w:lang w:eastAsia="en-AU"/>
        </w:rPr>
        <w:t xml:space="preserve">that are designed </w:t>
      </w:r>
      <w:r w:rsidR="00917AAD">
        <w:rPr>
          <w:rFonts w:cs="Times New Roman"/>
          <w:bCs/>
          <w:szCs w:val="24"/>
          <w:lang w:eastAsia="en-AU"/>
        </w:rPr>
        <w:t xml:space="preserve">to </w:t>
      </w:r>
      <w:r w:rsidR="002C4C19">
        <w:rPr>
          <w:rFonts w:cs="Times New Roman"/>
          <w:bCs/>
          <w:szCs w:val="24"/>
          <w:lang w:eastAsia="en-AU"/>
        </w:rPr>
        <w:t xml:space="preserve">deliver a consistent, predicable and transparent inspection service across the entire range of licence holders. PO&amp;Cs are </w:t>
      </w:r>
      <w:r w:rsidRPr="00623D74">
        <w:rPr>
          <w:rFonts w:cs="Times New Roman"/>
          <w:bCs/>
          <w:szCs w:val="24"/>
          <w:lang w:eastAsia="en-AU"/>
        </w:rPr>
        <w:t xml:space="preserve">available to </w:t>
      </w:r>
      <w:r>
        <w:rPr>
          <w:rFonts w:cs="Times New Roman"/>
          <w:bCs/>
          <w:szCs w:val="24"/>
          <w:lang w:eastAsia="en-AU"/>
        </w:rPr>
        <w:t>licence holder</w:t>
      </w:r>
      <w:r w:rsidRPr="00623D74">
        <w:rPr>
          <w:rFonts w:cs="Times New Roman"/>
          <w:bCs/>
          <w:szCs w:val="24"/>
          <w:lang w:eastAsia="en-AU"/>
        </w:rPr>
        <w:t xml:space="preserve">s </w:t>
      </w:r>
      <w:r>
        <w:rPr>
          <w:rFonts w:cs="Times New Roman"/>
          <w:bCs/>
          <w:szCs w:val="24"/>
          <w:lang w:eastAsia="en-AU"/>
        </w:rPr>
        <w:t>on</w:t>
      </w:r>
      <w:r w:rsidRPr="00623D74">
        <w:rPr>
          <w:rFonts w:cs="Times New Roman"/>
          <w:bCs/>
          <w:szCs w:val="24"/>
          <w:lang w:eastAsia="en-AU"/>
        </w:rPr>
        <w:t xml:space="preserve"> the ARPANSA website. </w:t>
      </w:r>
      <w:r w:rsidRPr="00D81AFE">
        <w:rPr>
          <w:rFonts w:cs="Times New Roman"/>
          <w:bCs/>
          <w:szCs w:val="24"/>
          <w:lang w:eastAsia="en-AU"/>
        </w:rPr>
        <w:t>Each PO&amp;C is</w:t>
      </w:r>
      <w:r w:rsidRPr="00623D74">
        <w:rPr>
          <w:rFonts w:cs="Times New Roman"/>
          <w:bCs/>
          <w:szCs w:val="24"/>
          <w:lang w:eastAsia="en-AU"/>
        </w:rPr>
        <w:t xml:space="preserve"> examined at least every three years in the case of facilities and </w:t>
      </w:r>
      <w:r w:rsidR="009F17E7">
        <w:rPr>
          <w:rFonts w:cs="Times New Roman"/>
          <w:bCs/>
          <w:szCs w:val="24"/>
          <w:lang w:eastAsia="en-AU"/>
        </w:rPr>
        <w:t>six</w:t>
      </w:r>
      <w:r w:rsidR="009F17E7" w:rsidRPr="00623D74">
        <w:rPr>
          <w:rFonts w:cs="Times New Roman"/>
          <w:bCs/>
          <w:szCs w:val="24"/>
          <w:lang w:eastAsia="en-AU"/>
        </w:rPr>
        <w:t xml:space="preserve"> </w:t>
      </w:r>
      <w:r w:rsidRPr="00623D74">
        <w:rPr>
          <w:rFonts w:cs="Times New Roman"/>
          <w:bCs/>
          <w:szCs w:val="24"/>
          <w:lang w:eastAsia="en-AU"/>
        </w:rPr>
        <w:t xml:space="preserve">years for sources. </w:t>
      </w:r>
      <w:r w:rsidRPr="00623D74">
        <w:rPr>
          <w:rFonts w:cs="Times New Roman"/>
          <w:bCs/>
          <w:szCs w:val="24"/>
          <w:lang w:eastAsia="en-AU"/>
        </w:rPr>
        <w:lastRenderedPageBreak/>
        <w:t>Higher risk facilities and sources are inspected more frequently. The frequency and depth of each inspection is determined by risk. For example</w:t>
      </w:r>
      <w:r>
        <w:rPr>
          <w:rFonts w:cs="Times New Roman"/>
          <w:bCs/>
          <w:szCs w:val="24"/>
          <w:lang w:eastAsia="en-AU"/>
        </w:rPr>
        <w:t>,</w:t>
      </w:r>
      <w:r w:rsidRPr="00623D74">
        <w:rPr>
          <w:rFonts w:cs="Times New Roman"/>
          <w:bCs/>
          <w:szCs w:val="24"/>
          <w:lang w:eastAsia="en-AU"/>
        </w:rPr>
        <w:t xml:space="preserve"> a typical particle accelerator </w:t>
      </w:r>
      <w:r>
        <w:rPr>
          <w:rFonts w:cs="Times New Roman"/>
          <w:bCs/>
          <w:szCs w:val="24"/>
          <w:lang w:eastAsia="en-AU"/>
        </w:rPr>
        <w:t>is</w:t>
      </w:r>
      <w:r w:rsidRPr="00623D74">
        <w:rPr>
          <w:rFonts w:cs="Times New Roman"/>
          <w:bCs/>
          <w:szCs w:val="24"/>
          <w:lang w:eastAsia="en-AU"/>
        </w:rPr>
        <w:t xml:space="preserve"> </w:t>
      </w:r>
      <w:r>
        <w:rPr>
          <w:rFonts w:cs="Times New Roman"/>
          <w:bCs/>
          <w:szCs w:val="24"/>
          <w:lang w:eastAsia="en-AU"/>
        </w:rPr>
        <w:t xml:space="preserve">inspected </w:t>
      </w:r>
      <w:r w:rsidRPr="00623D74">
        <w:rPr>
          <w:rFonts w:cs="Times New Roman"/>
          <w:bCs/>
          <w:szCs w:val="24"/>
          <w:lang w:eastAsia="en-AU"/>
        </w:rPr>
        <w:t xml:space="preserve">once a year across all </w:t>
      </w:r>
      <w:r w:rsidR="004A0820">
        <w:rPr>
          <w:rFonts w:cs="Times New Roman"/>
          <w:bCs/>
          <w:szCs w:val="24"/>
          <w:lang w:eastAsia="en-AU"/>
        </w:rPr>
        <w:t>PO&amp;C</w:t>
      </w:r>
      <w:r w:rsidRPr="00623D74">
        <w:rPr>
          <w:rFonts w:cs="Times New Roman"/>
          <w:bCs/>
          <w:szCs w:val="24"/>
          <w:lang w:eastAsia="en-AU"/>
        </w:rPr>
        <w:t xml:space="preserve"> whereas the more complex OPAL reactor is inspected </w:t>
      </w:r>
      <w:r w:rsidR="004B6557">
        <w:rPr>
          <w:rFonts w:cs="Times New Roman"/>
          <w:bCs/>
          <w:szCs w:val="24"/>
          <w:lang w:eastAsia="en-AU"/>
        </w:rPr>
        <w:t>three times a year</w:t>
      </w:r>
      <w:r w:rsidR="004B6557" w:rsidRPr="00623D74">
        <w:rPr>
          <w:rFonts w:cs="Times New Roman"/>
          <w:bCs/>
          <w:szCs w:val="24"/>
          <w:lang w:eastAsia="en-AU"/>
        </w:rPr>
        <w:t xml:space="preserve"> </w:t>
      </w:r>
      <w:r w:rsidRPr="00623D74">
        <w:rPr>
          <w:rFonts w:cs="Times New Roman"/>
          <w:bCs/>
          <w:szCs w:val="24"/>
          <w:lang w:eastAsia="en-AU"/>
        </w:rPr>
        <w:t>on a single baseline module. All inspections examine performance in three cross cutting areas: safety culture, human performanc</w:t>
      </w:r>
      <w:r>
        <w:rPr>
          <w:rFonts w:cs="Times New Roman"/>
          <w:bCs/>
          <w:szCs w:val="24"/>
          <w:lang w:eastAsia="en-AU"/>
        </w:rPr>
        <w:t xml:space="preserve">e and performance improvement. </w:t>
      </w:r>
      <w:r w:rsidRPr="00623D74">
        <w:rPr>
          <w:rFonts w:cs="Times New Roman"/>
          <w:bCs/>
          <w:szCs w:val="24"/>
          <w:lang w:eastAsia="en-AU"/>
        </w:rPr>
        <w:t>These modules are consistent with ARPANSA</w:t>
      </w:r>
      <w:r>
        <w:rPr>
          <w:rFonts w:cs="Times New Roman"/>
          <w:bCs/>
          <w:szCs w:val="24"/>
          <w:lang w:eastAsia="en-AU"/>
        </w:rPr>
        <w:t>’</w:t>
      </w:r>
      <w:r w:rsidRPr="00623D74">
        <w:rPr>
          <w:rFonts w:cs="Times New Roman"/>
          <w:bCs/>
          <w:szCs w:val="24"/>
          <w:lang w:eastAsia="en-AU"/>
        </w:rPr>
        <w:t xml:space="preserve">s promotion of </w:t>
      </w:r>
      <w:hyperlink r:id="rId26" w:history="1">
        <w:r w:rsidRPr="00623D74">
          <w:rPr>
            <w:rStyle w:val="Hyperlink"/>
            <w:rFonts w:cs="Times New Roman"/>
            <w:bCs/>
            <w:szCs w:val="24"/>
            <w:lang w:eastAsia="en-AU"/>
          </w:rPr>
          <w:t>holistic safety</w:t>
        </w:r>
      </w:hyperlink>
      <w:r w:rsidRPr="00623D74">
        <w:rPr>
          <w:rFonts w:cs="Times New Roman"/>
          <w:bCs/>
          <w:szCs w:val="24"/>
          <w:lang w:eastAsia="en-AU"/>
        </w:rPr>
        <w:t xml:space="preserve"> </w:t>
      </w:r>
      <w:r>
        <w:rPr>
          <w:rFonts w:cs="Times New Roman"/>
          <w:bCs/>
          <w:szCs w:val="24"/>
          <w:lang w:eastAsia="en-AU"/>
        </w:rPr>
        <w:t>that</w:t>
      </w:r>
      <w:r w:rsidRPr="00623D74">
        <w:rPr>
          <w:rFonts w:cs="Times New Roman"/>
          <w:bCs/>
          <w:szCs w:val="24"/>
          <w:lang w:eastAsia="en-AU"/>
        </w:rPr>
        <w:t xml:space="preserve"> recognises the importance of human and organisational factors to safe</w:t>
      </w:r>
      <w:r>
        <w:rPr>
          <w:rFonts w:cs="Times New Roman"/>
          <w:bCs/>
          <w:szCs w:val="24"/>
          <w:lang w:eastAsia="en-AU"/>
        </w:rPr>
        <w:t>ty</w:t>
      </w:r>
      <w:r w:rsidR="008C3DE3">
        <w:rPr>
          <w:rFonts w:cs="Times New Roman"/>
          <w:bCs/>
          <w:szCs w:val="24"/>
          <w:lang w:eastAsia="en-AU"/>
        </w:rPr>
        <w:t xml:space="preserve"> and security</w:t>
      </w:r>
      <w:r>
        <w:rPr>
          <w:rFonts w:cs="Times New Roman"/>
          <w:bCs/>
          <w:szCs w:val="24"/>
          <w:lang w:eastAsia="en-AU"/>
        </w:rPr>
        <w:t>.</w:t>
      </w:r>
      <w:r w:rsidRPr="00A9092B" w:rsidDel="00A36E15">
        <w:rPr>
          <w:rFonts w:cs="Times New Roman"/>
          <w:bCs/>
          <w:szCs w:val="24"/>
          <w:lang w:eastAsia="en-AU"/>
        </w:rPr>
        <w:t xml:space="preserve"> </w:t>
      </w:r>
    </w:p>
    <w:p w14:paraId="23E2B0D6" w14:textId="77777777" w:rsidR="00546F70" w:rsidRPr="00A9092B" w:rsidRDefault="00546F70" w:rsidP="00546F70">
      <w:pPr>
        <w:autoSpaceDE w:val="0"/>
        <w:autoSpaceDN w:val="0"/>
        <w:adjustRightInd w:val="0"/>
        <w:spacing w:after="120"/>
        <w:rPr>
          <w:rFonts w:cs="Times New Roman"/>
          <w:bCs/>
          <w:szCs w:val="24"/>
          <w:lang w:eastAsia="en-AU"/>
        </w:rPr>
      </w:pPr>
      <w:r>
        <w:rPr>
          <w:rFonts w:cs="Times New Roman"/>
          <w:bCs/>
          <w:szCs w:val="24"/>
          <w:lang w:eastAsia="en-AU"/>
        </w:rPr>
        <w:t>I</w:t>
      </w:r>
      <w:r w:rsidRPr="00A9092B">
        <w:rPr>
          <w:rFonts w:cs="Times New Roman"/>
          <w:bCs/>
          <w:szCs w:val="24"/>
          <w:lang w:eastAsia="en-AU"/>
        </w:rPr>
        <w:t xml:space="preserve">nspectors monitor </w:t>
      </w:r>
      <w:r>
        <w:rPr>
          <w:rFonts w:cs="Times New Roman"/>
          <w:bCs/>
          <w:szCs w:val="24"/>
          <w:lang w:eastAsia="en-AU"/>
        </w:rPr>
        <w:t xml:space="preserve">licence holder </w:t>
      </w:r>
      <w:r w:rsidRPr="00A9092B">
        <w:rPr>
          <w:rFonts w:cs="Times New Roman"/>
          <w:bCs/>
          <w:szCs w:val="24"/>
          <w:lang w:eastAsia="en-AU"/>
        </w:rPr>
        <w:t xml:space="preserve">performance on a regular basis outside </w:t>
      </w:r>
      <w:r>
        <w:rPr>
          <w:rFonts w:cs="Times New Roman"/>
          <w:bCs/>
          <w:szCs w:val="24"/>
          <w:lang w:eastAsia="en-AU"/>
        </w:rPr>
        <w:t>the formal compliance reporting and</w:t>
      </w:r>
      <w:r w:rsidRPr="00A9092B">
        <w:rPr>
          <w:rFonts w:cs="Times New Roman"/>
          <w:bCs/>
          <w:szCs w:val="24"/>
          <w:lang w:eastAsia="en-AU"/>
        </w:rPr>
        <w:t xml:space="preserve"> inspection process</w:t>
      </w:r>
      <w:r>
        <w:rPr>
          <w:rFonts w:cs="Times New Roman"/>
          <w:bCs/>
          <w:szCs w:val="24"/>
          <w:lang w:eastAsia="en-AU"/>
        </w:rPr>
        <w:t>es</w:t>
      </w:r>
      <w:r w:rsidRPr="00A9092B">
        <w:rPr>
          <w:rFonts w:cs="Times New Roman"/>
          <w:bCs/>
          <w:szCs w:val="24"/>
          <w:lang w:eastAsia="en-AU"/>
        </w:rPr>
        <w:t xml:space="preserve"> through site visits, meetings</w:t>
      </w:r>
      <w:r>
        <w:rPr>
          <w:rFonts w:cs="Times New Roman"/>
          <w:bCs/>
          <w:szCs w:val="24"/>
          <w:lang w:eastAsia="en-AU"/>
        </w:rPr>
        <w:t xml:space="preserve"> and forums. </w:t>
      </w:r>
      <w:r w:rsidRPr="00A9092B">
        <w:rPr>
          <w:rFonts w:cs="Times New Roman"/>
          <w:bCs/>
          <w:szCs w:val="24"/>
          <w:lang w:eastAsia="en-AU"/>
        </w:rPr>
        <w:t>Frequent site visits are undertaken to enhance communication.</w:t>
      </w:r>
    </w:p>
    <w:p w14:paraId="4AA6BDAF" w14:textId="77777777" w:rsidR="00546F70" w:rsidRPr="00A9092B" w:rsidRDefault="00546F70" w:rsidP="00546F70">
      <w:pPr>
        <w:autoSpaceDE w:val="0"/>
        <w:autoSpaceDN w:val="0"/>
        <w:adjustRightInd w:val="0"/>
        <w:spacing w:after="120"/>
        <w:rPr>
          <w:rFonts w:cs="Times New Roman"/>
          <w:bCs/>
          <w:szCs w:val="24"/>
          <w:lang w:eastAsia="en-AU"/>
        </w:rPr>
      </w:pPr>
      <w:r>
        <w:rPr>
          <w:rFonts w:cs="Times New Roman"/>
          <w:bCs/>
          <w:szCs w:val="24"/>
          <w:lang w:eastAsia="en-AU"/>
        </w:rPr>
        <w:t xml:space="preserve">As described in KPI 3, </w:t>
      </w:r>
      <w:r w:rsidRPr="00A9092B">
        <w:rPr>
          <w:rFonts w:cs="Times New Roman"/>
          <w:bCs/>
          <w:szCs w:val="24"/>
          <w:lang w:eastAsia="en-AU"/>
        </w:rPr>
        <w:t>ARPANSA streamlines its compliance activit</w:t>
      </w:r>
      <w:r>
        <w:rPr>
          <w:rFonts w:cs="Times New Roman"/>
          <w:bCs/>
          <w:szCs w:val="24"/>
          <w:lang w:eastAsia="en-AU"/>
        </w:rPr>
        <w:t>ies</w:t>
      </w:r>
      <w:r w:rsidRPr="00A9092B">
        <w:rPr>
          <w:rFonts w:cs="Times New Roman"/>
          <w:bCs/>
          <w:szCs w:val="24"/>
          <w:lang w:eastAsia="en-AU"/>
        </w:rPr>
        <w:t xml:space="preserve"> by basing inspection frequency on risk. The </w:t>
      </w:r>
      <w:hyperlink r:id="rId27" w:history="1">
        <w:r w:rsidRPr="0076133E">
          <w:rPr>
            <w:rStyle w:val="Hyperlink"/>
            <w:rFonts w:cs="Times New Roman"/>
            <w:bCs/>
            <w:szCs w:val="24"/>
            <w:lang w:eastAsia="en-AU"/>
          </w:rPr>
          <w:t xml:space="preserve">risk </w:t>
        </w:r>
        <w:r w:rsidRPr="0076133E">
          <w:rPr>
            <w:rStyle w:val="Hyperlink"/>
            <w:rFonts w:cs="Times New Roman"/>
            <w:bCs/>
            <w:szCs w:val="24"/>
            <w:lang w:eastAsia="en-AU"/>
          </w:rPr>
          <w:lastRenderedPageBreak/>
          <w:t>ranking methodology</w:t>
        </w:r>
      </w:hyperlink>
      <w:r w:rsidRPr="00A9092B">
        <w:rPr>
          <w:rFonts w:cs="Times New Roman"/>
          <w:bCs/>
          <w:szCs w:val="24"/>
          <w:lang w:eastAsia="en-AU"/>
        </w:rPr>
        <w:t xml:space="preserve"> is published online. Establishing a transparent and planned inspection </w:t>
      </w:r>
      <w:r>
        <w:rPr>
          <w:rFonts w:cs="Times New Roman"/>
          <w:bCs/>
          <w:szCs w:val="24"/>
          <w:lang w:eastAsia="en-AU"/>
        </w:rPr>
        <w:t>program</w:t>
      </w:r>
      <w:r w:rsidRPr="00A9092B">
        <w:rPr>
          <w:rFonts w:cs="Times New Roman"/>
          <w:bCs/>
          <w:szCs w:val="24"/>
          <w:lang w:eastAsia="en-AU"/>
        </w:rPr>
        <w:t xml:space="preserve"> based on risk </w:t>
      </w:r>
      <w:r>
        <w:rPr>
          <w:rFonts w:cs="Times New Roman"/>
          <w:bCs/>
          <w:szCs w:val="24"/>
          <w:lang w:eastAsia="en-AU"/>
        </w:rPr>
        <w:t xml:space="preserve">allows </w:t>
      </w:r>
      <w:r w:rsidRPr="00A9092B">
        <w:rPr>
          <w:rFonts w:cs="Times New Roman"/>
          <w:bCs/>
          <w:szCs w:val="24"/>
          <w:lang w:eastAsia="en-AU"/>
        </w:rPr>
        <w:t xml:space="preserve">ARPANSA </w:t>
      </w:r>
      <w:r>
        <w:rPr>
          <w:rFonts w:cs="Times New Roman"/>
          <w:bCs/>
          <w:szCs w:val="24"/>
          <w:lang w:eastAsia="en-AU"/>
        </w:rPr>
        <w:t xml:space="preserve">to </w:t>
      </w:r>
      <w:r w:rsidRPr="00A9092B">
        <w:rPr>
          <w:rFonts w:cs="Times New Roman"/>
          <w:bCs/>
          <w:szCs w:val="24"/>
          <w:lang w:eastAsia="en-AU"/>
        </w:rPr>
        <w:t xml:space="preserve">streamline its compliance monitoring </w:t>
      </w:r>
      <w:r>
        <w:rPr>
          <w:rFonts w:cs="Times New Roman"/>
          <w:bCs/>
          <w:szCs w:val="24"/>
          <w:lang w:eastAsia="en-AU"/>
        </w:rPr>
        <w:t>program</w:t>
      </w:r>
      <w:r w:rsidRPr="00A9092B">
        <w:rPr>
          <w:rFonts w:cs="Times New Roman"/>
          <w:bCs/>
          <w:szCs w:val="24"/>
          <w:lang w:eastAsia="en-AU"/>
        </w:rPr>
        <w:t xml:space="preserve"> as necessary and reduce regulatory burden where appropriate.</w:t>
      </w:r>
    </w:p>
    <w:p w14:paraId="4D7303EE" w14:textId="79F78AED" w:rsidR="00703125" w:rsidRDefault="00546F70" w:rsidP="00546F70">
      <w:pPr>
        <w:autoSpaceDE w:val="0"/>
        <w:autoSpaceDN w:val="0"/>
        <w:adjustRightInd w:val="0"/>
        <w:spacing w:after="120"/>
        <w:rPr>
          <w:rFonts w:cs="Times New Roman"/>
          <w:bCs/>
          <w:szCs w:val="24"/>
          <w:lang w:eastAsia="en-AU"/>
        </w:rPr>
      </w:pPr>
      <w:r w:rsidRPr="00A9092B">
        <w:rPr>
          <w:rFonts w:cs="Times New Roman"/>
          <w:bCs/>
          <w:szCs w:val="24"/>
          <w:lang w:eastAsia="en-AU"/>
        </w:rPr>
        <w:t xml:space="preserve">ARPANSA encourages </w:t>
      </w:r>
      <w:r>
        <w:rPr>
          <w:rFonts w:cs="Times New Roman"/>
          <w:bCs/>
          <w:szCs w:val="24"/>
          <w:lang w:eastAsia="en-AU"/>
        </w:rPr>
        <w:t>licence holder</w:t>
      </w:r>
      <w:r w:rsidRPr="00A9092B">
        <w:rPr>
          <w:rFonts w:cs="Times New Roman"/>
          <w:bCs/>
          <w:szCs w:val="24"/>
          <w:lang w:eastAsia="en-AU"/>
        </w:rPr>
        <w:t xml:space="preserve">s to proactively manage safety by identifying </w:t>
      </w:r>
      <w:r w:rsidR="00A85CE0">
        <w:rPr>
          <w:rFonts w:cs="Times New Roman"/>
          <w:bCs/>
          <w:szCs w:val="24"/>
          <w:lang w:eastAsia="en-AU"/>
        </w:rPr>
        <w:t>AFI</w:t>
      </w:r>
      <w:r w:rsidR="00917AAD">
        <w:rPr>
          <w:rFonts w:cs="Times New Roman"/>
          <w:bCs/>
          <w:szCs w:val="24"/>
          <w:lang w:eastAsia="en-AU"/>
        </w:rPr>
        <w:t>s</w:t>
      </w:r>
      <w:r w:rsidRPr="00A9092B">
        <w:rPr>
          <w:rFonts w:cs="Times New Roman"/>
          <w:bCs/>
          <w:szCs w:val="24"/>
          <w:lang w:eastAsia="en-AU"/>
        </w:rPr>
        <w:t xml:space="preserve"> </w:t>
      </w:r>
      <w:r>
        <w:rPr>
          <w:rFonts w:cs="Times New Roman"/>
          <w:bCs/>
          <w:szCs w:val="24"/>
          <w:lang w:eastAsia="en-AU"/>
        </w:rPr>
        <w:t xml:space="preserve">and </w:t>
      </w:r>
      <w:r w:rsidRPr="00A9092B">
        <w:rPr>
          <w:rFonts w:cs="Times New Roman"/>
          <w:bCs/>
          <w:szCs w:val="24"/>
          <w:lang w:eastAsia="en-AU"/>
        </w:rPr>
        <w:t xml:space="preserve">potential non-compliance. </w:t>
      </w:r>
      <w:r w:rsidR="00E47E3D">
        <w:rPr>
          <w:rFonts w:cs="Times New Roman"/>
          <w:bCs/>
          <w:szCs w:val="24"/>
          <w:lang w:eastAsia="en-AU"/>
        </w:rPr>
        <w:t>Commencing 1 July 2017, ARPANSA introduced a</w:t>
      </w:r>
      <w:r w:rsidR="00A27B75">
        <w:rPr>
          <w:rFonts w:cs="Times New Roman"/>
          <w:bCs/>
          <w:szCs w:val="24"/>
          <w:lang w:eastAsia="en-AU"/>
        </w:rPr>
        <w:t>n internal target to</w:t>
      </w:r>
      <w:r w:rsidR="00E47E3D">
        <w:rPr>
          <w:rFonts w:cs="Times New Roman"/>
          <w:bCs/>
          <w:szCs w:val="24"/>
          <w:lang w:eastAsia="en-AU"/>
        </w:rPr>
        <w:t xml:space="preserve"> </w:t>
      </w:r>
      <w:r w:rsidR="00CD7DD2">
        <w:rPr>
          <w:rFonts w:cs="Times New Roman"/>
          <w:bCs/>
          <w:szCs w:val="24"/>
          <w:lang w:eastAsia="en-AU"/>
        </w:rPr>
        <w:t xml:space="preserve">strive towards more self-reported non-compliance compared with those reported during inspections. The </w:t>
      </w:r>
      <w:r w:rsidR="00917AAD">
        <w:rPr>
          <w:rFonts w:cs="Times New Roman"/>
          <w:bCs/>
          <w:szCs w:val="24"/>
          <w:lang w:eastAsia="en-AU"/>
        </w:rPr>
        <w:t xml:space="preserve">purpose </w:t>
      </w:r>
      <w:r w:rsidR="00CD7DD2">
        <w:rPr>
          <w:rFonts w:cs="Times New Roman"/>
          <w:bCs/>
          <w:szCs w:val="24"/>
          <w:lang w:eastAsia="en-AU"/>
        </w:rPr>
        <w:t xml:space="preserve">of this target is </w:t>
      </w:r>
      <w:r w:rsidR="00857844">
        <w:rPr>
          <w:rFonts w:cs="Times New Roman"/>
          <w:bCs/>
          <w:szCs w:val="24"/>
          <w:lang w:eastAsia="en-AU"/>
        </w:rPr>
        <w:t>to reinforce</w:t>
      </w:r>
      <w:r w:rsidR="00CD7DD2">
        <w:rPr>
          <w:rFonts w:cs="Times New Roman"/>
          <w:bCs/>
          <w:szCs w:val="24"/>
          <w:lang w:eastAsia="en-AU"/>
        </w:rPr>
        <w:t xml:space="preserve"> </w:t>
      </w:r>
      <w:r w:rsidR="00857844">
        <w:rPr>
          <w:rFonts w:cs="Times New Roman"/>
          <w:bCs/>
          <w:szCs w:val="24"/>
          <w:lang w:eastAsia="en-AU"/>
        </w:rPr>
        <w:t>ARPANSA’s</w:t>
      </w:r>
      <w:r w:rsidR="00CD7DD2">
        <w:rPr>
          <w:rFonts w:cs="Times New Roman"/>
          <w:bCs/>
          <w:szCs w:val="24"/>
          <w:lang w:eastAsia="en-AU"/>
        </w:rPr>
        <w:t xml:space="preserve"> </w:t>
      </w:r>
      <w:r w:rsidR="00703125">
        <w:rPr>
          <w:rFonts w:cs="Times New Roman"/>
          <w:bCs/>
          <w:szCs w:val="24"/>
          <w:lang w:eastAsia="en-AU"/>
        </w:rPr>
        <w:t xml:space="preserve">ambition to make the </w:t>
      </w:r>
      <w:r w:rsidR="00CD7DD2">
        <w:rPr>
          <w:rFonts w:cs="Times New Roman"/>
          <w:bCs/>
          <w:szCs w:val="24"/>
          <w:lang w:eastAsia="en-AU"/>
        </w:rPr>
        <w:t xml:space="preserve">licence </w:t>
      </w:r>
      <w:r w:rsidR="00703125">
        <w:rPr>
          <w:rFonts w:cs="Times New Roman"/>
          <w:bCs/>
          <w:szCs w:val="24"/>
          <w:lang w:eastAsia="en-AU"/>
        </w:rPr>
        <w:t xml:space="preserve">holders accountable for the management </w:t>
      </w:r>
      <w:r w:rsidR="002D5D10">
        <w:rPr>
          <w:rFonts w:cs="Times New Roman"/>
          <w:bCs/>
          <w:szCs w:val="24"/>
          <w:lang w:eastAsia="en-AU"/>
        </w:rPr>
        <w:t>of their</w:t>
      </w:r>
      <w:r w:rsidR="00703125">
        <w:rPr>
          <w:rFonts w:cs="Times New Roman"/>
          <w:bCs/>
          <w:szCs w:val="24"/>
          <w:lang w:eastAsia="en-AU"/>
        </w:rPr>
        <w:t xml:space="preserve"> </w:t>
      </w:r>
      <w:r w:rsidR="008F3604">
        <w:rPr>
          <w:rFonts w:cs="Times New Roman"/>
          <w:bCs/>
          <w:szCs w:val="24"/>
          <w:lang w:eastAsia="en-AU"/>
        </w:rPr>
        <w:t xml:space="preserve">own </w:t>
      </w:r>
      <w:r w:rsidR="00CD7DD2">
        <w:rPr>
          <w:rFonts w:cs="Times New Roman"/>
          <w:bCs/>
          <w:szCs w:val="24"/>
          <w:lang w:eastAsia="en-AU"/>
        </w:rPr>
        <w:t xml:space="preserve">safety. </w:t>
      </w:r>
    </w:p>
    <w:p w14:paraId="79C7C866" w14:textId="43411ED5" w:rsidR="00546F70" w:rsidRPr="00A9092B" w:rsidRDefault="00CD7DD2" w:rsidP="00546F70">
      <w:pPr>
        <w:autoSpaceDE w:val="0"/>
        <w:autoSpaceDN w:val="0"/>
        <w:adjustRightInd w:val="0"/>
        <w:spacing w:after="120"/>
        <w:rPr>
          <w:rFonts w:cs="Times New Roman"/>
          <w:bCs/>
          <w:szCs w:val="24"/>
          <w:lang w:eastAsia="en-AU"/>
        </w:rPr>
      </w:pPr>
      <w:r>
        <w:rPr>
          <w:rFonts w:cs="Times New Roman"/>
          <w:bCs/>
          <w:szCs w:val="24"/>
          <w:lang w:eastAsia="en-AU"/>
        </w:rPr>
        <w:t xml:space="preserve">In the case of identified AFIs, </w:t>
      </w:r>
      <w:r w:rsidR="00546F70" w:rsidRPr="00A9092B">
        <w:rPr>
          <w:rFonts w:cs="Times New Roman"/>
          <w:bCs/>
          <w:szCs w:val="24"/>
          <w:lang w:eastAsia="en-AU"/>
        </w:rPr>
        <w:t xml:space="preserve">there is an expectation that the </w:t>
      </w:r>
      <w:r w:rsidR="00546F70">
        <w:rPr>
          <w:rFonts w:cs="Times New Roman"/>
          <w:bCs/>
          <w:szCs w:val="24"/>
          <w:lang w:eastAsia="en-AU"/>
        </w:rPr>
        <w:t>licence holder</w:t>
      </w:r>
      <w:r w:rsidR="00546F70" w:rsidRPr="00A9092B">
        <w:rPr>
          <w:rFonts w:cs="Times New Roman"/>
          <w:bCs/>
          <w:szCs w:val="24"/>
          <w:lang w:eastAsia="en-AU"/>
        </w:rPr>
        <w:t xml:space="preserve"> will take corrective action in a timely fashion</w:t>
      </w:r>
      <w:r w:rsidR="008C3DE3">
        <w:rPr>
          <w:rFonts w:cs="Times New Roman"/>
          <w:bCs/>
          <w:szCs w:val="24"/>
          <w:lang w:eastAsia="en-AU"/>
        </w:rPr>
        <w:t xml:space="preserve">. ARPANSA </w:t>
      </w:r>
      <w:r w:rsidR="00703125">
        <w:rPr>
          <w:rFonts w:cs="Times New Roman"/>
          <w:bCs/>
          <w:szCs w:val="24"/>
          <w:lang w:eastAsia="en-AU"/>
        </w:rPr>
        <w:t>anticipates</w:t>
      </w:r>
      <w:r w:rsidR="008C3DE3">
        <w:rPr>
          <w:rFonts w:cs="Times New Roman"/>
          <w:bCs/>
          <w:szCs w:val="24"/>
          <w:lang w:eastAsia="en-AU"/>
        </w:rPr>
        <w:t xml:space="preserve"> that the licence holder correct or initiate corrective actions within 3 months</w:t>
      </w:r>
      <w:r w:rsidR="00546F70" w:rsidRPr="00A9092B">
        <w:rPr>
          <w:rFonts w:cs="Times New Roman"/>
          <w:bCs/>
          <w:szCs w:val="24"/>
          <w:lang w:eastAsia="en-AU"/>
        </w:rPr>
        <w:t>. The objec</w:t>
      </w:r>
      <w:r w:rsidR="00546F70">
        <w:rPr>
          <w:rFonts w:cs="Times New Roman"/>
          <w:bCs/>
          <w:szCs w:val="24"/>
          <w:lang w:eastAsia="en-AU"/>
        </w:rPr>
        <w:t>t</w:t>
      </w:r>
      <w:r w:rsidR="008F3604">
        <w:rPr>
          <w:rFonts w:cs="Times New Roman"/>
          <w:bCs/>
          <w:szCs w:val="24"/>
          <w:lang w:eastAsia="en-AU"/>
        </w:rPr>
        <w:t>ive</w:t>
      </w:r>
      <w:r w:rsidR="00546F70" w:rsidRPr="00A9092B">
        <w:rPr>
          <w:rFonts w:cs="Times New Roman"/>
          <w:bCs/>
          <w:szCs w:val="24"/>
          <w:lang w:eastAsia="en-AU"/>
        </w:rPr>
        <w:t xml:space="preserve"> of identifying </w:t>
      </w:r>
      <w:r w:rsidR="00A85CE0">
        <w:rPr>
          <w:rFonts w:cs="Times New Roman"/>
          <w:bCs/>
          <w:szCs w:val="24"/>
          <w:lang w:eastAsia="en-AU"/>
        </w:rPr>
        <w:t>AFIs</w:t>
      </w:r>
      <w:r w:rsidR="00546F70" w:rsidRPr="00A9092B">
        <w:rPr>
          <w:rFonts w:cs="Times New Roman"/>
          <w:bCs/>
          <w:szCs w:val="24"/>
          <w:lang w:eastAsia="en-AU"/>
        </w:rPr>
        <w:t xml:space="preserve"> is to </w:t>
      </w:r>
      <w:r w:rsidR="00546F70">
        <w:rPr>
          <w:rFonts w:cs="Times New Roman"/>
          <w:bCs/>
          <w:szCs w:val="24"/>
          <w:lang w:eastAsia="en-AU"/>
        </w:rPr>
        <w:t>encourage the improvement of</w:t>
      </w:r>
      <w:r w:rsidR="00546F70" w:rsidRPr="00A9092B">
        <w:rPr>
          <w:rFonts w:cs="Times New Roman"/>
          <w:bCs/>
          <w:szCs w:val="24"/>
          <w:lang w:eastAsia="en-AU"/>
        </w:rPr>
        <w:t xml:space="preserve"> </w:t>
      </w:r>
      <w:r w:rsidR="00546F70">
        <w:rPr>
          <w:rFonts w:cs="Times New Roman"/>
          <w:bCs/>
          <w:szCs w:val="24"/>
          <w:lang w:eastAsia="en-AU"/>
        </w:rPr>
        <w:t xml:space="preserve">safety and </w:t>
      </w:r>
      <w:r w:rsidR="00546F70">
        <w:rPr>
          <w:rFonts w:cs="Times New Roman"/>
          <w:bCs/>
          <w:szCs w:val="24"/>
          <w:lang w:eastAsia="en-AU"/>
        </w:rPr>
        <w:lastRenderedPageBreak/>
        <w:t>security</w:t>
      </w:r>
      <w:r>
        <w:rPr>
          <w:rFonts w:cs="Times New Roman"/>
          <w:bCs/>
          <w:szCs w:val="24"/>
          <w:lang w:eastAsia="en-AU"/>
        </w:rPr>
        <w:t xml:space="preserve"> and the adoption of best practice</w:t>
      </w:r>
      <w:r w:rsidR="00546F70">
        <w:rPr>
          <w:rFonts w:cs="Times New Roman"/>
          <w:bCs/>
          <w:szCs w:val="24"/>
          <w:lang w:eastAsia="en-AU"/>
        </w:rPr>
        <w:t>.</w:t>
      </w:r>
      <w:r w:rsidR="00546F70" w:rsidRPr="00A9092B">
        <w:rPr>
          <w:rFonts w:cs="Times New Roman"/>
          <w:bCs/>
          <w:szCs w:val="24"/>
          <w:lang w:eastAsia="en-AU"/>
        </w:rPr>
        <w:t xml:space="preserve"> </w:t>
      </w:r>
      <w:r w:rsidR="00546F70">
        <w:rPr>
          <w:rFonts w:cs="Times New Roman"/>
          <w:bCs/>
          <w:szCs w:val="24"/>
          <w:lang w:eastAsia="en-AU"/>
        </w:rPr>
        <w:t>T</w:t>
      </w:r>
      <w:r w:rsidR="00546F70" w:rsidRPr="00A9092B">
        <w:rPr>
          <w:rFonts w:cs="Times New Roman"/>
          <w:bCs/>
          <w:szCs w:val="24"/>
          <w:lang w:eastAsia="en-AU"/>
        </w:rPr>
        <w:t xml:space="preserve">he time taken for a </w:t>
      </w:r>
      <w:r w:rsidR="00546F70">
        <w:rPr>
          <w:rFonts w:cs="Times New Roman"/>
          <w:bCs/>
          <w:szCs w:val="24"/>
          <w:lang w:eastAsia="en-AU"/>
        </w:rPr>
        <w:t>licence holder</w:t>
      </w:r>
      <w:r w:rsidR="00546F70" w:rsidRPr="00A9092B">
        <w:rPr>
          <w:rFonts w:cs="Times New Roman"/>
          <w:bCs/>
          <w:szCs w:val="24"/>
          <w:lang w:eastAsia="en-AU"/>
        </w:rPr>
        <w:t xml:space="preserve"> to address corrective actions following the finding of</w:t>
      </w:r>
      <w:r w:rsidR="00546F70">
        <w:rPr>
          <w:rFonts w:cs="Times New Roman"/>
          <w:bCs/>
          <w:szCs w:val="24"/>
          <w:lang w:eastAsia="en-AU"/>
        </w:rPr>
        <w:t xml:space="preserve"> a</w:t>
      </w:r>
      <w:r w:rsidR="00A85CE0">
        <w:rPr>
          <w:rFonts w:cs="Times New Roman"/>
          <w:bCs/>
          <w:szCs w:val="24"/>
          <w:lang w:eastAsia="en-AU"/>
        </w:rPr>
        <w:t>n</w:t>
      </w:r>
      <w:r w:rsidR="00546F70">
        <w:rPr>
          <w:rFonts w:cs="Times New Roman"/>
          <w:bCs/>
          <w:szCs w:val="24"/>
          <w:lang w:eastAsia="en-AU"/>
        </w:rPr>
        <w:t xml:space="preserve"> </w:t>
      </w:r>
      <w:r w:rsidR="00A85CE0">
        <w:rPr>
          <w:rFonts w:cs="Times New Roman"/>
          <w:bCs/>
          <w:szCs w:val="24"/>
          <w:lang w:eastAsia="en-AU"/>
        </w:rPr>
        <w:t>AFI</w:t>
      </w:r>
      <w:r w:rsidR="00546F70">
        <w:rPr>
          <w:rFonts w:cs="Times New Roman"/>
          <w:bCs/>
          <w:szCs w:val="24"/>
          <w:lang w:eastAsia="en-AU"/>
        </w:rPr>
        <w:t xml:space="preserve"> is an indicator </w:t>
      </w:r>
      <w:r w:rsidR="00546F70" w:rsidRPr="00A9092B">
        <w:rPr>
          <w:rFonts w:cs="Times New Roman"/>
          <w:bCs/>
          <w:szCs w:val="24"/>
          <w:lang w:eastAsia="en-AU"/>
        </w:rPr>
        <w:t xml:space="preserve">of the influence, transparency and effectiveness of </w:t>
      </w:r>
      <w:r w:rsidR="00546F70">
        <w:rPr>
          <w:rFonts w:cs="Times New Roman"/>
          <w:bCs/>
          <w:szCs w:val="24"/>
          <w:lang w:eastAsia="en-AU"/>
        </w:rPr>
        <w:t>ARPANSA’s</w:t>
      </w:r>
      <w:r w:rsidR="00546F70" w:rsidRPr="00A9092B">
        <w:rPr>
          <w:rFonts w:cs="Times New Roman"/>
          <w:bCs/>
          <w:szCs w:val="24"/>
          <w:lang w:eastAsia="en-AU"/>
        </w:rPr>
        <w:t xml:space="preserve"> inspection/compliance monitoring </w:t>
      </w:r>
      <w:r w:rsidR="00546F70">
        <w:rPr>
          <w:rFonts w:cs="Times New Roman"/>
          <w:bCs/>
          <w:szCs w:val="24"/>
          <w:lang w:eastAsia="en-AU"/>
        </w:rPr>
        <w:t>program</w:t>
      </w:r>
      <w:r w:rsidR="00546F70" w:rsidRPr="00A9092B">
        <w:rPr>
          <w:rFonts w:cs="Times New Roman"/>
          <w:bCs/>
          <w:szCs w:val="24"/>
          <w:lang w:eastAsia="en-AU"/>
        </w:rPr>
        <w:t>.</w:t>
      </w:r>
      <w:r w:rsidR="00A85CE0">
        <w:rPr>
          <w:rFonts w:cs="Times New Roman"/>
          <w:bCs/>
          <w:szCs w:val="24"/>
          <w:lang w:eastAsia="en-AU"/>
        </w:rPr>
        <w:t xml:space="preserve"> It </w:t>
      </w:r>
      <w:r w:rsidR="00703125">
        <w:rPr>
          <w:rFonts w:cs="Times New Roman"/>
          <w:bCs/>
          <w:szCs w:val="24"/>
          <w:lang w:eastAsia="en-AU"/>
        </w:rPr>
        <w:t xml:space="preserve">may </w:t>
      </w:r>
      <w:r w:rsidR="00A85CE0">
        <w:rPr>
          <w:rFonts w:cs="Times New Roman"/>
          <w:bCs/>
          <w:szCs w:val="24"/>
          <w:lang w:eastAsia="en-AU"/>
        </w:rPr>
        <w:t xml:space="preserve">also </w:t>
      </w:r>
      <w:r w:rsidR="00703125">
        <w:rPr>
          <w:rFonts w:cs="Times New Roman"/>
          <w:bCs/>
          <w:szCs w:val="24"/>
          <w:lang w:eastAsia="en-AU"/>
        </w:rPr>
        <w:t xml:space="preserve">be </w:t>
      </w:r>
      <w:r w:rsidR="00A85CE0">
        <w:rPr>
          <w:rFonts w:cs="Times New Roman"/>
          <w:bCs/>
          <w:szCs w:val="24"/>
          <w:lang w:eastAsia="en-AU"/>
        </w:rPr>
        <w:t>an indicator of the safety culture of a licensee.</w:t>
      </w:r>
    </w:p>
    <w:p w14:paraId="005FEB7E" w14:textId="77777777" w:rsidR="00546F70" w:rsidRDefault="00546F70" w:rsidP="00546F70">
      <w:pPr>
        <w:autoSpaceDE w:val="0"/>
        <w:autoSpaceDN w:val="0"/>
        <w:adjustRightInd w:val="0"/>
        <w:spacing w:after="120"/>
        <w:rPr>
          <w:rFonts w:cs="Times New Roman"/>
          <w:bCs/>
          <w:szCs w:val="24"/>
          <w:lang w:eastAsia="en-AU"/>
        </w:rPr>
      </w:pPr>
      <w:r>
        <w:rPr>
          <w:rFonts w:cs="Times New Roman"/>
          <w:bCs/>
          <w:szCs w:val="24"/>
          <w:lang w:eastAsia="en-AU"/>
        </w:rPr>
        <w:t>A periodic a</w:t>
      </w:r>
      <w:r w:rsidRPr="00A9092B">
        <w:rPr>
          <w:rFonts w:cs="Times New Roman"/>
          <w:bCs/>
          <w:szCs w:val="24"/>
          <w:lang w:eastAsia="en-AU"/>
        </w:rPr>
        <w:t xml:space="preserve">nalysis of </w:t>
      </w:r>
      <w:r w:rsidR="00CD7DD2">
        <w:rPr>
          <w:rFonts w:cs="Times New Roman"/>
          <w:bCs/>
          <w:szCs w:val="24"/>
          <w:lang w:eastAsia="en-AU"/>
        </w:rPr>
        <w:t>AFIs</w:t>
      </w:r>
      <w:r w:rsidRPr="00A9092B">
        <w:rPr>
          <w:rFonts w:cs="Times New Roman"/>
          <w:bCs/>
          <w:szCs w:val="24"/>
          <w:lang w:eastAsia="en-AU"/>
        </w:rPr>
        <w:t xml:space="preserve">, </w:t>
      </w:r>
      <w:r>
        <w:rPr>
          <w:rFonts w:cs="Times New Roman"/>
          <w:bCs/>
          <w:szCs w:val="24"/>
          <w:lang w:eastAsia="en-AU"/>
        </w:rPr>
        <w:t>p</w:t>
      </w:r>
      <w:r w:rsidRPr="00A9092B">
        <w:rPr>
          <w:rFonts w:cs="Times New Roman"/>
          <w:bCs/>
          <w:szCs w:val="24"/>
          <w:lang w:eastAsia="en-AU"/>
        </w:rPr>
        <w:t xml:space="preserve">otential </w:t>
      </w:r>
      <w:r>
        <w:rPr>
          <w:rFonts w:cs="Times New Roman"/>
          <w:bCs/>
          <w:szCs w:val="24"/>
          <w:lang w:eastAsia="en-AU"/>
        </w:rPr>
        <w:t>n</w:t>
      </w:r>
      <w:r w:rsidRPr="00A9092B">
        <w:rPr>
          <w:rFonts w:cs="Times New Roman"/>
          <w:bCs/>
          <w:szCs w:val="24"/>
          <w:lang w:eastAsia="en-AU"/>
        </w:rPr>
        <w:t>on-</w:t>
      </w:r>
      <w:r>
        <w:rPr>
          <w:rFonts w:cs="Times New Roman"/>
          <w:bCs/>
          <w:szCs w:val="24"/>
          <w:lang w:eastAsia="en-AU"/>
        </w:rPr>
        <w:t>c</w:t>
      </w:r>
      <w:r w:rsidRPr="00A9092B">
        <w:rPr>
          <w:rFonts w:cs="Times New Roman"/>
          <w:bCs/>
          <w:szCs w:val="24"/>
          <w:lang w:eastAsia="en-AU"/>
        </w:rPr>
        <w:t xml:space="preserve">ompliances, and </w:t>
      </w:r>
      <w:r>
        <w:rPr>
          <w:rFonts w:cs="Times New Roman"/>
          <w:bCs/>
          <w:szCs w:val="24"/>
          <w:lang w:eastAsia="en-AU"/>
        </w:rPr>
        <w:t>g</w:t>
      </w:r>
      <w:r w:rsidRPr="00A9092B">
        <w:rPr>
          <w:rFonts w:cs="Times New Roman"/>
          <w:bCs/>
          <w:szCs w:val="24"/>
          <w:lang w:eastAsia="en-AU"/>
        </w:rPr>
        <w:t xml:space="preserve">ood </w:t>
      </w:r>
      <w:r>
        <w:rPr>
          <w:rFonts w:cs="Times New Roman"/>
          <w:bCs/>
          <w:szCs w:val="24"/>
          <w:lang w:eastAsia="en-AU"/>
        </w:rPr>
        <w:t>p</w:t>
      </w:r>
      <w:r w:rsidRPr="00A9092B">
        <w:rPr>
          <w:rFonts w:cs="Times New Roman"/>
          <w:bCs/>
          <w:szCs w:val="24"/>
          <w:lang w:eastAsia="en-AU"/>
        </w:rPr>
        <w:t xml:space="preserve">ractices </w:t>
      </w:r>
      <w:r>
        <w:rPr>
          <w:rFonts w:cs="Times New Roman"/>
          <w:bCs/>
          <w:szCs w:val="24"/>
          <w:lang w:eastAsia="en-AU"/>
        </w:rPr>
        <w:t>is performed</w:t>
      </w:r>
      <w:r w:rsidRPr="00A9092B">
        <w:rPr>
          <w:rFonts w:cs="Times New Roman"/>
          <w:bCs/>
          <w:szCs w:val="24"/>
          <w:lang w:eastAsia="en-AU"/>
        </w:rPr>
        <w:t xml:space="preserve"> to ensure that resources are appropriately allocated and to monitor trends or emerging issues.</w:t>
      </w:r>
      <w:r w:rsidR="00CD7DD2">
        <w:rPr>
          <w:rFonts w:cs="Times New Roman"/>
          <w:bCs/>
          <w:szCs w:val="24"/>
          <w:lang w:eastAsia="en-AU"/>
        </w:rPr>
        <w:t xml:space="preserve"> Outcomes of analysis are made available to licence holders through the ARPANSA website.</w:t>
      </w:r>
    </w:p>
    <w:p w14:paraId="7AD9ECC1" w14:textId="7CD9EA34" w:rsidR="00546F70" w:rsidRPr="00A9092B" w:rsidRDefault="00CD7DD2" w:rsidP="00546F70">
      <w:pPr>
        <w:autoSpaceDE w:val="0"/>
        <w:autoSpaceDN w:val="0"/>
        <w:adjustRightInd w:val="0"/>
        <w:spacing w:after="120"/>
        <w:rPr>
          <w:rFonts w:cs="Times New Roman"/>
          <w:bCs/>
          <w:szCs w:val="24"/>
          <w:lang w:eastAsia="en-AU"/>
        </w:rPr>
      </w:pPr>
      <w:r>
        <w:rPr>
          <w:rFonts w:cs="Times New Roman"/>
          <w:bCs/>
          <w:szCs w:val="24"/>
          <w:lang w:eastAsia="en-AU"/>
        </w:rPr>
        <w:t>ARPANSA is seeking ways to share information and participate in</w:t>
      </w:r>
      <w:r w:rsidR="00546F70">
        <w:rPr>
          <w:rFonts w:cs="Times New Roman"/>
          <w:bCs/>
          <w:szCs w:val="24"/>
          <w:lang w:eastAsia="en-AU"/>
        </w:rPr>
        <w:t xml:space="preserve"> joint activities with other Commonwealth regulators; namely the Australian Safeguards and</w:t>
      </w:r>
      <w:r>
        <w:rPr>
          <w:rFonts w:cs="Times New Roman"/>
          <w:bCs/>
          <w:szCs w:val="24"/>
          <w:lang w:eastAsia="en-AU"/>
        </w:rPr>
        <w:t xml:space="preserve"> </w:t>
      </w:r>
      <w:r w:rsidR="00546F70">
        <w:rPr>
          <w:rFonts w:cs="Times New Roman"/>
          <w:bCs/>
          <w:szCs w:val="24"/>
          <w:lang w:eastAsia="en-AU"/>
        </w:rPr>
        <w:t xml:space="preserve">Non-Proliferation Office (ASNO) and Comcare. </w:t>
      </w:r>
    </w:p>
    <w:p w14:paraId="155C99DC" w14:textId="77777777" w:rsidR="00EB714D" w:rsidRPr="00EB714D" w:rsidRDefault="00546F70" w:rsidP="00EB714D">
      <w:pPr>
        <w:pStyle w:val="Heading3"/>
        <w:spacing w:after="240"/>
        <w:rPr>
          <w:lang w:eastAsia="en-AU"/>
        </w:rPr>
      </w:pPr>
      <w:bookmarkStart w:id="35" w:name="_Toc470173158"/>
      <w:r w:rsidRPr="00A9092B">
        <w:rPr>
          <w:lang w:eastAsia="en-AU"/>
        </w:rPr>
        <w:lastRenderedPageBreak/>
        <w:t>Approved evidence metrics for KPI 4</w:t>
      </w:r>
      <w:bookmarkEnd w:id="35"/>
    </w:p>
    <w:tbl>
      <w:tblPr>
        <w:tblStyle w:val="TableGrid"/>
        <w:tblW w:w="9747" w:type="dxa"/>
        <w:tblLook w:val="04A0" w:firstRow="1" w:lastRow="0" w:firstColumn="1" w:lastColumn="0" w:noHBand="0" w:noVBand="1"/>
        <w:tblDescription w:val="Chapter 2.4.2 table contains a list of evidence metrics against Key Performance Indicator (KPI) 4.  This table contains 3 heading columns 1. Indicators, 2. Evidence and 3. Comment. "/>
      </w:tblPr>
      <w:tblGrid>
        <w:gridCol w:w="2692"/>
        <w:gridCol w:w="2945"/>
        <w:gridCol w:w="4110"/>
      </w:tblGrid>
      <w:tr w:rsidR="005B3FB2" w:rsidRPr="005B3FB2" w14:paraId="1D4C188B" w14:textId="77777777" w:rsidTr="005B3FB2">
        <w:trPr>
          <w:cantSplit/>
          <w:tblHeader/>
        </w:trPr>
        <w:tc>
          <w:tcPr>
            <w:tcW w:w="2692" w:type="dxa"/>
            <w:shd w:val="clear" w:color="auto" w:fill="4E1A74" w:themeFill="text2"/>
            <w:vAlign w:val="center"/>
          </w:tcPr>
          <w:p w14:paraId="1C874472" w14:textId="77777777" w:rsidR="00546F70" w:rsidRPr="005B3FB2" w:rsidRDefault="00546F70" w:rsidP="005B3FB2">
            <w:pPr>
              <w:pStyle w:val="Tableheading"/>
              <w:jc w:val="center"/>
              <w:rPr>
                <w:rFonts w:asciiTheme="minorHAnsi" w:hAnsiTheme="minorHAnsi" w:cstheme="minorHAnsi"/>
                <w:color w:val="FFFFFF" w:themeColor="background1"/>
                <w:sz w:val="22"/>
                <w:szCs w:val="22"/>
                <w:lang w:eastAsia="en-AU"/>
              </w:rPr>
            </w:pPr>
            <w:r w:rsidRPr="005B3FB2">
              <w:rPr>
                <w:rFonts w:asciiTheme="minorHAnsi" w:hAnsiTheme="minorHAnsi" w:cstheme="minorHAnsi"/>
                <w:color w:val="FFFFFF" w:themeColor="background1"/>
                <w:sz w:val="22"/>
                <w:szCs w:val="22"/>
                <w:lang w:eastAsia="en-AU"/>
              </w:rPr>
              <w:t>Indicator</w:t>
            </w:r>
          </w:p>
        </w:tc>
        <w:tc>
          <w:tcPr>
            <w:tcW w:w="2945" w:type="dxa"/>
            <w:shd w:val="clear" w:color="auto" w:fill="4E1A74" w:themeFill="text2"/>
            <w:vAlign w:val="center"/>
          </w:tcPr>
          <w:p w14:paraId="0C5993BF" w14:textId="77777777" w:rsidR="00546F70" w:rsidRPr="005B3FB2" w:rsidRDefault="00546F70" w:rsidP="005B3FB2">
            <w:pPr>
              <w:pStyle w:val="Tableheading"/>
              <w:jc w:val="center"/>
              <w:rPr>
                <w:rFonts w:asciiTheme="minorHAnsi" w:hAnsiTheme="minorHAnsi" w:cstheme="minorHAnsi"/>
                <w:color w:val="FFFFFF" w:themeColor="background1"/>
                <w:sz w:val="22"/>
                <w:szCs w:val="22"/>
                <w:lang w:eastAsia="en-AU"/>
              </w:rPr>
            </w:pPr>
            <w:r w:rsidRPr="005B3FB2">
              <w:rPr>
                <w:rFonts w:asciiTheme="minorHAnsi" w:hAnsiTheme="minorHAnsi" w:cstheme="minorHAnsi"/>
                <w:color w:val="FFFFFF" w:themeColor="background1"/>
                <w:sz w:val="22"/>
                <w:szCs w:val="22"/>
                <w:lang w:eastAsia="en-AU"/>
              </w:rPr>
              <w:t>Evidence</w:t>
            </w:r>
          </w:p>
        </w:tc>
        <w:tc>
          <w:tcPr>
            <w:tcW w:w="4110" w:type="dxa"/>
            <w:shd w:val="clear" w:color="auto" w:fill="4E1A74" w:themeFill="text2"/>
            <w:vAlign w:val="center"/>
          </w:tcPr>
          <w:p w14:paraId="6385C10E" w14:textId="77777777" w:rsidR="00546F70" w:rsidRPr="005B3FB2" w:rsidRDefault="00546F70" w:rsidP="005B3FB2">
            <w:pPr>
              <w:pStyle w:val="Tableheading"/>
              <w:jc w:val="center"/>
              <w:rPr>
                <w:rFonts w:asciiTheme="minorHAnsi" w:hAnsiTheme="minorHAnsi" w:cstheme="minorHAnsi"/>
                <w:color w:val="FFFFFF" w:themeColor="background1"/>
                <w:sz w:val="22"/>
                <w:szCs w:val="22"/>
                <w:lang w:eastAsia="en-AU"/>
              </w:rPr>
            </w:pPr>
            <w:r w:rsidRPr="005B3FB2">
              <w:rPr>
                <w:rFonts w:asciiTheme="minorHAnsi" w:hAnsiTheme="minorHAnsi" w:cstheme="minorHAnsi"/>
                <w:color w:val="FFFFFF" w:themeColor="background1"/>
                <w:sz w:val="22"/>
                <w:szCs w:val="22"/>
                <w:lang w:eastAsia="en-AU"/>
              </w:rPr>
              <w:t>Comment</w:t>
            </w:r>
          </w:p>
        </w:tc>
      </w:tr>
      <w:tr w:rsidR="00546F70" w:rsidRPr="00173273" w14:paraId="5E7ECDA7" w14:textId="77777777" w:rsidTr="00546F70">
        <w:trPr>
          <w:cantSplit/>
          <w:trHeight w:val="2623"/>
        </w:trPr>
        <w:tc>
          <w:tcPr>
            <w:tcW w:w="2692" w:type="dxa"/>
          </w:tcPr>
          <w:p w14:paraId="0B5659E7" w14:textId="77777777" w:rsidR="00546F70" w:rsidRPr="00173273" w:rsidRDefault="00546F70" w:rsidP="002D5D10">
            <w:pPr>
              <w:pStyle w:val="Tabletext"/>
              <w:jc w:val="left"/>
              <w:rPr>
                <w:lang w:eastAsia="en-AU"/>
              </w:rPr>
            </w:pPr>
            <w:r w:rsidRPr="00173273">
              <w:rPr>
                <w:lang w:eastAsia="en-AU"/>
              </w:rPr>
              <w:t xml:space="preserve">PI 4.1 </w:t>
            </w:r>
            <w:r>
              <w:rPr>
                <w:lang w:eastAsia="en-AU"/>
              </w:rPr>
              <w:t>–</w:t>
            </w:r>
            <w:r w:rsidRPr="00173273">
              <w:rPr>
                <w:lang w:eastAsia="en-AU"/>
              </w:rPr>
              <w:t xml:space="preserve"> Percentage of inspections on licence holders with a medium to high risk ranking (risk informed regulation)</w:t>
            </w:r>
            <w:r>
              <w:rPr>
                <w:lang w:eastAsia="en-AU"/>
              </w:rPr>
              <w:t>.</w:t>
            </w:r>
          </w:p>
        </w:tc>
        <w:tc>
          <w:tcPr>
            <w:tcW w:w="2945" w:type="dxa"/>
          </w:tcPr>
          <w:p w14:paraId="02533609" w14:textId="6896E33A" w:rsidR="00263E57" w:rsidRDefault="004A5DAA" w:rsidP="002D5D10">
            <w:pPr>
              <w:pStyle w:val="Tabletext"/>
              <w:jc w:val="left"/>
              <w:rPr>
                <w:lang w:eastAsia="en-AU"/>
              </w:rPr>
            </w:pPr>
            <w:r>
              <w:rPr>
                <w:noProof/>
                <w:lang w:eastAsia="en-AU"/>
              </w:rPr>
              <w:drawing>
                <wp:inline distT="0" distB="0" distL="0" distR="0" wp14:anchorId="4ADA955A" wp14:editId="3EA06F84">
                  <wp:extent cx="252000" cy="252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b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14:paraId="0AC39863" w14:textId="39D94965" w:rsidR="00546F70" w:rsidRPr="00173273" w:rsidRDefault="00CD7DD2" w:rsidP="002D5D10">
            <w:pPr>
              <w:pStyle w:val="Tabletext"/>
              <w:jc w:val="left"/>
              <w:rPr>
                <w:lang w:eastAsia="en-AU"/>
              </w:rPr>
            </w:pPr>
            <w:r>
              <w:rPr>
                <w:lang w:eastAsia="en-AU"/>
              </w:rPr>
              <w:t>56</w:t>
            </w:r>
            <w:r w:rsidR="00546F70" w:rsidRPr="00173273">
              <w:rPr>
                <w:lang w:eastAsia="en-AU"/>
              </w:rPr>
              <w:t>% of inspections conducted on medium to high risk licence holders – target (</w:t>
            </w:r>
            <w:r w:rsidR="00437806">
              <w:rPr>
                <w:lang w:eastAsia="en-AU"/>
              </w:rPr>
              <w:t>7</w:t>
            </w:r>
            <w:r w:rsidR="00546F70" w:rsidRPr="00173273">
              <w:rPr>
                <w:lang w:eastAsia="en-AU"/>
              </w:rPr>
              <w:t>0%) not met.</w:t>
            </w:r>
          </w:p>
        </w:tc>
        <w:tc>
          <w:tcPr>
            <w:tcW w:w="4110" w:type="dxa"/>
          </w:tcPr>
          <w:p w14:paraId="0CB9BA8D" w14:textId="77777777" w:rsidR="00546F70" w:rsidRPr="00173273" w:rsidRDefault="00CD7DD2" w:rsidP="00546F70">
            <w:pPr>
              <w:pStyle w:val="Tabletext"/>
              <w:numPr>
                <w:ilvl w:val="0"/>
                <w:numId w:val="59"/>
              </w:numPr>
              <w:spacing w:before="0" w:after="0"/>
              <w:ind w:left="303"/>
              <w:jc w:val="left"/>
              <w:rPr>
                <w:lang w:eastAsia="en-AU"/>
              </w:rPr>
            </w:pPr>
            <w:r>
              <w:rPr>
                <w:lang w:eastAsia="en-AU"/>
              </w:rPr>
              <w:t>The number of inspections does not properly represent the object of this measure as low risk inspections take less time than those at a higher risk lice</w:t>
            </w:r>
            <w:r w:rsidR="00C577DD">
              <w:rPr>
                <w:lang w:eastAsia="en-AU"/>
              </w:rPr>
              <w:t>nce</w:t>
            </w:r>
            <w:r w:rsidR="00546F70" w:rsidRPr="00173273">
              <w:rPr>
                <w:lang w:eastAsia="en-AU"/>
              </w:rPr>
              <w:t>.</w:t>
            </w:r>
          </w:p>
          <w:p w14:paraId="4C36699F" w14:textId="77777777" w:rsidR="00546F70" w:rsidRPr="00173273" w:rsidRDefault="00C577DD" w:rsidP="00950CD5">
            <w:pPr>
              <w:pStyle w:val="Tabletext"/>
              <w:numPr>
                <w:ilvl w:val="0"/>
                <w:numId w:val="59"/>
              </w:numPr>
              <w:spacing w:before="0" w:after="0"/>
              <w:ind w:left="303"/>
              <w:jc w:val="left"/>
              <w:rPr>
                <w:lang w:eastAsia="en-AU"/>
              </w:rPr>
            </w:pPr>
            <w:r>
              <w:rPr>
                <w:lang w:eastAsia="en-AU"/>
              </w:rPr>
              <w:t xml:space="preserve">Data shows that 78% of </w:t>
            </w:r>
            <w:r w:rsidR="00950CD5">
              <w:rPr>
                <w:lang w:eastAsia="en-AU"/>
              </w:rPr>
              <w:t>time</w:t>
            </w:r>
            <w:r>
              <w:rPr>
                <w:lang w:eastAsia="en-AU"/>
              </w:rPr>
              <w:t xml:space="preserve"> on specific licences was expended on medium and </w:t>
            </w:r>
            <w:r w:rsidR="00857844">
              <w:rPr>
                <w:lang w:eastAsia="en-AU"/>
              </w:rPr>
              <w:t>high-risk</w:t>
            </w:r>
            <w:r>
              <w:rPr>
                <w:lang w:eastAsia="en-AU"/>
              </w:rPr>
              <w:t xml:space="preserve"> licences.</w:t>
            </w:r>
          </w:p>
        </w:tc>
      </w:tr>
      <w:tr w:rsidR="00546F70" w:rsidRPr="00173273" w14:paraId="57FB2F17" w14:textId="77777777" w:rsidTr="001D04B0">
        <w:trPr>
          <w:cantSplit/>
          <w:trHeight w:val="2623"/>
        </w:trPr>
        <w:tc>
          <w:tcPr>
            <w:tcW w:w="2692" w:type="dxa"/>
            <w:shd w:val="clear" w:color="auto" w:fill="F1E6FA"/>
          </w:tcPr>
          <w:p w14:paraId="41A47827" w14:textId="77777777" w:rsidR="00546F70" w:rsidRPr="00173273" w:rsidRDefault="00546F70" w:rsidP="002D5D10">
            <w:pPr>
              <w:pStyle w:val="Tabletext"/>
              <w:jc w:val="left"/>
              <w:rPr>
                <w:lang w:eastAsia="en-AU"/>
              </w:rPr>
            </w:pPr>
            <w:r w:rsidRPr="00173273">
              <w:rPr>
                <w:lang w:eastAsia="en-AU"/>
              </w:rPr>
              <w:t xml:space="preserve">PI 4.2 </w:t>
            </w:r>
            <w:r>
              <w:rPr>
                <w:lang w:eastAsia="en-AU"/>
              </w:rPr>
              <w:t>–</w:t>
            </w:r>
            <w:r w:rsidRPr="00173273">
              <w:rPr>
                <w:lang w:eastAsia="en-AU"/>
              </w:rPr>
              <w:t xml:space="preserve"> Percentage of time that actions are initiated within three months of the issuance of a performance deficiency (light touch regulation)</w:t>
            </w:r>
            <w:r>
              <w:rPr>
                <w:lang w:eastAsia="en-AU"/>
              </w:rPr>
              <w:t>.</w:t>
            </w:r>
          </w:p>
        </w:tc>
        <w:tc>
          <w:tcPr>
            <w:tcW w:w="2945" w:type="dxa"/>
            <w:shd w:val="clear" w:color="auto" w:fill="F1E6FA"/>
          </w:tcPr>
          <w:p w14:paraId="3B0DBB37" w14:textId="7649FB2D" w:rsidR="00263E57" w:rsidRDefault="009007A9" w:rsidP="002D5D10">
            <w:pPr>
              <w:pStyle w:val="Tabletext"/>
              <w:jc w:val="left"/>
              <w:rPr>
                <w:lang w:eastAsia="en-AU"/>
              </w:rPr>
            </w:pPr>
            <w:r>
              <w:rPr>
                <w:noProof/>
                <w:lang w:eastAsia="en-AU"/>
              </w:rPr>
              <w:drawing>
                <wp:inline distT="0" distB="0" distL="0" distR="0" wp14:anchorId="5215BCD6" wp14:editId="26FA40B9">
                  <wp:extent cx="252000" cy="252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ee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14:paraId="5DA24D01" w14:textId="3D35265E" w:rsidR="00546F70" w:rsidRPr="00173273" w:rsidRDefault="00B24EE5" w:rsidP="002D5D10">
            <w:pPr>
              <w:pStyle w:val="Tabletext"/>
              <w:jc w:val="left"/>
              <w:rPr>
                <w:lang w:eastAsia="en-AU"/>
              </w:rPr>
            </w:pPr>
            <w:r>
              <w:rPr>
                <w:lang w:eastAsia="en-AU"/>
              </w:rPr>
              <w:t>A</w:t>
            </w:r>
            <w:r w:rsidR="00546F70" w:rsidRPr="00173273">
              <w:rPr>
                <w:lang w:eastAsia="en-AU"/>
              </w:rPr>
              <w:t xml:space="preserve">ction is initiated within 3 months </w:t>
            </w:r>
            <w:r>
              <w:rPr>
                <w:lang w:eastAsia="en-AU"/>
              </w:rPr>
              <w:t xml:space="preserve">for 59% of the AFIs </w:t>
            </w:r>
            <w:r w:rsidR="00546F70" w:rsidRPr="00173273">
              <w:rPr>
                <w:lang w:eastAsia="en-AU"/>
              </w:rPr>
              <w:t>– target (50%) met.</w:t>
            </w:r>
          </w:p>
        </w:tc>
        <w:tc>
          <w:tcPr>
            <w:tcW w:w="4110" w:type="dxa"/>
            <w:shd w:val="clear" w:color="auto" w:fill="F1E6FA"/>
          </w:tcPr>
          <w:p w14:paraId="3670FB3A" w14:textId="7DBEB590" w:rsidR="00546F70" w:rsidRPr="00173273" w:rsidRDefault="00C577DD" w:rsidP="00546F70">
            <w:pPr>
              <w:pStyle w:val="Tabletext"/>
              <w:numPr>
                <w:ilvl w:val="0"/>
                <w:numId w:val="59"/>
              </w:numPr>
              <w:spacing w:before="0" w:after="0"/>
              <w:ind w:left="303"/>
              <w:jc w:val="left"/>
              <w:rPr>
                <w:lang w:eastAsia="en-AU"/>
              </w:rPr>
            </w:pPr>
            <w:r>
              <w:rPr>
                <w:lang w:eastAsia="en-AU"/>
              </w:rPr>
              <w:t>This performance result was improved from the previous year (35%)</w:t>
            </w:r>
            <w:r w:rsidR="00B24EE5">
              <w:rPr>
                <w:lang w:eastAsia="en-AU"/>
              </w:rPr>
              <w:t xml:space="preserve">, </w:t>
            </w:r>
            <w:r w:rsidR="002469BA">
              <w:rPr>
                <w:lang w:eastAsia="en-AU"/>
              </w:rPr>
              <w:t>partly</w:t>
            </w:r>
            <w:r w:rsidR="00BB70CA">
              <w:rPr>
                <w:lang w:eastAsia="en-AU"/>
              </w:rPr>
              <w:t xml:space="preserve"> </w:t>
            </w:r>
            <w:r w:rsidR="00B24EE5">
              <w:rPr>
                <w:lang w:eastAsia="en-AU"/>
              </w:rPr>
              <w:t>because</w:t>
            </w:r>
            <w:r w:rsidR="00BB70CA">
              <w:rPr>
                <w:lang w:eastAsia="en-AU"/>
              </w:rPr>
              <w:t xml:space="preserve"> regulatory officers are more efficient in following up actions</w:t>
            </w:r>
            <w:r w:rsidR="00546F70" w:rsidRPr="00173273">
              <w:rPr>
                <w:lang w:eastAsia="en-AU"/>
              </w:rPr>
              <w:t>.</w:t>
            </w:r>
          </w:p>
          <w:p w14:paraId="2762AE13" w14:textId="36F9C68A" w:rsidR="00C577DD" w:rsidRPr="00173273" w:rsidRDefault="00546F70" w:rsidP="00C577DD">
            <w:pPr>
              <w:pStyle w:val="Tabletext"/>
              <w:numPr>
                <w:ilvl w:val="0"/>
                <w:numId w:val="59"/>
              </w:numPr>
              <w:spacing w:before="0" w:after="0"/>
              <w:ind w:left="303"/>
              <w:jc w:val="left"/>
              <w:rPr>
                <w:lang w:eastAsia="en-AU"/>
              </w:rPr>
            </w:pPr>
            <w:r w:rsidRPr="00173273">
              <w:rPr>
                <w:lang w:eastAsia="en-AU"/>
              </w:rPr>
              <w:t xml:space="preserve">Improvement in this PI </w:t>
            </w:r>
            <w:r w:rsidR="00C577DD">
              <w:rPr>
                <w:lang w:eastAsia="en-AU"/>
              </w:rPr>
              <w:t>wa</w:t>
            </w:r>
            <w:r w:rsidRPr="00173273">
              <w:rPr>
                <w:lang w:eastAsia="en-AU"/>
              </w:rPr>
              <w:t>s seen as a management priority</w:t>
            </w:r>
            <w:r w:rsidR="00C577DD">
              <w:rPr>
                <w:lang w:eastAsia="en-AU"/>
              </w:rPr>
              <w:t xml:space="preserve"> following the previous self-assessment because it reflects the safety culture of licen</w:t>
            </w:r>
            <w:r w:rsidR="00E278EE">
              <w:rPr>
                <w:lang w:eastAsia="en-AU"/>
              </w:rPr>
              <w:t>se holders.</w:t>
            </w:r>
            <w:r w:rsidR="00C577DD">
              <w:rPr>
                <w:lang w:eastAsia="en-AU"/>
              </w:rPr>
              <w:t xml:space="preserve"> </w:t>
            </w:r>
          </w:p>
          <w:p w14:paraId="0FBCC5C1" w14:textId="77777777" w:rsidR="00546F70" w:rsidRPr="00173273" w:rsidRDefault="00546F70" w:rsidP="00C577DD">
            <w:pPr>
              <w:pStyle w:val="Tabletext"/>
              <w:spacing w:before="0" w:after="0"/>
              <w:ind w:left="-57"/>
              <w:jc w:val="left"/>
              <w:rPr>
                <w:lang w:eastAsia="en-AU"/>
              </w:rPr>
            </w:pPr>
          </w:p>
        </w:tc>
      </w:tr>
    </w:tbl>
    <w:p w14:paraId="5A4A651D" w14:textId="77777777" w:rsidR="00546F70" w:rsidRPr="00A9092B" w:rsidRDefault="00546F70" w:rsidP="00546F70">
      <w:pPr>
        <w:pStyle w:val="Heading3"/>
        <w:keepLines w:val="0"/>
        <w:spacing w:before="200" w:after="120" w:line="240" w:lineRule="auto"/>
        <w:jc w:val="both"/>
        <w:rPr>
          <w:lang w:eastAsia="en-AU"/>
        </w:rPr>
      </w:pPr>
      <w:bookmarkStart w:id="36" w:name="_Toc470173159"/>
      <w:r w:rsidRPr="00A9092B">
        <w:rPr>
          <w:lang w:eastAsia="en-AU"/>
        </w:rPr>
        <w:t>Other evidence to indicate compliance with KPI 4</w:t>
      </w:r>
      <w:bookmarkEnd w:id="36"/>
    </w:p>
    <w:p w14:paraId="7315E89E" w14:textId="25E4A2EB" w:rsidR="00546F70" w:rsidRPr="00A9092B" w:rsidRDefault="00546F70" w:rsidP="00546F70">
      <w:pPr>
        <w:spacing w:after="120"/>
        <w:rPr>
          <w:rFonts w:cs="Times New Roman"/>
          <w:bCs/>
          <w:lang w:eastAsia="en-AU"/>
        </w:rPr>
      </w:pPr>
      <w:r w:rsidRPr="00A9092B">
        <w:rPr>
          <w:rFonts w:cs="Times New Roman"/>
          <w:bCs/>
          <w:lang w:eastAsia="en-AU"/>
        </w:rPr>
        <w:t xml:space="preserve">A review of facility risk </w:t>
      </w:r>
      <w:r>
        <w:rPr>
          <w:rFonts w:cs="Times New Roman"/>
          <w:bCs/>
          <w:lang w:eastAsia="en-AU"/>
        </w:rPr>
        <w:t xml:space="preserve">ranking </w:t>
      </w:r>
      <w:r w:rsidRPr="00A9092B">
        <w:rPr>
          <w:rFonts w:cs="Times New Roman"/>
          <w:bCs/>
          <w:lang w:eastAsia="en-AU"/>
        </w:rPr>
        <w:t>takes place at least annually and following an inspection. Th</w:t>
      </w:r>
      <w:r>
        <w:rPr>
          <w:rFonts w:cs="Times New Roman"/>
          <w:bCs/>
          <w:lang w:eastAsia="en-AU"/>
        </w:rPr>
        <w:t>e</w:t>
      </w:r>
      <w:r w:rsidRPr="00A9092B">
        <w:rPr>
          <w:rFonts w:cs="Times New Roman"/>
          <w:bCs/>
          <w:lang w:eastAsia="en-AU"/>
        </w:rPr>
        <w:t xml:space="preserve"> risk ranking determines inspection frequency and monitoring strategies. </w:t>
      </w:r>
      <w:r w:rsidR="00D12661">
        <w:rPr>
          <w:rFonts w:cs="Times New Roman"/>
          <w:bCs/>
          <w:lang w:eastAsia="en-AU"/>
        </w:rPr>
        <w:t xml:space="preserve">The </w:t>
      </w:r>
      <w:r w:rsidR="009A37E9">
        <w:rPr>
          <w:rFonts w:cs="Times New Roman"/>
          <w:bCs/>
          <w:lang w:eastAsia="en-AU"/>
        </w:rPr>
        <w:t xml:space="preserve">inspection schedule </w:t>
      </w:r>
      <w:r w:rsidR="00857844">
        <w:rPr>
          <w:rFonts w:cs="Times New Roman"/>
          <w:bCs/>
          <w:lang w:eastAsia="en-AU"/>
        </w:rPr>
        <w:t>is</w:t>
      </w:r>
      <w:r w:rsidR="009A37E9">
        <w:rPr>
          <w:rFonts w:cs="Times New Roman"/>
          <w:bCs/>
          <w:lang w:eastAsia="en-AU"/>
        </w:rPr>
        <w:t xml:space="preserve"> reviewed annually with any changes taking effect from 1 January. </w:t>
      </w:r>
      <w:r w:rsidRPr="00A9092B">
        <w:rPr>
          <w:rFonts w:cs="Times New Roman"/>
          <w:bCs/>
          <w:lang w:eastAsia="en-AU"/>
        </w:rPr>
        <w:t xml:space="preserve">As such, </w:t>
      </w:r>
      <w:r w:rsidR="004E0546">
        <w:rPr>
          <w:rFonts w:cs="Times New Roman"/>
          <w:bCs/>
          <w:lang w:eastAsia="en-AU"/>
        </w:rPr>
        <w:t xml:space="preserve">ARPANSA can reduce its efforts expended on regulatory oversight of </w:t>
      </w:r>
      <w:r w:rsidRPr="00A9092B">
        <w:rPr>
          <w:rFonts w:cs="Times New Roman"/>
          <w:bCs/>
          <w:lang w:eastAsia="en-AU"/>
        </w:rPr>
        <w:t xml:space="preserve">facilities with a high level </w:t>
      </w:r>
      <w:r w:rsidRPr="00A9092B">
        <w:rPr>
          <w:rFonts w:cs="Times New Roman"/>
          <w:bCs/>
          <w:lang w:eastAsia="en-AU"/>
        </w:rPr>
        <w:lastRenderedPageBreak/>
        <w:t>of control and demonstrated good performance.</w:t>
      </w:r>
      <w:r>
        <w:rPr>
          <w:rFonts w:cs="Times New Roman"/>
          <w:bCs/>
          <w:lang w:eastAsia="en-AU"/>
        </w:rPr>
        <w:t xml:space="preserve"> Source inspection frequencies are determined primarily on the inherent hazard of the source.</w:t>
      </w:r>
    </w:p>
    <w:p w14:paraId="2A89E27F" w14:textId="77777777" w:rsidR="00546F70" w:rsidRPr="00215FE6" w:rsidRDefault="00546F70" w:rsidP="00546F70">
      <w:pPr>
        <w:pStyle w:val="Heading3"/>
        <w:keepLines w:val="0"/>
        <w:spacing w:before="120" w:after="120" w:line="240" w:lineRule="auto"/>
        <w:jc w:val="both"/>
        <w:rPr>
          <w:lang w:eastAsia="en-AU"/>
        </w:rPr>
      </w:pPr>
      <w:bookmarkStart w:id="37" w:name="_Toc470173160"/>
      <w:r w:rsidRPr="00A9092B">
        <w:rPr>
          <w:lang w:eastAsia="en-AU"/>
        </w:rPr>
        <w:t>Analysis of evidence presented</w:t>
      </w:r>
      <w:bookmarkEnd w:id="37"/>
    </w:p>
    <w:p w14:paraId="06C2E799" w14:textId="2BB2B40F" w:rsidR="00546F70" w:rsidRDefault="00546F70" w:rsidP="00546F70">
      <w:pPr>
        <w:autoSpaceDE w:val="0"/>
        <w:autoSpaceDN w:val="0"/>
        <w:adjustRightInd w:val="0"/>
        <w:spacing w:after="120"/>
        <w:rPr>
          <w:szCs w:val="24"/>
        </w:rPr>
      </w:pPr>
      <w:r w:rsidRPr="008077B9">
        <w:rPr>
          <w:szCs w:val="24"/>
        </w:rPr>
        <w:t xml:space="preserve">Overall </w:t>
      </w:r>
      <w:r>
        <w:rPr>
          <w:szCs w:val="24"/>
        </w:rPr>
        <w:t xml:space="preserve">performance against this KPI was assessed as good. This is based on evidence that there was a high level of </w:t>
      </w:r>
      <w:r w:rsidRPr="00B7323C">
        <w:rPr>
          <w:szCs w:val="24"/>
        </w:rPr>
        <w:t>transparency of inspection and monitoring arrangements</w:t>
      </w:r>
      <w:r>
        <w:rPr>
          <w:szCs w:val="24"/>
        </w:rPr>
        <w:t>,</w:t>
      </w:r>
      <w:r w:rsidRPr="00B7323C">
        <w:rPr>
          <w:szCs w:val="24"/>
        </w:rPr>
        <w:t xml:space="preserve"> </w:t>
      </w:r>
      <w:r>
        <w:rPr>
          <w:szCs w:val="24"/>
        </w:rPr>
        <w:t xml:space="preserve">feedback mechanisms in place </w:t>
      </w:r>
      <w:r w:rsidRPr="00B7323C">
        <w:rPr>
          <w:szCs w:val="24"/>
        </w:rPr>
        <w:t xml:space="preserve">to seek stakeholder views on </w:t>
      </w:r>
      <w:r>
        <w:rPr>
          <w:szCs w:val="24"/>
        </w:rPr>
        <w:t xml:space="preserve">the </w:t>
      </w:r>
      <w:r w:rsidRPr="00B7323C">
        <w:rPr>
          <w:szCs w:val="24"/>
        </w:rPr>
        <w:t>inspection and monitoring regime</w:t>
      </w:r>
      <w:r>
        <w:rPr>
          <w:szCs w:val="24"/>
        </w:rPr>
        <w:t>s, and m</w:t>
      </w:r>
      <w:r w:rsidRPr="00B7323C">
        <w:rPr>
          <w:szCs w:val="24"/>
        </w:rPr>
        <w:t>onitoring and enforcement strategies that allow for a range of regulatory responses.</w:t>
      </w:r>
      <w:r w:rsidR="000379D7">
        <w:rPr>
          <w:szCs w:val="24"/>
        </w:rPr>
        <w:t xml:space="preserve"> </w:t>
      </w:r>
      <w:r w:rsidR="000379D7" w:rsidRPr="00DA30C4">
        <w:rPr>
          <w:szCs w:val="24"/>
        </w:rPr>
        <w:t>The assessment team did, however, recommend that the mechanism for stakeholder feedback be strengthened by introducing a customer survey relating to the licence application process</w:t>
      </w:r>
      <w:r w:rsidR="00FC1FE3" w:rsidRPr="00DA30C4">
        <w:rPr>
          <w:szCs w:val="24"/>
        </w:rPr>
        <w:t xml:space="preserve"> </w:t>
      </w:r>
      <w:r w:rsidR="008F3604">
        <w:rPr>
          <w:szCs w:val="24"/>
        </w:rPr>
        <w:t>as</w:t>
      </w:r>
      <w:r w:rsidR="008F3604" w:rsidRPr="00DA30C4">
        <w:rPr>
          <w:szCs w:val="24"/>
        </w:rPr>
        <w:t xml:space="preserve"> </w:t>
      </w:r>
      <w:r w:rsidR="00FC1FE3" w:rsidRPr="00DA30C4">
        <w:rPr>
          <w:szCs w:val="24"/>
        </w:rPr>
        <w:t>a way of improved performance monitoring and to drive continuous improvement</w:t>
      </w:r>
      <w:r w:rsidR="000379D7" w:rsidRPr="00DA30C4">
        <w:rPr>
          <w:szCs w:val="24"/>
        </w:rPr>
        <w:t>.</w:t>
      </w:r>
      <w:r w:rsidR="00DA30C4">
        <w:rPr>
          <w:szCs w:val="24"/>
        </w:rPr>
        <w:t xml:space="preserve"> This is discussed in Sections 2.1 and 2.2.</w:t>
      </w:r>
    </w:p>
    <w:p w14:paraId="7E3B9AAA" w14:textId="77777777" w:rsidR="00546F70" w:rsidRPr="00B7323C" w:rsidRDefault="00546F70" w:rsidP="00546F70">
      <w:pPr>
        <w:autoSpaceDE w:val="0"/>
        <w:autoSpaceDN w:val="0"/>
        <w:adjustRightInd w:val="0"/>
        <w:spacing w:after="120"/>
        <w:rPr>
          <w:szCs w:val="24"/>
        </w:rPr>
      </w:pPr>
      <w:r>
        <w:rPr>
          <w:szCs w:val="24"/>
        </w:rPr>
        <w:lastRenderedPageBreak/>
        <w:t>While the PIs relate to the KPI, the measures used may not provide sufficient information to fully and accurately assess performance.</w:t>
      </w:r>
    </w:p>
    <w:p w14:paraId="4FA973E7" w14:textId="77777777" w:rsidR="00546F70" w:rsidRDefault="00546F70" w:rsidP="00546F70">
      <w:pPr>
        <w:spacing w:after="120"/>
        <w:rPr>
          <w:szCs w:val="24"/>
        </w:rPr>
      </w:pPr>
      <w:r w:rsidRPr="00B91212">
        <w:rPr>
          <w:b/>
        </w:rPr>
        <w:t>PI 4.1</w:t>
      </w:r>
      <w:r w:rsidRPr="00A9092B">
        <w:t xml:space="preserve"> </w:t>
      </w:r>
      <w:r w:rsidRPr="0022270F">
        <w:rPr>
          <w:szCs w:val="24"/>
        </w:rPr>
        <w:t>relates to the number of inspections performed on higher risk licences compared to the lower risk</w:t>
      </w:r>
      <w:r>
        <w:rPr>
          <w:szCs w:val="24"/>
        </w:rPr>
        <w:t xml:space="preserve"> licences</w:t>
      </w:r>
      <w:r w:rsidRPr="0022270F">
        <w:rPr>
          <w:szCs w:val="24"/>
        </w:rPr>
        <w:t>.</w:t>
      </w:r>
      <w:r w:rsidRPr="00A9092B">
        <w:rPr>
          <w:szCs w:val="24"/>
        </w:rPr>
        <w:t xml:space="preserve"> </w:t>
      </w:r>
      <w:r>
        <w:rPr>
          <w:szCs w:val="24"/>
        </w:rPr>
        <w:t xml:space="preserve">This PI </w:t>
      </w:r>
      <w:r w:rsidR="00CC4312">
        <w:rPr>
          <w:szCs w:val="24"/>
        </w:rPr>
        <w:t>was intended to represent</w:t>
      </w:r>
      <w:r>
        <w:rPr>
          <w:szCs w:val="24"/>
        </w:rPr>
        <w:t xml:space="preserve"> how well ARPANSA targets resources to higher risk licence holders.</w:t>
      </w:r>
    </w:p>
    <w:p w14:paraId="32D04068" w14:textId="02E8A3A9" w:rsidR="00546F70" w:rsidRDefault="00546F70" w:rsidP="00546F70">
      <w:pPr>
        <w:spacing w:after="120"/>
        <w:rPr>
          <w:szCs w:val="24"/>
        </w:rPr>
      </w:pPr>
      <w:r w:rsidRPr="00A9092B">
        <w:rPr>
          <w:szCs w:val="24"/>
        </w:rPr>
        <w:t>The team noted</w:t>
      </w:r>
      <w:r>
        <w:rPr>
          <w:szCs w:val="24"/>
        </w:rPr>
        <w:t xml:space="preserve"> that</w:t>
      </w:r>
      <w:r w:rsidRPr="00A9092B">
        <w:rPr>
          <w:szCs w:val="24"/>
        </w:rPr>
        <w:t xml:space="preserve"> since the establishment of this PI, the risk ranking method for source licences </w:t>
      </w:r>
      <w:r>
        <w:rPr>
          <w:szCs w:val="24"/>
        </w:rPr>
        <w:t>was</w:t>
      </w:r>
      <w:r w:rsidRPr="00A9092B">
        <w:rPr>
          <w:szCs w:val="24"/>
        </w:rPr>
        <w:t xml:space="preserve"> adjusted.</w:t>
      </w:r>
      <w:r>
        <w:rPr>
          <w:szCs w:val="24"/>
        </w:rPr>
        <w:t xml:space="preserve"> A large proportion of source licences are in the lower risk categories. These graded strategies help to meet the intention of the </w:t>
      </w:r>
      <w:r w:rsidRPr="00832072">
        <w:rPr>
          <w:szCs w:val="24"/>
        </w:rPr>
        <w:t xml:space="preserve">PI. However, the introduction of less resource-intensive inspections </w:t>
      </w:r>
      <w:r w:rsidR="00CC4312">
        <w:rPr>
          <w:szCs w:val="24"/>
        </w:rPr>
        <w:t xml:space="preserve">has resulted </w:t>
      </w:r>
      <w:r w:rsidRPr="00832072">
        <w:rPr>
          <w:szCs w:val="24"/>
        </w:rPr>
        <w:t xml:space="preserve">in an increased number of low risk inspections </w:t>
      </w:r>
      <w:r w:rsidR="008C3DE3">
        <w:rPr>
          <w:szCs w:val="24"/>
        </w:rPr>
        <w:t>that</w:t>
      </w:r>
      <w:r w:rsidRPr="00832072">
        <w:rPr>
          <w:szCs w:val="24"/>
        </w:rPr>
        <w:t xml:space="preserve"> </w:t>
      </w:r>
      <w:r w:rsidR="00CC4312">
        <w:rPr>
          <w:szCs w:val="24"/>
        </w:rPr>
        <w:t>has devalued the measure.</w:t>
      </w:r>
      <w:r w:rsidR="00A800E6">
        <w:rPr>
          <w:szCs w:val="24"/>
        </w:rPr>
        <w:t xml:space="preserve"> </w:t>
      </w:r>
      <w:r w:rsidR="00DA30C4">
        <w:rPr>
          <w:szCs w:val="24"/>
        </w:rPr>
        <w:t>T</w:t>
      </w:r>
      <w:r w:rsidR="00A800E6">
        <w:rPr>
          <w:szCs w:val="24"/>
        </w:rPr>
        <w:t xml:space="preserve">he team was satisfied that the intent of this measure is fulfilled based on data provided to the team </w:t>
      </w:r>
      <w:r w:rsidR="008C3DE3">
        <w:rPr>
          <w:szCs w:val="24"/>
        </w:rPr>
        <w:t>that showed 78% of time spent</w:t>
      </w:r>
      <w:r w:rsidR="00A800E6">
        <w:rPr>
          <w:szCs w:val="24"/>
        </w:rPr>
        <w:t xml:space="preserve"> working on individual licences was recorded against </w:t>
      </w:r>
      <w:r w:rsidR="00503350">
        <w:rPr>
          <w:szCs w:val="24"/>
        </w:rPr>
        <w:t xml:space="preserve">those with a </w:t>
      </w:r>
      <w:r w:rsidR="00A800E6">
        <w:rPr>
          <w:szCs w:val="24"/>
        </w:rPr>
        <w:t xml:space="preserve">medium and </w:t>
      </w:r>
      <w:r w:rsidR="00537BF0">
        <w:rPr>
          <w:szCs w:val="24"/>
        </w:rPr>
        <w:t>high-risk</w:t>
      </w:r>
      <w:r w:rsidR="00503350">
        <w:rPr>
          <w:szCs w:val="24"/>
        </w:rPr>
        <w:t xml:space="preserve"> ranking</w:t>
      </w:r>
      <w:r w:rsidRPr="00832072">
        <w:rPr>
          <w:szCs w:val="24"/>
        </w:rPr>
        <w:t>.</w:t>
      </w:r>
      <w:r>
        <w:rPr>
          <w:szCs w:val="24"/>
        </w:rPr>
        <w:t xml:space="preserve"> </w:t>
      </w:r>
    </w:p>
    <w:p w14:paraId="7A43A74D" w14:textId="3287B37E" w:rsidR="00546F70" w:rsidRPr="00BC039C" w:rsidRDefault="00546F70" w:rsidP="00546F70">
      <w:pPr>
        <w:spacing w:after="120"/>
        <w:rPr>
          <w:szCs w:val="24"/>
        </w:rPr>
      </w:pPr>
      <w:r>
        <w:rPr>
          <w:szCs w:val="24"/>
        </w:rPr>
        <w:lastRenderedPageBreak/>
        <w:t>The revised</w:t>
      </w:r>
      <w:r w:rsidRPr="00A9092B">
        <w:rPr>
          <w:szCs w:val="24"/>
        </w:rPr>
        <w:t xml:space="preserve"> source </w:t>
      </w:r>
      <w:r>
        <w:rPr>
          <w:szCs w:val="24"/>
        </w:rPr>
        <w:t xml:space="preserve">inspection </w:t>
      </w:r>
      <w:r w:rsidRPr="00BC039C">
        <w:rPr>
          <w:szCs w:val="24"/>
        </w:rPr>
        <w:t xml:space="preserve">schedule retains the option to undertake more inspections when poor safety performance is identified. However, there is no system in place to reward good performance with reduced regulatory oversight, in line with </w:t>
      </w:r>
      <w:r w:rsidR="00100B2D">
        <w:rPr>
          <w:szCs w:val="24"/>
        </w:rPr>
        <w:t xml:space="preserve">what in the RPF is referred to as </w:t>
      </w:r>
      <w:r w:rsidRPr="00100B2D">
        <w:rPr>
          <w:szCs w:val="24"/>
        </w:rPr>
        <w:t>‘earned autonomy’</w:t>
      </w:r>
      <w:r w:rsidR="00100B2D">
        <w:rPr>
          <w:szCs w:val="24"/>
        </w:rPr>
        <w:t xml:space="preserve"> (note that the word “autonomy” may suggest that the regulator otherwise assumes some level of responsibility for safety, which is never the case – responsibility for safety rests with the operator</w:t>
      </w:r>
      <w:r w:rsidR="002469BA">
        <w:rPr>
          <w:szCs w:val="24"/>
        </w:rPr>
        <w:t xml:space="preserve"> at all times</w:t>
      </w:r>
      <w:r w:rsidR="00100B2D">
        <w:rPr>
          <w:rStyle w:val="FootnoteReference"/>
          <w:szCs w:val="24"/>
        </w:rPr>
        <w:footnoteReference w:id="4"/>
      </w:r>
      <w:r w:rsidR="00100B2D">
        <w:rPr>
          <w:szCs w:val="24"/>
        </w:rPr>
        <w:t xml:space="preserve">). </w:t>
      </w:r>
      <w:r w:rsidRPr="00BC039C">
        <w:rPr>
          <w:szCs w:val="24"/>
        </w:rPr>
        <w:t xml:space="preserve"> </w:t>
      </w:r>
      <w:r w:rsidR="00C430CB" w:rsidRPr="00BC039C">
        <w:rPr>
          <w:szCs w:val="24"/>
        </w:rPr>
        <w:t xml:space="preserve">The team was told that </w:t>
      </w:r>
      <w:r w:rsidR="00E15BCD" w:rsidRPr="00BC039C">
        <w:rPr>
          <w:szCs w:val="24"/>
        </w:rPr>
        <w:t>a revised inspection plan would be introduced in the near future.</w:t>
      </w:r>
      <w:r w:rsidR="00DA30C4" w:rsidRPr="00BC039C">
        <w:rPr>
          <w:szCs w:val="24"/>
        </w:rPr>
        <w:t xml:space="preserve"> </w:t>
      </w:r>
    </w:p>
    <w:p w14:paraId="107626CB" w14:textId="53945EDA" w:rsidR="00546F70" w:rsidRPr="00BC039C" w:rsidRDefault="00546F70" w:rsidP="00546F70">
      <w:pPr>
        <w:spacing w:after="120"/>
        <w:rPr>
          <w:szCs w:val="24"/>
        </w:rPr>
      </w:pPr>
      <w:r w:rsidRPr="00BC039C">
        <w:rPr>
          <w:szCs w:val="24"/>
        </w:rPr>
        <w:t xml:space="preserve">The </w:t>
      </w:r>
      <w:r w:rsidR="00E15BCD" w:rsidRPr="00BC039C">
        <w:rPr>
          <w:szCs w:val="24"/>
        </w:rPr>
        <w:t xml:space="preserve">assessment team was satisfied that the </w:t>
      </w:r>
      <w:r w:rsidR="005E7330" w:rsidRPr="00BC039C">
        <w:rPr>
          <w:szCs w:val="24"/>
        </w:rPr>
        <w:t>implemen</w:t>
      </w:r>
      <w:r w:rsidR="00E15BCD" w:rsidRPr="00BC039C">
        <w:rPr>
          <w:szCs w:val="24"/>
        </w:rPr>
        <w:t>tation of</w:t>
      </w:r>
      <w:r w:rsidRPr="00BC039C">
        <w:rPr>
          <w:szCs w:val="24"/>
        </w:rPr>
        <w:t xml:space="preserve"> regular review of monitoring and compliance strategies</w:t>
      </w:r>
      <w:r w:rsidR="00E15BCD" w:rsidRPr="00BC039C">
        <w:rPr>
          <w:szCs w:val="24"/>
        </w:rPr>
        <w:t xml:space="preserve"> had been improved over the year</w:t>
      </w:r>
      <w:r w:rsidR="005E7330" w:rsidRPr="00BC039C">
        <w:rPr>
          <w:szCs w:val="24"/>
        </w:rPr>
        <w:t xml:space="preserve"> especially the review of </w:t>
      </w:r>
      <w:r w:rsidRPr="00BC039C">
        <w:rPr>
          <w:szCs w:val="24"/>
        </w:rPr>
        <w:t xml:space="preserve">risk </w:t>
      </w:r>
      <w:r w:rsidRPr="00BC039C">
        <w:rPr>
          <w:szCs w:val="24"/>
        </w:rPr>
        <w:lastRenderedPageBreak/>
        <w:t xml:space="preserve">ranking of facilities and sources </w:t>
      </w:r>
      <w:r w:rsidR="005E7330" w:rsidRPr="00BC039C">
        <w:rPr>
          <w:szCs w:val="24"/>
        </w:rPr>
        <w:t>and consequential adjustment of the inspection schedule</w:t>
      </w:r>
      <w:r w:rsidRPr="00BC039C">
        <w:rPr>
          <w:szCs w:val="24"/>
        </w:rPr>
        <w:t>.</w:t>
      </w:r>
      <w:r w:rsidR="00F128D0" w:rsidRPr="00BC039C">
        <w:rPr>
          <w:szCs w:val="24"/>
        </w:rPr>
        <w:t xml:space="preserve"> However, </w:t>
      </w:r>
      <w:r w:rsidR="003B1945" w:rsidRPr="00BC039C">
        <w:rPr>
          <w:szCs w:val="24"/>
        </w:rPr>
        <w:t xml:space="preserve">it was not demonstrated that the comparative risks between sources and facilities, and the corresponding allocation of resources is </w:t>
      </w:r>
      <w:r w:rsidR="005E7330" w:rsidRPr="00BC039C">
        <w:rPr>
          <w:szCs w:val="24"/>
        </w:rPr>
        <w:t>properly aligned, i.e. there is no level playing field.</w:t>
      </w:r>
      <w:r w:rsidRPr="00BC039C">
        <w:rPr>
          <w:szCs w:val="24"/>
        </w:rPr>
        <w:t xml:space="preserve"> </w:t>
      </w:r>
      <w:r w:rsidR="003B1945" w:rsidRPr="00BC039C">
        <w:rPr>
          <w:szCs w:val="24"/>
        </w:rPr>
        <w:t xml:space="preserve">The </w:t>
      </w:r>
      <w:r w:rsidR="00537BF0" w:rsidRPr="00BC039C">
        <w:rPr>
          <w:szCs w:val="24"/>
        </w:rPr>
        <w:t xml:space="preserve">equivalency of risks </w:t>
      </w:r>
      <w:r w:rsidR="003B1945" w:rsidRPr="00BC039C">
        <w:rPr>
          <w:szCs w:val="24"/>
        </w:rPr>
        <w:t>between sources and facilities should be researched to provide a consistently proportionate level of resources aligned to risk</w:t>
      </w:r>
      <w:r w:rsidR="00537BF0" w:rsidRPr="00BC039C">
        <w:rPr>
          <w:szCs w:val="24"/>
        </w:rPr>
        <w:t>.</w:t>
      </w:r>
    </w:p>
    <w:p w14:paraId="1FBAE9ED" w14:textId="5A334359" w:rsidR="0009727D" w:rsidRPr="00A9092B" w:rsidRDefault="0009727D" w:rsidP="00546F70">
      <w:pPr>
        <w:spacing w:after="120"/>
        <w:rPr>
          <w:szCs w:val="24"/>
        </w:rPr>
      </w:pPr>
      <w:r w:rsidRPr="00BC039C">
        <w:rPr>
          <w:szCs w:val="24"/>
        </w:rPr>
        <w:t>The assessment team noted that from 1 July 2017, this measure had been replaced by a measure</w:t>
      </w:r>
      <w:r>
        <w:rPr>
          <w:szCs w:val="24"/>
        </w:rPr>
        <w:t xml:space="preserve"> to evaluate how well ARPANSA collaborates and shares</w:t>
      </w:r>
      <w:r w:rsidR="003E0F2C">
        <w:rPr>
          <w:szCs w:val="24"/>
        </w:rPr>
        <w:t xml:space="preserve"> information with other regulators. This </w:t>
      </w:r>
      <w:r w:rsidR="00537BF0">
        <w:rPr>
          <w:szCs w:val="24"/>
        </w:rPr>
        <w:t>is</w:t>
      </w:r>
      <w:r w:rsidR="003E0F2C">
        <w:rPr>
          <w:szCs w:val="24"/>
        </w:rPr>
        <w:t xml:space="preserve"> more aligned </w:t>
      </w:r>
      <w:r w:rsidR="003B1945">
        <w:rPr>
          <w:szCs w:val="24"/>
        </w:rPr>
        <w:t>to</w:t>
      </w:r>
      <w:r w:rsidR="003E0F2C">
        <w:rPr>
          <w:szCs w:val="24"/>
        </w:rPr>
        <w:t xml:space="preserve"> the KPI although the team also considered that the proportion of time spent working on</w:t>
      </w:r>
      <w:r w:rsidR="00537BF0">
        <w:rPr>
          <w:szCs w:val="24"/>
        </w:rPr>
        <w:t xml:space="preserve"> medium and </w:t>
      </w:r>
      <w:r w:rsidR="00DA30C4">
        <w:rPr>
          <w:szCs w:val="24"/>
        </w:rPr>
        <w:t>high-risk</w:t>
      </w:r>
      <w:r w:rsidR="00537BF0">
        <w:rPr>
          <w:szCs w:val="24"/>
        </w:rPr>
        <w:t xml:space="preserve"> licences i</w:t>
      </w:r>
      <w:r w:rsidR="003E0F2C">
        <w:rPr>
          <w:szCs w:val="24"/>
        </w:rPr>
        <w:t>s still a useful measure.</w:t>
      </w:r>
      <w:r>
        <w:rPr>
          <w:szCs w:val="24"/>
        </w:rPr>
        <w:t xml:space="preserve"> </w:t>
      </w:r>
    </w:p>
    <w:p w14:paraId="60ACFB11" w14:textId="77777777" w:rsidR="00546F70" w:rsidRPr="00F9453F" w:rsidRDefault="00546F70" w:rsidP="00546F70">
      <w:pPr>
        <w:spacing w:after="120"/>
        <w:rPr>
          <w:szCs w:val="24"/>
        </w:rPr>
      </w:pPr>
      <w:r w:rsidRPr="00B91212">
        <w:rPr>
          <w:b/>
        </w:rPr>
        <w:t>PI 4.2</w:t>
      </w:r>
      <w:r w:rsidRPr="00B91212">
        <w:t xml:space="preserve"> relates</w:t>
      </w:r>
      <w:r w:rsidRPr="00F9453F">
        <w:rPr>
          <w:szCs w:val="24"/>
        </w:rPr>
        <w:t xml:space="preserve"> to initiat</w:t>
      </w:r>
      <w:r>
        <w:rPr>
          <w:szCs w:val="24"/>
        </w:rPr>
        <w:t>ion of action</w:t>
      </w:r>
      <w:r w:rsidRPr="00F9453F">
        <w:rPr>
          <w:szCs w:val="24"/>
        </w:rPr>
        <w:t xml:space="preserve"> to address a performance deficiency within </w:t>
      </w:r>
      <w:r>
        <w:rPr>
          <w:szCs w:val="24"/>
        </w:rPr>
        <w:t>three</w:t>
      </w:r>
      <w:r w:rsidRPr="00F9453F">
        <w:rPr>
          <w:szCs w:val="24"/>
        </w:rPr>
        <w:t xml:space="preserve"> months. </w:t>
      </w:r>
      <w:r>
        <w:rPr>
          <w:szCs w:val="24"/>
        </w:rPr>
        <w:t>The PI shows the effectiveness of light touch regulation, allowing a licence holder to address issues with reduced regulatory interference.</w:t>
      </w:r>
      <w:r w:rsidR="003E0F2C">
        <w:rPr>
          <w:szCs w:val="24"/>
        </w:rPr>
        <w:t xml:space="preserve"> It is both a </w:t>
      </w:r>
      <w:r w:rsidR="003E0F2C">
        <w:rPr>
          <w:szCs w:val="24"/>
        </w:rPr>
        <w:lastRenderedPageBreak/>
        <w:t>measure of regulatory influence and licence holder safety culture.</w:t>
      </w:r>
    </w:p>
    <w:p w14:paraId="6728B070" w14:textId="5C964D93" w:rsidR="00546F70" w:rsidRDefault="00546F70" w:rsidP="00546F70">
      <w:pPr>
        <w:spacing w:after="120"/>
        <w:rPr>
          <w:szCs w:val="24"/>
        </w:rPr>
      </w:pPr>
      <w:r>
        <w:rPr>
          <w:szCs w:val="24"/>
        </w:rPr>
        <w:t xml:space="preserve">There was </w:t>
      </w:r>
      <w:r w:rsidR="00BB70CA">
        <w:rPr>
          <w:szCs w:val="24"/>
        </w:rPr>
        <w:t xml:space="preserve">evidence that </w:t>
      </w:r>
      <w:r>
        <w:rPr>
          <w:szCs w:val="24"/>
        </w:rPr>
        <w:t xml:space="preserve">inspectors </w:t>
      </w:r>
      <w:r w:rsidR="00BB70CA">
        <w:rPr>
          <w:szCs w:val="24"/>
        </w:rPr>
        <w:t xml:space="preserve">were more efficient in following up actions resulting from inspections. There was also evidence that inspectors were grouping previously individual performance issues under a combined AFI </w:t>
      </w:r>
      <w:r w:rsidR="003B1945">
        <w:rPr>
          <w:szCs w:val="24"/>
        </w:rPr>
        <w:t>that would</w:t>
      </w:r>
      <w:r w:rsidR="00BB70CA">
        <w:rPr>
          <w:szCs w:val="24"/>
        </w:rPr>
        <w:t xml:space="preserve"> make it more compelling for the licence holder to address</w:t>
      </w:r>
      <w:r>
        <w:rPr>
          <w:szCs w:val="24"/>
        </w:rPr>
        <w:t xml:space="preserve">. </w:t>
      </w:r>
    </w:p>
    <w:p w14:paraId="1F059CCB" w14:textId="4C6F9A83" w:rsidR="003E0F2C" w:rsidRDefault="003E0F2C" w:rsidP="00546F70">
      <w:pPr>
        <w:spacing w:after="120"/>
        <w:rPr>
          <w:szCs w:val="24"/>
        </w:rPr>
      </w:pPr>
      <w:r>
        <w:rPr>
          <w:szCs w:val="24"/>
        </w:rPr>
        <w:t xml:space="preserve">The assessment team recognised complementary to this measure is a measure introduced to the </w:t>
      </w:r>
      <w:r w:rsidR="009F6804">
        <w:rPr>
          <w:szCs w:val="24"/>
        </w:rPr>
        <w:t>RSB</w:t>
      </w:r>
      <w:r>
        <w:rPr>
          <w:szCs w:val="24"/>
        </w:rPr>
        <w:t xml:space="preserve"> branch plan </w:t>
      </w:r>
      <w:r w:rsidR="000C30B8">
        <w:rPr>
          <w:szCs w:val="24"/>
        </w:rPr>
        <w:t>that</w:t>
      </w:r>
      <w:r>
        <w:rPr>
          <w:szCs w:val="24"/>
        </w:rPr>
        <w:t xml:space="preserve"> aim</w:t>
      </w:r>
      <w:r w:rsidR="00FD7F57">
        <w:rPr>
          <w:szCs w:val="24"/>
        </w:rPr>
        <w:t>s</w:t>
      </w:r>
      <w:r>
        <w:rPr>
          <w:szCs w:val="24"/>
        </w:rPr>
        <w:t xml:space="preserve"> for licence holders to self-report more non-compliances than those found during inspections. This is a move towards promoting greater ownership of safety </w:t>
      </w:r>
      <w:r w:rsidR="003B1945">
        <w:rPr>
          <w:szCs w:val="24"/>
        </w:rPr>
        <w:t xml:space="preserve">and security </w:t>
      </w:r>
      <w:r>
        <w:rPr>
          <w:szCs w:val="24"/>
        </w:rPr>
        <w:t>by the licence holder and fewer interventions by ARPANSA.</w:t>
      </w:r>
    </w:p>
    <w:p w14:paraId="355CE500" w14:textId="2ABD2DBF" w:rsidR="00546F70" w:rsidRPr="00A9092B" w:rsidRDefault="00546F70" w:rsidP="00546F70">
      <w:pPr>
        <w:pStyle w:val="Heading3"/>
        <w:keepLines w:val="0"/>
        <w:spacing w:before="120" w:after="120" w:line="240" w:lineRule="auto"/>
        <w:jc w:val="both"/>
        <w:rPr>
          <w:lang w:eastAsia="en-AU"/>
        </w:rPr>
      </w:pPr>
      <w:bookmarkStart w:id="38" w:name="_Toc470173161"/>
      <w:r>
        <w:rPr>
          <w:lang w:eastAsia="en-AU"/>
        </w:rPr>
        <w:t>Self-</w:t>
      </w:r>
      <w:r w:rsidRPr="00A9092B">
        <w:rPr>
          <w:lang w:eastAsia="en-AU"/>
        </w:rPr>
        <w:t>assessed rating of performance against KPI 4 – 201</w:t>
      </w:r>
      <w:r w:rsidR="00751425">
        <w:rPr>
          <w:lang w:eastAsia="en-AU"/>
        </w:rPr>
        <w:t>6</w:t>
      </w:r>
      <w:r w:rsidRPr="00A9092B">
        <w:rPr>
          <w:lang w:eastAsia="en-AU"/>
        </w:rPr>
        <w:t>-1</w:t>
      </w:r>
      <w:bookmarkEnd w:id="38"/>
      <w:r w:rsidR="00751425">
        <w:rPr>
          <w:lang w:eastAsia="en-AU"/>
        </w:rPr>
        <w:t>7</w:t>
      </w:r>
    </w:p>
    <w:tbl>
      <w:tblPr>
        <w:tblStyle w:val="TableGrid"/>
        <w:tblW w:w="9781" w:type="dxa"/>
        <w:tblInd w:w="108" w:type="dxa"/>
        <w:tblLook w:val="04A0" w:firstRow="1" w:lastRow="0" w:firstColumn="1" w:lastColumn="0" w:noHBand="0" w:noVBand="1"/>
        <w:tblDescription w:val="Chapter 2.4.5 table contains a list of performance ratings against Key Performance Indicator (KPI) 4 of the 2015-16 Regulator Performance Framework. "/>
      </w:tblPr>
      <w:tblGrid>
        <w:gridCol w:w="1560"/>
        <w:gridCol w:w="2976"/>
        <w:gridCol w:w="1843"/>
        <w:gridCol w:w="1701"/>
        <w:gridCol w:w="1701"/>
      </w:tblGrid>
      <w:tr w:rsidR="00546F70" w:rsidRPr="008A5DC7" w14:paraId="14B7E2E3" w14:textId="77777777" w:rsidTr="000D54D2">
        <w:trPr>
          <w:cantSplit/>
          <w:tblHeader/>
        </w:trPr>
        <w:tc>
          <w:tcPr>
            <w:tcW w:w="1560" w:type="dxa"/>
          </w:tcPr>
          <w:p w14:paraId="47C9EEE4"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t>Excellent</w:t>
            </w:r>
          </w:p>
          <w:p w14:paraId="28DE7C05" w14:textId="77777777" w:rsidR="00546F70" w:rsidRPr="008A5DC7" w:rsidRDefault="00546F70" w:rsidP="00546F70">
            <w:pPr>
              <w:autoSpaceDE w:val="0"/>
              <w:autoSpaceDN w:val="0"/>
              <w:adjustRightInd w:val="0"/>
              <w:spacing w:before="120" w:after="120"/>
              <w:jc w:val="center"/>
              <w:rPr>
                <w:rFonts w:cs="Times New Roman"/>
                <w:bCs/>
                <w:sz w:val="20"/>
                <w:szCs w:val="20"/>
                <w:lang w:eastAsia="en-AU"/>
              </w:rPr>
            </w:pPr>
            <w:r w:rsidRPr="008A5DC7">
              <w:rPr>
                <w:rFonts w:cs="Times New Roman"/>
                <w:bCs/>
                <w:sz w:val="20"/>
                <w:szCs w:val="20"/>
                <w:lang w:eastAsia="en-AU"/>
              </w:rPr>
              <w:t>Strong performance against all the measures under the KPI</w:t>
            </w:r>
          </w:p>
        </w:tc>
        <w:tc>
          <w:tcPr>
            <w:tcW w:w="2976" w:type="dxa"/>
            <w:shd w:val="clear" w:color="auto" w:fill="FFFFFF" w:themeFill="background1"/>
          </w:tcPr>
          <w:p w14:paraId="7A488176"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t>Very Good</w:t>
            </w:r>
          </w:p>
          <w:p w14:paraId="4A9B8E2B" w14:textId="77777777" w:rsidR="00546F70" w:rsidRPr="008A5DC7" w:rsidRDefault="00546F70" w:rsidP="00546F70">
            <w:pPr>
              <w:autoSpaceDE w:val="0"/>
              <w:autoSpaceDN w:val="0"/>
              <w:adjustRightInd w:val="0"/>
              <w:spacing w:before="120" w:after="120"/>
              <w:jc w:val="center"/>
              <w:rPr>
                <w:rFonts w:cs="Times New Roman"/>
                <w:bCs/>
                <w:sz w:val="20"/>
                <w:szCs w:val="20"/>
                <w:lang w:eastAsia="en-AU"/>
              </w:rPr>
            </w:pPr>
            <w:r w:rsidRPr="008A5DC7">
              <w:rPr>
                <w:rFonts w:cs="Times New Roman"/>
                <w:bCs/>
                <w:sz w:val="20"/>
                <w:szCs w:val="20"/>
                <w:lang w:eastAsia="en-AU"/>
              </w:rPr>
              <w:t>Strong performance against majority of the measures under the KPI and no evidence of negative/poor performance against any measure</w:t>
            </w:r>
          </w:p>
        </w:tc>
        <w:tc>
          <w:tcPr>
            <w:tcW w:w="1843" w:type="dxa"/>
            <w:shd w:val="clear" w:color="auto" w:fill="C9F0C9" w:themeFill="accent3" w:themeFillTint="33"/>
          </w:tcPr>
          <w:p w14:paraId="4CA9DCAA"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t>Good</w:t>
            </w:r>
          </w:p>
          <w:p w14:paraId="2B8345D1" w14:textId="77777777" w:rsidR="00546F70" w:rsidRPr="008A5DC7" w:rsidRDefault="00546F70" w:rsidP="00546F70">
            <w:pPr>
              <w:autoSpaceDE w:val="0"/>
              <w:autoSpaceDN w:val="0"/>
              <w:adjustRightInd w:val="0"/>
              <w:spacing w:before="120" w:after="120"/>
              <w:jc w:val="center"/>
              <w:rPr>
                <w:rFonts w:cs="Times New Roman"/>
                <w:b/>
                <w:bCs/>
                <w:sz w:val="20"/>
                <w:szCs w:val="20"/>
                <w:lang w:eastAsia="en-AU"/>
              </w:rPr>
            </w:pPr>
            <w:r w:rsidRPr="008A5DC7">
              <w:rPr>
                <w:rFonts w:cs="Times New Roman"/>
                <w:bCs/>
                <w:sz w:val="20"/>
                <w:szCs w:val="20"/>
                <w:lang w:eastAsia="en-AU"/>
              </w:rPr>
              <w:t>Average performance against the measures under the KPI</w:t>
            </w:r>
          </w:p>
        </w:tc>
        <w:tc>
          <w:tcPr>
            <w:tcW w:w="1701" w:type="dxa"/>
            <w:shd w:val="clear" w:color="auto" w:fill="FFFFFF" w:themeFill="background1"/>
          </w:tcPr>
          <w:p w14:paraId="661A3785"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t>Fair</w:t>
            </w:r>
          </w:p>
          <w:p w14:paraId="16D0C5EE" w14:textId="77777777" w:rsidR="00546F70" w:rsidRPr="008A5DC7" w:rsidRDefault="00546F70" w:rsidP="00546F70">
            <w:pPr>
              <w:autoSpaceDE w:val="0"/>
              <w:autoSpaceDN w:val="0"/>
              <w:adjustRightInd w:val="0"/>
              <w:spacing w:before="120" w:after="120"/>
              <w:jc w:val="center"/>
              <w:rPr>
                <w:rFonts w:cs="Times New Roman"/>
                <w:bCs/>
                <w:sz w:val="20"/>
                <w:szCs w:val="20"/>
                <w:lang w:eastAsia="en-AU"/>
              </w:rPr>
            </w:pPr>
            <w:r w:rsidRPr="008A5DC7">
              <w:rPr>
                <w:rFonts w:cs="Times New Roman"/>
                <w:bCs/>
                <w:sz w:val="20"/>
                <w:szCs w:val="20"/>
                <w:lang w:eastAsia="en-AU"/>
              </w:rPr>
              <w:t>Poor performance against some measures under the KPI</w:t>
            </w:r>
          </w:p>
        </w:tc>
        <w:tc>
          <w:tcPr>
            <w:tcW w:w="1701" w:type="dxa"/>
          </w:tcPr>
          <w:p w14:paraId="6246026B"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t>Poor</w:t>
            </w:r>
          </w:p>
          <w:p w14:paraId="32D79D3C" w14:textId="77777777" w:rsidR="00546F70" w:rsidRPr="008A5DC7" w:rsidRDefault="00546F70" w:rsidP="00546F70">
            <w:pPr>
              <w:autoSpaceDE w:val="0"/>
              <w:autoSpaceDN w:val="0"/>
              <w:adjustRightInd w:val="0"/>
              <w:spacing w:before="120" w:after="120"/>
              <w:jc w:val="center"/>
              <w:rPr>
                <w:rFonts w:cs="Times New Roman"/>
                <w:b/>
                <w:bCs/>
                <w:sz w:val="20"/>
                <w:szCs w:val="20"/>
                <w:lang w:eastAsia="en-AU"/>
              </w:rPr>
            </w:pPr>
            <w:r w:rsidRPr="008A5DC7">
              <w:rPr>
                <w:rFonts w:cs="Times New Roman"/>
                <w:bCs/>
                <w:sz w:val="20"/>
                <w:szCs w:val="20"/>
                <w:lang w:eastAsia="en-AU"/>
              </w:rPr>
              <w:t>Poor performance against most of the measures under the KPI</w:t>
            </w:r>
          </w:p>
        </w:tc>
      </w:tr>
    </w:tbl>
    <w:p w14:paraId="49CDB7D4" w14:textId="272591A6" w:rsidR="00B56610" w:rsidRPr="00B56610" w:rsidRDefault="00B56610" w:rsidP="00B56610">
      <w:pPr>
        <w:rPr>
          <w:lang w:eastAsia="en-AU"/>
        </w:rPr>
      </w:pPr>
      <w:bookmarkStart w:id="39" w:name="_Toc470173162"/>
      <w:r>
        <w:rPr>
          <w:lang w:eastAsia="en-AU"/>
        </w:rPr>
        <w:lastRenderedPageBreak/>
        <w:t xml:space="preserve">This rating is </w:t>
      </w:r>
      <w:r w:rsidR="00385853">
        <w:rPr>
          <w:lang w:eastAsia="en-AU"/>
        </w:rPr>
        <w:t>unchanged from</w:t>
      </w:r>
      <w:r>
        <w:rPr>
          <w:lang w:eastAsia="en-AU"/>
        </w:rPr>
        <w:t xml:space="preserve"> the 2015-16 self-assessment. The team found that there was good alignment of regulatory resources with risk and that there was a significant improvement in regard to the follow-up and implementation of corrective actions identified during inspection.  </w:t>
      </w:r>
      <w:r w:rsidR="00385853">
        <w:rPr>
          <w:lang w:eastAsia="en-AU"/>
        </w:rPr>
        <w:t>T</w:t>
      </w:r>
      <w:r>
        <w:rPr>
          <w:lang w:eastAsia="en-AU"/>
        </w:rPr>
        <w:t xml:space="preserve">he team considered that the good rating remained appropriate. </w:t>
      </w:r>
    </w:p>
    <w:p w14:paraId="6D87DB01" w14:textId="77777777" w:rsidR="00546F70" w:rsidRPr="00A9092B" w:rsidRDefault="00546F70" w:rsidP="00546F70">
      <w:pPr>
        <w:pStyle w:val="Heading3"/>
        <w:keepLines w:val="0"/>
        <w:spacing w:before="200" w:after="120" w:line="240" w:lineRule="auto"/>
        <w:jc w:val="both"/>
        <w:rPr>
          <w:lang w:eastAsia="en-AU"/>
        </w:rPr>
      </w:pPr>
      <w:r w:rsidRPr="00A9092B">
        <w:rPr>
          <w:lang w:eastAsia="en-AU"/>
        </w:rPr>
        <w:t>Actions for improving performance against KPI 4</w:t>
      </w:r>
      <w:bookmarkEnd w:id="39"/>
    </w:p>
    <w:p w14:paraId="0FE9AC94" w14:textId="77777777" w:rsidR="00546F70" w:rsidRPr="003E0F2C" w:rsidRDefault="00546F70" w:rsidP="003E0F2C">
      <w:pPr>
        <w:autoSpaceDE w:val="0"/>
        <w:autoSpaceDN w:val="0"/>
        <w:adjustRightInd w:val="0"/>
        <w:spacing w:after="120"/>
        <w:rPr>
          <w:rFonts w:cs="Arial"/>
          <w:szCs w:val="24"/>
        </w:rPr>
      </w:pPr>
      <w:r>
        <w:rPr>
          <w:rFonts w:cs="Arial"/>
          <w:szCs w:val="24"/>
        </w:rPr>
        <w:t xml:space="preserve">The team identified the following </w:t>
      </w:r>
      <w:r w:rsidRPr="00A9092B">
        <w:rPr>
          <w:rFonts w:cs="Arial"/>
          <w:szCs w:val="24"/>
        </w:rPr>
        <w:t xml:space="preserve">AFI </w:t>
      </w:r>
      <w:r>
        <w:rPr>
          <w:rFonts w:cs="Arial"/>
          <w:szCs w:val="24"/>
        </w:rPr>
        <w:t>related to PI 4</w:t>
      </w:r>
      <w:r w:rsidRPr="00A9092B">
        <w:rPr>
          <w:rFonts w:cs="Arial"/>
          <w:szCs w:val="24"/>
        </w:rPr>
        <w:t>.</w:t>
      </w:r>
      <w:r>
        <w:rPr>
          <w:rFonts w:cs="Arial"/>
          <w:szCs w:val="24"/>
        </w:rPr>
        <w:t>1</w:t>
      </w:r>
      <w:r w:rsidRPr="00A9092B">
        <w:rPr>
          <w:rFonts w:cs="Arial"/>
          <w:szCs w:val="24"/>
        </w:rPr>
        <w:t>:</w:t>
      </w:r>
    </w:p>
    <w:p w14:paraId="7A9065B6" w14:textId="4C6E099D" w:rsidR="00546F70" w:rsidRPr="00C054F3" w:rsidRDefault="00DA30C4" w:rsidP="002469BA">
      <w:pPr>
        <w:pStyle w:val="ListParagraph"/>
        <w:numPr>
          <w:ilvl w:val="0"/>
          <w:numId w:val="23"/>
        </w:numPr>
        <w:spacing w:before="0" w:after="120" w:line="276" w:lineRule="auto"/>
        <w:ind w:left="714" w:hanging="357"/>
        <w:contextualSpacing/>
        <w:rPr>
          <w:rFonts w:cs="Arial"/>
          <w:szCs w:val="24"/>
        </w:rPr>
      </w:pPr>
      <w:r w:rsidRPr="002469BA">
        <w:rPr>
          <w:rFonts w:cs="Arial"/>
          <w:szCs w:val="24"/>
        </w:rPr>
        <w:t>T</w:t>
      </w:r>
      <w:r w:rsidRPr="002469BA">
        <w:rPr>
          <w:szCs w:val="24"/>
        </w:rPr>
        <w:t xml:space="preserve">here is no system in place </w:t>
      </w:r>
      <w:r w:rsidR="003B1945" w:rsidRPr="002469BA">
        <w:rPr>
          <w:szCs w:val="24"/>
        </w:rPr>
        <w:t>on source li</w:t>
      </w:r>
      <w:r w:rsidR="003B1945" w:rsidRPr="00F053EF">
        <w:rPr>
          <w:szCs w:val="24"/>
        </w:rPr>
        <w:t xml:space="preserve">cences, </w:t>
      </w:r>
      <w:r w:rsidRPr="00F053EF">
        <w:rPr>
          <w:szCs w:val="24"/>
        </w:rPr>
        <w:t>to reward good performance with reduced regulatory oversight</w:t>
      </w:r>
      <w:r w:rsidR="002469BA" w:rsidRPr="00C054F3">
        <w:rPr>
          <w:szCs w:val="24"/>
        </w:rPr>
        <w:t xml:space="preserve">. </w:t>
      </w:r>
      <w:r w:rsidR="00FD7F57" w:rsidRPr="002469BA">
        <w:rPr>
          <w:szCs w:val="24"/>
        </w:rPr>
        <w:t xml:space="preserve">The equivalency of risks between sources and facilities </w:t>
      </w:r>
      <w:r w:rsidR="000C30B8" w:rsidRPr="002469BA">
        <w:rPr>
          <w:szCs w:val="24"/>
        </w:rPr>
        <w:t>is not demonstrated, i.e. i</w:t>
      </w:r>
      <w:r w:rsidR="00FD7F57" w:rsidRPr="00F053EF">
        <w:rPr>
          <w:szCs w:val="24"/>
        </w:rPr>
        <w:t>t is not known if sources and facilit</w:t>
      </w:r>
      <w:r w:rsidR="00FD7F57" w:rsidRPr="00C054F3">
        <w:rPr>
          <w:szCs w:val="24"/>
        </w:rPr>
        <w:t>ies with the same overall risk attract similar regulatory attention of effort.</w:t>
      </w:r>
    </w:p>
    <w:p w14:paraId="109AE0FE" w14:textId="77777777" w:rsidR="00E3684B" w:rsidRPr="00E3684B" w:rsidRDefault="00546F70" w:rsidP="00E3684B">
      <w:pPr>
        <w:pStyle w:val="Heading2"/>
        <w:keepLines w:val="0"/>
        <w:spacing w:before="480" w:after="120" w:line="240" w:lineRule="auto"/>
        <w:ind w:left="578" w:hanging="578"/>
        <w:rPr>
          <w:lang w:eastAsia="en-AU"/>
        </w:rPr>
      </w:pPr>
      <w:bookmarkStart w:id="40" w:name="_KPI_5_–"/>
      <w:bookmarkStart w:id="41" w:name="_Toc470173163"/>
      <w:bookmarkStart w:id="42" w:name="_Toc492467954"/>
      <w:bookmarkEnd w:id="40"/>
      <w:r w:rsidRPr="00A9092B">
        <w:rPr>
          <w:lang w:eastAsia="en-AU"/>
        </w:rPr>
        <w:lastRenderedPageBreak/>
        <w:t xml:space="preserve">KPI 5 </w:t>
      </w:r>
      <w:r>
        <w:rPr>
          <w:lang w:eastAsia="en-AU"/>
        </w:rPr>
        <w:t>–</w:t>
      </w:r>
      <w:r w:rsidRPr="00A9092B">
        <w:rPr>
          <w:lang w:eastAsia="en-AU"/>
        </w:rPr>
        <w:t xml:space="preserve"> Regulators are open and transparent in their dealings with regulated entities</w:t>
      </w:r>
      <w:bookmarkEnd w:id="41"/>
      <w:bookmarkEnd w:id="42"/>
    </w:p>
    <w:p w14:paraId="20B63D14" w14:textId="06BC83EC" w:rsidR="00E3684B" w:rsidRPr="00A9092B" w:rsidRDefault="00E3684B" w:rsidP="00E3684B">
      <w:pPr>
        <w:pStyle w:val="Heading3"/>
        <w:keepLines w:val="0"/>
        <w:spacing w:before="120" w:after="120" w:line="240" w:lineRule="auto"/>
        <w:jc w:val="both"/>
        <w:rPr>
          <w:lang w:eastAsia="en-AU"/>
        </w:rPr>
      </w:pPr>
      <w:r>
        <w:rPr>
          <w:lang w:eastAsia="en-AU"/>
        </w:rPr>
        <w:t>Overview of</w:t>
      </w:r>
      <w:r w:rsidRPr="00A9092B">
        <w:rPr>
          <w:lang w:eastAsia="en-AU"/>
        </w:rPr>
        <w:t xml:space="preserve"> KPI</w:t>
      </w:r>
      <w:r w:rsidR="008F3604">
        <w:rPr>
          <w:lang w:eastAsia="en-AU"/>
        </w:rPr>
        <w:t xml:space="preserve"> 5</w:t>
      </w:r>
    </w:p>
    <w:p w14:paraId="0A51E2B7" w14:textId="77777777" w:rsidR="00546F70" w:rsidRDefault="00546F70" w:rsidP="00546F70">
      <w:pPr>
        <w:autoSpaceDE w:val="0"/>
        <w:autoSpaceDN w:val="0"/>
        <w:adjustRightInd w:val="0"/>
        <w:spacing w:after="120"/>
        <w:rPr>
          <w:rFonts w:cs="Times New Roman"/>
          <w:bCs/>
          <w:szCs w:val="24"/>
          <w:lang w:eastAsia="en-AU"/>
        </w:rPr>
      </w:pPr>
      <w:r>
        <w:rPr>
          <w:rFonts w:cs="Times New Roman"/>
          <w:bCs/>
          <w:szCs w:val="24"/>
          <w:lang w:eastAsia="en-AU"/>
        </w:rPr>
        <w:t xml:space="preserve">ARPANSA has endeavoured to become increasingly open and transparent in its approach to regulation and regulatory outcomes. This policy is important to promote consistent and high standards of regulation and to build trust and mutual respect with a licence holder. </w:t>
      </w:r>
    </w:p>
    <w:p w14:paraId="02732DAC" w14:textId="589E34E1" w:rsidR="00546F70" w:rsidRPr="00A9092B" w:rsidRDefault="001E7690" w:rsidP="00546F70">
      <w:pPr>
        <w:autoSpaceDE w:val="0"/>
        <w:autoSpaceDN w:val="0"/>
        <w:adjustRightInd w:val="0"/>
        <w:spacing w:after="120"/>
        <w:rPr>
          <w:rFonts w:cs="Times New Roman"/>
          <w:bCs/>
          <w:szCs w:val="24"/>
          <w:lang w:eastAsia="en-AU"/>
        </w:rPr>
      </w:pPr>
      <w:r>
        <w:rPr>
          <w:rFonts w:cs="Times New Roman"/>
          <w:bCs/>
          <w:szCs w:val="24"/>
          <w:lang w:eastAsia="en-AU"/>
        </w:rPr>
        <w:t xml:space="preserve">During the year ARPANSA implemented a major upgrade to its website to provide a modern, refreshed look with an improved structure and search engine. </w:t>
      </w:r>
      <w:r w:rsidR="00546F70">
        <w:rPr>
          <w:rFonts w:cs="Times New Roman"/>
          <w:bCs/>
          <w:szCs w:val="24"/>
          <w:lang w:eastAsia="en-AU"/>
        </w:rPr>
        <w:t>ARPANSA has publish</w:t>
      </w:r>
      <w:r>
        <w:rPr>
          <w:rFonts w:cs="Times New Roman"/>
          <w:bCs/>
          <w:szCs w:val="24"/>
          <w:lang w:eastAsia="en-AU"/>
        </w:rPr>
        <w:t>e</w:t>
      </w:r>
      <w:r w:rsidR="002905B2">
        <w:rPr>
          <w:rFonts w:cs="Times New Roman"/>
          <w:bCs/>
          <w:szCs w:val="24"/>
          <w:lang w:eastAsia="en-AU"/>
        </w:rPr>
        <w:t>d</w:t>
      </w:r>
      <w:r w:rsidR="00546F70">
        <w:rPr>
          <w:rFonts w:cs="Times New Roman"/>
          <w:bCs/>
          <w:szCs w:val="24"/>
          <w:lang w:eastAsia="en-AU"/>
        </w:rPr>
        <w:t xml:space="preserve"> on its website a range of information on how it implements a risk-based approach to regulation. The </w:t>
      </w:r>
      <w:hyperlink r:id="rId28" w:history="1">
        <w:r w:rsidR="00546F70" w:rsidRPr="007A713A">
          <w:rPr>
            <w:rStyle w:val="Hyperlink"/>
            <w:rFonts w:cs="Times New Roman"/>
            <w:bCs/>
            <w:szCs w:val="24"/>
            <w:lang w:eastAsia="en-AU"/>
          </w:rPr>
          <w:t>Regulation and</w:t>
        </w:r>
        <w:r w:rsidR="00546F70">
          <w:rPr>
            <w:rStyle w:val="Hyperlink"/>
            <w:rFonts w:cs="Times New Roman"/>
            <w:bCs/>
            <w:szCs w:val="24"/>
            <w:lang w:eastAsia="en-AU"/>
          </w:rPr>
          <w:t xml:space="preserve"> Licensin</w:t>
        </w:r>
        <w:r w:rsidR="00546F70" w:rsidRPr="007A713A">
          <w:rPr>
            <w:rStyle w:val="Hyperlink"/>
            <w:rFonts w:cs="Times New Roman"/>
            <w:bCs/>
            <w:szCs w:val="24"/>
            <w:lang w:eastAsia="en-AU"/>
          </w:rPr>
          <w:t>g webpages</w:t>
        </w:r>
      </w:hyperlink>
      <w:r w:rsidR="00546F70">
        <w:rPr>
          <w:rFonts w:cs="Times New Roman"/>
          <w:bCs/>
          <w:szCs w:val="24"/>
          <w:lang w:eastAsia="en-AU"/>
        </w:rPr>
        <w:t xml:space="preserve"> are the starting point for this information. Information includes how to apply for a licence; details about the inspection program; and the promotion of international </w:t>
      </w:r>
      <w:r w:rsidR="00546F70">
        <w:rPr>
          <w:rFonts w:cs="Times New Roman"/>
          <w:bCs/>
          <w:szCs w:val="24"/>
          <w:lang w:eastAsia="en-AU"/>
        </w:rPr>
        <w:lastRenderedPageBreak/>
        <w:t xml:space="preserve">best practice. ARPANSA publishes the majority of its </w:t>
      </w:r>
      <w:hyperlink r:id="rId29" w:history="1">
        <w:r w:rsidR="00546F70" w:rsidRPr="00846B3D">
          <w:rPr>
            <w:rStyle w:val="Hyperlink"/>
            <w:rFonts w:cs="Times New Roman"/>
            <w:bCs/>
            <w:szCs w:val="24"/>
            <w:lang w:eastAsia="en-AU"/>
          </w:rPr>
          <w:t>inspection reports</w:t>
        </w:r>
      </w:hyperlink>
      <w:r w:rsidR="005152DD">
        <w:rPr>
          <w:rFonts w:cs="Times New Roman"/>
          <w:bCs/>
          <w:szCs w:val="24"/>
          <w:lang w:eastAsia="en-AU"/>
        </w:rPr>
        <w:t>.</w:t>
      </w:r>
      <w:r w:rsidR="00546F70">
        <w:rPr>
          <w:rFonts w:cs="Times New Roman"/>
          <w:bCs/>
          <w:szCs w:val="24"/>
          <w:lang w:eastAsia="en-AU"/>
        </w:rPr>
        <w:t xml:space="preserve"> </w:t>
      </w:r>
      <w:r w:rsidR="005152DD">
        <w:rPr>
          <w:rFonts w:cs="Times New Roman"/>
          <w:bCs/>
          <w:szCs w:val="24"/>
          <w:lang w:eastAsia="en-AU"/>
        </w:rPr>
        <w:t>H</w:t>
      </w:r>
      <w:r w:rsidR="00546F70">
        <w:rPr>
          <w:rFonts w:cs="Times New Roman"/>
          <w:bCs/>
          <w:szCs w:val="24"/>
          <w:lang w:eastAsia="en-AU"/>
        </w:rPr>
        <w:t>owever c</w:t>
      </w:r>
      <w:r w:rsidR="00546F70" w:rsidRPr="00A5136E">
        <w:rPr>
          <w:rFonts w:cs="Times New Roman"/>
          <w:bCs/>
          <w:szCs w:val="24"/>
          <w:lang w:eastAsia="en-AU"/>
        </w:rPr>
        <w:t xml:space="preserve">ontent may be redacted or </w:t>
      </w:r>
      <w:r w:rsidR="00546F70">
        <w:rPr>
          <w:rFonts w:cs="Times New Roman"/>
          <w:bCs/>
          <w:szCs w:val="24"/>
          <w:lang w:eastAsia="en-AU"/>
        </w:rPr>
        <w:t>a</w:t>
      </w:r>
      <w:r w:rsidR="00546F70" w:rsidRPr="00A5136E">
        <w:rPr>
          <w:rFonts w:cs="Times New Roman"/>
          <w:bCs/>
          <w:szCs w:val="24"/>
          <w:lang w:eastAsia="en-AU"/>
        </w:rPr>
        <w:t xml:space="preserve"> report withheld for security reasons</w:t>
      </w:r>
      <w:r w:rsidR="00546F70">
        <w:rPr>
          <w:rFonts w:cs="Times New Roman"/>
          <w:bCs/>
          <w:szCs w:val="24"/>
          <w:lang w:eastAsia="en-AU"/>
        </w:rPr>
        <w:t xml:space="preserve">. </w:t>
      </w:r>
    </w:p>
    <w:p w14:paraId="17ABD2E3" w14:textId="0CAB72B0" w:rsidR="00546F70" w:rsidRDefault="00546F70" w:rsidP="00546F70">
      <w:pPr>
        <w:autoSpaceDE w:val="0"/>
        <w:autoSpaceDN w:val="0"/>
        <w:adjustRightInd w:val="0"/>
        <w:spacing w:after="120"/>
        <w:rPr>
          <w:rFonts w:cs="Times New Roman"/>
          <w:bCs/>
          <w:szCs w:val="24"/>
          <w:lang w:eastAsia="en-AU"/>
        </w:rPr>
      </w:pPr>
      <w:r>
        <w:rPr>
          <w:rFonts w:cs="Times New Roman"/>
          <w:bCs/>
          <w:szCs w:val="24"/>
          <w:lang w:eastAsia="en-AU"/>
        </w:rPr>
        <w:t xml:space="preserve">As discussed in previous sections, </w:t>
      </w:r>
      <w:r w:rsidRPr="00A9092B">
        <w:rPr>
          <w:rFonts w:cs="Times New Roman"/>
          <w:bCs/>
          <w:szCs w:val="24"/>
          <w:lang w:eastAsia="en-AU"/>
        </w:rPr>
        <w:t xml:space="preserve">ARPANSA publishes guides, codes and standards on a range of regulatory topics that </w:t>
      </w:r>
      <w:r w:rsidR="00C104AA">
        <w:rPr>
          <w:rFonts w:cs="Times New Roman"/>
          <w:bCs/>
          <w:szCs w:val="24"/>
          <w:lang w:eastAsia="en-AU"/>
        </w:rPr>
        <w:t xml:space="preserve">describes how </w:t>
      </w:r>
      <w:r w:rsidR="003B1945">
        <w:rPr>
          <w:rFonts w:cs="Times New Roman"/>
          <w:bCs/>
          <w:szCs w:val="24"/>
          <w:lang w:eastAsia="en-AU"/>
        </w:rPr>
        <w:t>ARPANSA</w:t>
      </w:r>
      <w:r w:rsidR="00C104AA">
        <w:rPr>
          <w:rFonts w:cs="Times New Roman"/>
          <w:bCs/>
          <w:szCs w:val="24"/>
          <w:lang w:eastAsia="en-AU"/>
        </w:rPr>
        <w:t xml:space="preserve"> carries out its regulatory business and </w:t>
      </w:r>
      <w:r w:rsidRPr="00A9092B">
        <w:rPr>
          <w:rFonts w:cs="Times New Roman"/>
          <w:bCs/>
          <w:szCs w:val="24"/>
          <w:lang w:eastAsia="en-AU"/>
        </w:rPr>
        <w:t>set</w:t>
      </w:r>
      <w:r w:rsidR="003B1945">
        <w:rPr>
          <w:rFonts w:cs="Times New Roman"/>
          <w:bCs/>
          <w:szCs w:val="24"/>
          <w:lang w:eastAsia="en-AU"/>
        </w:rPr>
        <w:t>s</w:t>
      </w:r>
      <w:r w:rsidRPr="00A9092B">
        <w:rPr>
          <w:rFonts w:cs="Times New Roman"/>
          <w:bCs/>
          <w:szCs w:val="24"/>
          <w:lang w:eastAsia="en-AU"/>
        </w:rPr>
        <w:t xml:space="preserve"> out expectations for </w:t>
      </w:r>
      <w:r>
        <w:rPr>
          <w:rFonts w:cs="Times New Roman"/>
          <w:bCs/>
          <w:szCs w:val="24"/>
          <w:lang w:eastAsia="en-AU"/>
        </w:rPr>
        <w:t>a licence holder</w:t>
      </w:r>
      <w:r w:rsidRPr="00A9092B">
        <w:rPr>
          <w:rFonts w:cs="Times New Roman"/>
          <w:bCs/>
          <w:szCs w:val="24"/>
          <w:lang w:eastAsia="en-AU"/>
        </w:rPr>
        <w:t xml:space="preserve"> with respect to safety </w:t>
      </w:r>
      <w:r>
        <w:rPr>
          <w:rFonts w:cs="Times New Roman"/>
          <w:bCs/>
          <w:szCs w:val="24"/>
          <w:lang w:eastAsia="en-AU"/>
        </w:rPr>
        <w:t xml:space="preserve">and security of </w:t>
      </w:r>
      <w:r w:rsidRPr="00A9092B">
        <w:rPr>
          <w:rFonts w:cs="Times New Roman"/>
          <w:bCs/>
          <w:szCs w:val="24"/>
          <w:lang w:eastAsia="en-AU"/>
        </w:rPr>
        <w:t xml:space="preserve">sources and facilities. These guides, codes and standards </w:t>
      </w:r>
      <w:r>
        <w:rPr>
          <w:rFonts w:cs="Times New Roman"/>
          <w:bCs/>
          <w:szCs w:val="24"/>
          <w:lang w:eastAsia="en-AU"/>
        </w:rPr>
        <w:t>reflect</w:t>
      </w:r>
      <w:r w:rsidRPr="00A9092B">
        <w:rPr>
          <w:rFonts w:cs="Times New Roman"/>
          <w:bCs/>
          <w:szCs w:val="24"/>
          <w:lang w:eastAsia="en-AU"/>
        </w:rPr>
        <w:t xml:space="preserve"> international best </w:t>
      </w:r>
      <w:r w:rsidR="001D235D" w:rsidRPr="00A9092B">
        <w:rPr>
          <w:rFonts w:cs="Times New Roman"/>
          <w:bCs/>
          <w:szCs w:val="24"/>
          <w:lang w:eastAsia="en-AU"/>
        </w:rPr>
        <w:t>practice</w:t>
      </w:r>
      <w:r w:rsidR="001D235D">
        <w:rPr>
          <w:rFonts w:cs="Times New Roman"/>
          <w:bCs/>
          <w:szCs w:val="24"/>
          <w:lang w:eastAsia="en-AU"/>
        </w:rPr>
        <w:t>;</w:t>
      </w:r>
      <w:r>
        <w:rPr>
          <w:rFonts w:cs="Times New Roman"/>
          <w:bCs/>
          <w:szCs w:val="24"/>
          <w:lang w:eastAsia="en-AU"/>
        </w:rPr>
        <w:t xml:space="preserve"> </w:t>
      </w:r>
      <w:r w:rsidRPr="00A9092B">
        <w:rPr>
          <w:rFonts w:cs="Times New Roman"/>
          <w:bCs/>
          <w:szCs w:val="24"/>
          <w:lang w:eastAsia="en-AU"/>
        </w:rPr>
        <w:t xml:space="preserve">hence their </w:t>
      </w:r>
      <w:r>
        <w:rPr>
          <w:rFonts w:cs="Times New Roman"/>
          <w:bCs/>
          <w:szCs w:val="24"/>
          <w:lang w:eastAsia="en-AU"/>
        </w:rPr>
        <w:t>requirements and expectations are predictable and in keeping with the international framework for safety</w:t>
      </w:r>
      <w:r w:rsidR="003B1945">
        <w:rPr>
          <w:rFonts w:cs="Times New Roman"/>
          <w:bCs/>
          <w:szCs w:val="24"/>
          <w:lang w:eastAsia="en-AU"/>
        </w:rPr>
        <w:t xml:space="preserve"> and security</w:t>
      </w:r>
      <w:r w:rsidRPr="00A9092B">
        <w:rPr>
          <w:rFonts w:cs="Times New Roman"/>
          <w:bCs/>
          <w:szCs w:val="24"/>
          <w:lang w:eastAsia="en-AU"/>
        </w:rPr>
        <w:t xml:space="preserve">. Consultation with </w:t>
      </w:r>
      <w:r>
        <w:rPr>
          <w:rFonts w:cs="Times New Roman"/>
          <w:bCs/>
          <w:szCs w:val="24"/>
          <w:lang w:eastAsia="en-AU"/>
        </w:rPr>
        <w:t>licence holder</w:t>
      </w:r>
      <w:r w:rsidRPr="00A9092B">
        <w:rPr>
          <w:rFonts w:cs="Times New Roman"/>
          <w:bCs/>
          <w:szCs w:val="24"/>
          <w:lang w:eastAsia="en-AU"/>
        </w:rPr>
        <w:t xml:space="preserve">s on </w:t>
      </w:r>
      <w:r>
        <w:rPr>
          <w:rFonts w:cs="Times New Roman"/>
          <w:bCs/>
          <w:szCs w:val="24"/>
          <w:lang w:eastAsia="en-AU"/>
        </w:rPr>
        <w:t>the development of such documents</w:t>
      </w:r>
      <w:r w:rsidRPr="00A9092B">
        <w:rPr>
          <w:rFonts w:cs="Times New Roman"/>
          <w:bCs/>
          <w:szCs w:val="24"/>
          <w:lang w:eastAsia="en-AU"/>
        </w:rPr>
        <w:t xml:space="preserve"> improves transparency in regulation and supports continuous improvement.</w:t>
      </w:r>
    </w:p>
    <w:p w14:paraId="35C6192C" w14:textId="77777777" w:rsidR="00546F70" w:rsidRDefault="00546F70" w:rsidP="00546F70">
      <w:pPr>
        <w:autoSpaceDE w:val="0"/>
        <w:autoSpaceDN w:val="0"/>
        <w:adjustRightInd w:val="0"/>
        <w:spacing w:after="120"/>
        <w:rPr>
          <w:rFonts w:cs="Times New Roman"/>
          <w:bCs/>
          <w:szCs w:val="24"/>
          <w:lang w:eastAsia="en-AU"/>
        </w:rPr>
      </w:pPr>
      <w:r>
        <w:rPr>
          <w:rFonts w:cs="Times New Roman"/>
          <w:bCs/>
          <w:szCs w:val="24"/>
          <w:lang w:eastAsia="en-AU"/>
        </w:rPr>
        <w:t xml:space="preserve">ARPANSA appoints a ‘lead inspector’ for each licence. As the title suggests, the lead inspector is responsible for co-ordinating inspection and compliance monitoring activities. The lead inspector is also the main point of contact for communication </w:t>
      </w:r>
      <w:r>
        <w:rPr>
          <w:rFonts w:cs="Times New Roman"/>
          <w:bCs/>
          <w:szCs w:val="24"/>
          <w:lang w:eastAsia="en-AU"/>
        </w:rPr>
        <w:lastRenderedPageBreak/>
        <w:t xml:space="preserve">between ARPANSA and the licence holder, </w:t>
      </w:r>
      <w:r w:rsidRPr="003B44F2">
        <w:rPr>
          <w:rFonts w:cs="Times New Roman"/>
          <w:bCs/>
          <w:szCs w:val="24"/>
          <w:lang w:eastAsia="en-AU"/>
        </w:rPr>
        <w:t xml:space="preserve">and </w:t>
      </w:r>
      <w:r w:rsidRPr="00452103">
        <w:rPr>
          <w:rFonts w:cs="Times New Roman"/>
          <w:bCs/>
          <w:szCs w:val="24"/>
          <w:lang w:eastAsia="en-AU"/>
        </w:rPr>
        <w:t xml:space="preserve">plays </w:t>
      </w:r>
      <w:r w:rsidRPr="003B44F2">
        <w:rPr>
          <w:rFonts w:cs="Times New Roman"/>
          <w:bCs/>
          <w:szCs w:val="24"/>
          <w:lang w:eastAsia="en-AU"/>
        </w:rPr>
        <w:t xml:space="preserve">an important </w:t>
      </w:r>
      <w:r w:rsidRPr="00452103">
        <w:rPr>
          <w:rFonts w:cs="Times New Roman"/>
          <w:bCs/>
          <w:szCs w:val="24"/>
          <w:lang w:eastAsia="en-AU"/>
        </w:rPr>
        <w:t>role</w:t>
      </w:r>
      <w:r>
        <w:rPr>
          <w:rFonts w:cs="Times New Roman"/>
          <w:bCs/>
          <w:szCs w:val="24"/>
          <w:lang w:eastAsia="en-AU"/>
        </w:rPr>
        <w:t xml:space="preserve"> </w:t>
      </w:r>
      <w:r w:rsidRPr="00452103">
        <w:rPr>
          <w:rFonts w:cs="Times New Roman"/>
          <w:bCs/>
          <w:szCs w:val="24"/>
          <w:lang w:eastAsia="en-AU"/>
        </w:rPr>
        <w:t>in</w:t>
      </w:r>
      <w:r w:rsidRPr="003B44F2">
        <w:rPr>
          <w:rFonts w:cs="Times New Roman"/>
          <w:bCs/>
          <w:szCs w:val="24"/>
          <w:lang w:eastAsia="en-AU"/>
        </w:rPr>
        <w:t xml:space="preserve"> ARPANSA’s open and transparent approach to regulated entities.</w:t>
      </w:r>
    </w:p>
    <w:p w14:paraId="0BC07B23" w14:textId="4664FF2A" w:rsidR="00546F70" w:rsidRDefault="00546F70" w:rsidP="00546F70">
      <w:pPr>
        <w:autoSpaceDE w:val="0"/>
        <w:autoSpaceDN w:val="0"/>
        <w:adjustRightInd w:val="0"/>
        <w:spacing w:after="120"/>
        <w:rPr>
          <w:rFonts w:cs="Times New Roman"/>
          <w:bCs/>
          <w:szCs w:val="24"/>
          <w:lang w:eastAsia="en-AU"/>
        </w:rPr>
      </w:pPr>
      <w:r w:rsidRPr="00A9092B">
        <w:rPr>
          <w:rFonts w:cs="Times New Roman"/>
          <w:bCs/>
          <w:szCs w:val="24"/>
          <w:lang w:eastAsia="en-AU"/>
        </w:rPr>
        <w:t>ARPANSA track</w:t>
      </w:r>
      <w:r>
        <w:rPr>
          <w:rFonts w:cs="Times New Roman"/>
          <w:bCs/>
          <w:szCs w:val="24"/>
          <w:lang w:eastAsia="en-AU"/>
        </w:rPr>
        <w:t>s</w:t>
      </w:r>
      <w:r w:rsidRPr="00A9092B">
        <w:rPr>
          <w:rFonts w:cs="Times New Roman"/>
          <w:bCs/>
          <w:szCs w:val="24"/>
          <w:lang w:eastAsia="en-AU"/>
        </w:rPr>
        <w:t xml:space="preserve"> the amount of time spent on direct regulatory activities attributed to a particular </w:t>
      </w:r>
      <w:r>
        <w:rPr>
          <w:rFonts w:cs="Times New Roman"/>
          <w:bCs/>
          <w:szCs w:val="24"/>
          <w:lang w:eastAsia="en-AU"/>
        </w:rPr>
        <w:t>licence holder</w:t>
      </w:r>
      <w:r w:rsidRPr="00A9092B">
        <w:rPr>
          <w:rFonts w:cs="Times New Roman"/>
          <w:bCs/>
          <w:szCs w:val="24"/>
          <w:lang w:eastAsia="en-AU"/>
        </w:rPr>
        <w:t>. Activities include inspections, site visits, compliance monitoring, application assessments</w:t>
      </w:r>
      <w:r>
        <w:rPr>
          <w:rFonts w:cs="Times New Roman"/>
          <w:bCs/>
          <w:szCs w:val="24"/>
          <w:lang w:eastAsia="en-AU"/>
        </w:rPr>
        <w:t>, and</w:t>
      </w:r>
      <w:r w:rsidRPr="00A9092B">
        <w:rPr>
          <w:rFonts w:cs="Times New Roman"/>
          <w:bCs/>
          <w:szCs w:val="24"/>
          <w:lang w:eastAsia="en-AU"/>
        </w:rPr>
        <w:t xml:space="preserve"> enforcement activities. </w:t>
      </w:r>
      <w:r w:rsidRPr="00476F78">
        <w:rPr>
          <w:rFonts w:cs="Times New Roman"/>
          <w:bCs/>
          <w:szCs w:val="24"/>
          <w:lang w:eastAsia="en-AU"/>
        </w:rPr>
        <w:t xml:space="preserve">As regulation is a core business activity, time spent on direct regulatory activities is likely to </w:t>
      </w:r>
      <w:r>
        <w:rPr>
          <w:rFonts w:cs="Times New Roman"/>
          <w:bCs/>
          <w:szCs w:val="24"/>
          <w:lang w:eastAsia="en-AU"/>
        </w:rPr>
        <w:t>enhance</w:t>
      </w:r>
      <w:r w:rsidRPr="00424CA5">
        <w:rPr>
          <w:rFonts w:cs="Times New Roman"/>
          <w:bCs/>
          <w:szCs w:val="24"/>
          <w:lang w:eastAsia="en-AU"/>
        </w:rPr>
        <w:t xml:space="preserve"> </w:t>
      </w:r>
      <w:r w:rsidRPr="00476F78">
        <w:rPr>
          <w:rFonts w:cs="Times New Roman"/>
          <w:bCs/>
          <w:szCs w:val="24"/>
          <w:lang w:eastAsia="en-AU"/>
        </w:rPr>
        <w:t>ARPANSA’s understanding of licence holder operations, resulting in better compliance outcomes.</w:t>
      </w:r>
      <w:r w:rsidRPr="00A9092B">
        <w:rPr>
          <w:rFonts w:cs="Times New Roman"/>
          <w:bCs/>
          <w:szCs w:val="24"/>
          <w:lang w:eastAsia="en-AU"/>
        </w:rPr>
        <w:t xml:space="preserve"> </w:t>
      </w:r>
      <w:r>
        <w:rPr>
          <w:rFonts w:cs="Times New Roman"/>
          <w:bCs/>
          <w:szCs w:val="24"/>
          <w:lang w:eastAsia="en-AU"/>
        </w:rPr>
        <w:t>R</w:t>
      </w:r>
      <w:r w:rsidRPr="00A9092B">
        <w:rPr>
          <w:rFonts w:cs="Times New Roman"/>
          <w:bCs/>
          <w:szCs w:val="24"/>
          <w:lang w:eastAsia="en-AU"/>
        </w:rPr>
        <w:t xml:space="preserve">ecording </w:t>
      </w:r>
      <w:r w:rsidR="00C847D4">
        <w:rPr>
          <w:rFonts w:cs="Times New Roman"/>
          <w:bCs/>
          <w:szCs w:val="24"/>
          <w:lang w:eastAsia="en-AU"/>
        </w:rPr>
        <w:t xml:space="preserve">time spent on </w:t>
      </w:r>
      <w:r w:rsidRPr="00A9092B">
        <w:rPr>
          <w:rFonts w:cs="Times New Roman"/>
          <w:bCs/>
          <w:szCs w:val="24"/>
          <w:lang w:eastAsia="en-AU"/>
        </w:rPr>
        <w:t xml:space="preserve">regulatory activities </w:t>
      </w:r>
      <w:r>
        <w:rPr>
          <w:rFonts w:cs="Times New Roman"/>
          <w:bCs/>
          <w:szCs w:val="24"/>
          <w:lang w:eastAsia="en-AU"/>
        </w:rPr>
        <w:t xml:space="preserve">increases </w:t>
      </w:r>
      <w:r w:rsidRPr="00A9092B">
        <w:rPr>
          <w:rFonts w:cs="Times New Roman"/>
          <w:bCs/>
          <w:szCs w:val="24"/>
          <w:lang w:eastAsia="en-AU"/>
        </w:rPr>
        <w:t>transparen</w:t>
      </w:r>
      <w:r>
        <w:rPr>
          <w:rFonts w:cs="Times New Roman"/>
          <w:bCs/>
          <w:szCs w:val="24"/>
          <w:lang w:eastAsia="en-AU"/>
        </w:rPr>
        <w:t>cy</w:t>
      </w:r>
      <w:r w:rsidRPr="00A9092B">
        <w:rPr>
          <w:rFonts w:cs="Times New Roman"/>
          <w:bCs/>
          <w:szCs w:val="24"/>
          <w:lang w:eastAsia="en-AU"/>
        </w:rPr>
        <w:t xml:space="preserve">, as it </w:t>
      </w:r>
      <w:r>
        <w:rPr>
          <w:rFonts w:cs="Times New Roman"/>
          <w:bCs/>
          <w:szCs w:val="24"/>
          <w:lang w:eastAsia="en-AU"/>
        </w:rPr>
        <w:t xml:space="preserve">provides the </w:t>
      </w:r>
      <w:r w:rsidRPr="00A9092B">
        <w:rPr>
          <w:rFonts w:cs="Times New Roman"/>
          <w:bCs/>
          <w:szCs w:val="24"/>
          <w:lang w:eastAsia="en-AU"/>
        </w:rPr>
        <w:t xml:space="preserve">basis on which licence fees are </w:t>
      </w:r>
      <w:r>
        <w:rPr>
          <w:rFonts w:cs="Times New Roman"/>
          <w:bCs/>
          <w:szCs w:val="24"/>
          <w:lang w:eastAsia="en-AU"/>
        </w:rPr>
        <w:t xml:space="preserve">determined </w:t>
      </w:r>
      <w:r w:rsidR="00C847D4">
        <w:rPr>
          <w:rFonts w:cs="Times New Roman"/>
          <w:bCs/>
          <w:szCs w:val="24"/>
          <w:lang w:eastAsia="en-AU"/>
        </w:rPr>
        <w:t xml:space="preserve">to meet the goals of the Australian Government Charging </w:t>
      </w:r>
      <w:r w:rsidR="00BC039C">
        <w:rPr>
          <w:rFonts w:cs="Times New Roman"/>
          <w:bCs/>
          <w:szCs w:val="24"/>
          <w:lang w:eastAsia="en-AU"/>
        </w:rPr>
        <w:t>Framework that</w:t>
      </w:r>
      <w:r w:rsidR="00C847D4">
        <w:rPr>
          <w:rFonts w:cs="Times New Roman"/>
          <w:bCs/>
          <w:szCs w:val="24"/>
          <w:lang w:eastAsia="en-AU"/>
        </w:rPr>
        <w:t xml:space="preserve"> establishes that those who create the need for regulation should incur the costs</w:t>
      </w:r>
      <w:r w:rsidRPr="00A9092B">
        <w:rPr>
          <w:rFonts w:cs="Times New Roman"/>
          <w:bCs/>
          <w:szCs w:val="24"/>
          <w:lang w:eastAsia="en-AU"/>
        </w:rPr>
        <w:t>.</w:t>
      </w:r>
    </w:p>
    <w:p w14:paraId="7240B27F" w14:textId="77777777" w:rsidR="00546F70" w:rsidRPr="00A9092B" w:rsidRDefault="00546F70" w:rsidP="00546F70">
      <w:pPr>
        <w:pStyle w:val="Heading3"/>
        <w:keepLines w:val="0"/>
        <w:spacing w:before="120" w:after="120" w:line="240" w:lineRule="auto"/>
        <w:jc w:val="both"/>
        <w:rPr>
          <w:lang w:eastAsia="en-AU"/>
        </w:rPr>
      </w:pPr>
      <w:bookmarkStart w:id="43" w:name="_Toc470173165"/>
      <w:r w:rsidRPr="00A9092B">
        <w:rPr>
          <w:lang w:eastAsia="en-AU"/>
        </w:rPr>
        <w:lastRenderedPageBreak/>
        <w:t>Approved evidence metrics for KPI 5</w:t>
      </w:r>
      <w:bookmarkEnd w:id="43"/>
    </w:p>
    <w:tbl>
      <w:tblPr>
        <w:tblStyle w:val="TableGrid"/>
        <w:tblW w:w="9747" w:type="dxa"/>
        <w:tblLook w:val="04A0" w:firstRow="1" w:lastRow="0" w:firstColumn="1" w:lastColumn="0" w:noHBand="0" w:noVBand="1"/>
        <w:tblDescription w:val="Chapter 2.5.2 table contains a list of evidence metrics against Key Performance Indicator (KPI) 5.  This table contains 3 heading columns 1. Indicators, 2. Evidence and 3. Comment. "/>
      </w:tblPr>
      <w:tblGrid>
        <w:gridCol w:w="3080"/>
        <w:gridCol w:w="2840"/>
        <w:gridCol w:w="3827"/>
      </w:tblGrid>
      <w:tr w:rsidR="00CF6B7C" w:rsidRPr="00CF6B7C" w14:paraId="27FB5ED5" w14:textId="77777777" w:rsidTr="00CF6B7C">
        <w:trPr>
          <w:cantSplit/>
          <w:tblHeader/>
        </w:trPr>
        <w:tc>
          <w:tcPr>
            <w:tcW w:w="3080" w:type="dxa"/>
            <w:shd w:val="clear" w:color="auto" w:fill="4E1A74" w:themeFill="text2"/>
            <w:vAlign w:val="center"/>
          </w:tcPr>
          <w:p w14:paraId="370CA899" w14:textId="77777777" w:rsidR="00546F70" w:rsidRPr="00CF6B7C" w:rsidRDefault="00546F70" w:rsidP="00CF6B7C">
            <w:pPr>
              <w:pStyle w:val="Tableheading"/>
              <w:jc w:val="center"/>
              <w:rPr>
                <w:rFonts w:asciiTheme="minorHAnsi" w:hAnsiTheme="minorHAnsi" w:cstheme="minorHAnsi"/>
                <w:color w:val="FFFFFF" w:themeColor="background1"/>
                <w:sz w:val="22"/>
                <w:szCs w:val="22"/>
                <w:lang w:eastAsia="en-AU"/>
              </w:rPr>
            </w:pPr>
            <w:r w:rsidRPr="00CF6B7C">
              <w:rPr>
                <w:rFonts w:asciiTheme="minorHAnsi" w:hAnsiTheme="minorHAnsi" w:cstheme="minorHAnsi"/>
                <w:color w:val="FFFFFF" w:themeColor="background1"/>
                <w:sz w:val="22"/>
                <w:szCs w:val="22"/>
                <w:lang w:eastAsia="en-AU"/>
              </w:rPr>
              <w:t>Indicator</w:t>
            </w:r>
          </w:p>
        </w:tc>
        <w:tc>
          <w:tcPr>
            <w:tcW w:w="2840" w:type="dxa"/>
            <w:shd w:val="clear" w:color="auto" w:fill="4E1A74" w:themeFill="text2"/>
            <w:vAlign w:val="center"/>
          </w:tcPr>
          <w:p w14:paraId="7BACD629" w14:textId="77777777" w:rsidR="00546F70" w:rsidRPr="00CF6B7C" w:rsidRDefault="00546F70" w:rsidP="00CF6B7C">
            <w:pPr>
              <w:pStyle w:val="Tableheading"/>
              <w:jc w:val="center"/>
              <w:rPr>
                <w:rFonts w:asciiTheme="minorHAnsi" w:hAnsiTheme="minorHAnsi" w:cstheme="minorHAnsi"/>
                <w:color w:val="FFFFFF" w:themeColor="background1"/>
                <w:sz w:val="22"/>
                <w:szCs w:val="22"/>
                <w:lang w:eastAsia="en-AU"/>
              </w:rPr>
            </w:pPr>
            <w:r w:rsidRPr="00CF6B7C">
              <w:rPr>
                <w:rFonts w:asciiTheme="minorHAnsi" w:hAnsiTheme="minorHAnsi" w:cstheme="minorHAnsi"/>
                <w:color w:val="FFFFFF" w:themeColor="background1"/>
                <w:sz w:val="22"/>
                <w:szCs w:val="22"/>
                <w:lang w:eastAsia="en-AU"/>
              </w:rPr>
              <w:t>Evidence</w:t>
            </w:r>
          </w:p>
        </w:tc>
        <w:tc>
          <w:tcPr>
            <w:tcW w:w="3827" w:type="dxa"/>
            <w:shd w:val="clear" w:color="auto" w:fill="4E1A74" w:themeFill="text2"/>
            <w:vAlign w:val="center"/>
          </w:tcPr>
          <w:p w14:paraId="30A0E845" w14:textId="77777777" w:rsidR="00546F70" w:rsidRPr="00CF6B7C" w:rsidRDefault="00546F70" w:rsidP="00CF6B7C">
            <w:pPr>
              <w:pStyle w:val="Tableheading"/>
              <w:jc w:val="center"/>
              <w:rPr>
                <w:rFonts w:asciiTheme="minorHAnsi" w:hAnsiTheme="minorHAnsi" w:cstheme="minorHAnsi"/>
                <w:color w:val="FFFFFF" w:themeColor="background1"/>
                <w:sz w:val="22"/>
                <w:szCs w:val="22"/>
                <w:lang w:eastAsia="en-AU"/>
              </w:rPr>
            </w:pPr>
            <w:r w:rsidRPr="00CF6B7C">
              <w:rPr>
                <w:rFonts w:asciiTheme="minorHAnsi" w:hAnsiTheme="minorHAnsi" w:cstheme="minorHAnsi"/>
                <w:color w:val="FFFFFF" w:themeColor="background1"/>
                <w:sz w:val="22"/>
                <w:szCs w:val="22"/>
                <w:lang w:eastAsia="en-AU"/>
              </w:rPr>
              <w:t>Comment</w:t>
            </w:r>
          </w:p>
        </w:tc>
      </w:tr>
      <w:tr w:rsidR="00546F70" w:rsidRPr="008A5DC7" w14:paraId="493D715A" w14:textId="77777777" w:rsidTr="00546F70">
        <w:trPr>
          <w:cantSplit/>
          <w:trHeight w:val="2623"/>
        </w:trPr>
        <w:tc>
          <w:tcPr>
            <w:tcW w:w="3080" w:type="dxa"/>
          </w:tcPr>
          <w:p w14:paraId="7171DAF5" w14:textId="77777777" w:rsidR="00546F70" w:rsidRPr="008A5DC7" w:rsidRDefault="00546F70" w:rsidP="001D235D">
            <w:pPr>
              <w:pStyle w:val="Tabletext"/>
              <w:jc w:val="left"/>
              <w:rPr>
                <w:lang w:eastAsia="en-AU"/>
              </w:rPr>
            </w:pPr>
            <w:r w:rsidRPr="008A5DC7">
              <w:rPr>
                <w:lang w:eastAsia="en-AU"/>
              </w:rPr>
              <w:t xml:space="preserve">PI 5.1 </w:t>
            </w:r>
            <w:r>
              <w:rPr>
                <w:lang w:eastAsia="en-AU"/>
              </w:rPr>
              <w:t>–</w:t>
            </w:r>
            <w:r w:rsidRPr="008A5DC7">
              <w:t xml:space="preserve"> </w:t>
            </w:r>
            <w:r>
              <w:rPr>
                <w:lang w:eastAsia="en-AU"/>
              </w:rPr>
              <w:t>Percentage of RSB</w:t>
            </w:r>
            <w:r w:rsidRPr="008A5DC7">
              <w:rPr>
                <w:lang w:eastAsia="en-AU"/>
              </w:rPr>
              <w:t xml:space="preserve"> time devoted to regulatory activities (core business efficiency).</w:t>
            </w:r>
          </w:p>
        </w:tc>
        <w:tc>
          <w:tcPr>
            <w:tcW w:w="2840" w:type="dxa"/>
          </w:tcPr>
          <w:p w14:paraId="56EED64A" w14:textId="016E9CF3" w:rsidR="00263E57" w:rsidRDefault="004A5DAA" w:rsidP="001D235D">
            <w:pPr>
              <w:pStyle w:val="Tabletext"/>
              <w:jc w:val="left"/>
              <w:rPr>
                <w:lang w:eastAsia="en-AU"/>
              </w:rPr>
            </w:pPr>
            <w:r>
              <w:rPr>
                <w:noProof/>
                <w:lang w:eastAsia="en-AU"/>
              </w:rPr>
              <w:drawing>
                <wp:inline distT="0" distB="0" distL="0" distR="0" wp14:anchorId="4564A88C" wp14:editId="41A2E5F4">
                  <wp:extent cx="252000" cy="25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b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14:paraId="37E9D115" w14:textId="34B6768D" w:rsidR="00546F70" w:rsidRPr="008A5DC7" w:rsidRDefault="001D235D" w:rsidP="001D235D">
            <w:pPr>
              <w:pStyle w:val="Tabletext"/>
              <w:jc w:val="left"/>
              <w:rPr>
                <w:lang w:eastAsia="en-AU"/>
              </w:rPr>
            </w:pPr>
            <w:r>
              <w:rPr>
                <w:lang w:eastAsia="en-AU"/>
              </w:rPr>
              <w:t>27</w:t>
            </w:r>
            <w:r w:rsidR="00546F70" w:rsidRPr="008A5DC7">
              <w:rPr>
                <w:lang w:eastAsia="en-AU"/>
              </w:rPr>
              <w:t>% of RSB time spent on regulatory activities – target (</w:t>
            </w:r>
            <w:r>
              <w:rPr>
                <w:lang w:eastAsia="en-AU"/>
              </w:rPr>
              <w:t>4</w:t>
            </w:r>
            <w:r w:rsidR="00546F70" w:rsidRPr="008A5DC7">
              <w:rPr>
                <w:lang w:eastAsia="en-AU"/>
              </w:rPr>
              <w:t>0%) not met.</w:t>
            </w:r>
          </w:p>
        </w:tc>
        <w:tc>
          <w:tcPr>
            <w:tcW w:w="3827" w:type="dxa"/>
          </w:tcPr>
          <w:p w14:paraId="2006D1A5" w14:textId="77777777" w:rsidR="00546F70" w:rsidRPr="008A5DC7" w:rsidRDefault="00546F70" w:rsidP="001D235D">
            <w:pPr>
              <w:pStyle w:val="Tabletext"/>
              <w:numPr>
                <w:ilvl w:val="0"/>
                <w:numId w:val="60"/>
              </w:numPr>
              <w:spacing w:before="0" w:after="0"/>
              <w:ind w:left="207" w:hanging="207"/>
              <w:jc w:val="left"/>
              <w:rPr>
                <w:lang w:eastAsia="en-AU"/>
              </w:rPr>
            </w:pPr>
            <w:r w:rsidRPr="008A5DC7">
              <w:rPr>
                <w:lang w:eastAsia="en-AU"/>
              </w:rPr>
              <w:t>The PI measures only the time spent working d</w:t>
            </w:r>
            <w:r w:rsidR="000A4B1C">
              <w:rPr>
                <w:lang w:eastAsia="en-AU"/>
              </w:rPr>
              <w:t>irectly on individual licences.</w:t>
            </w:r>
          </w:p>
          <w:p w14:paraId="40A57791" w14:textId="79ADEB21" w:rsidR="00546F70" w:rsidRPr="008A5DC7" w:rsidRDefault="00546F70" w:rsidP="001D235D">
            <w:pPr>
              <w:pStyle w:val="Tabletext"/>
              <w:numPr>
                <w:ilvl w:val="0"/>
                <w:numId w:val="60"/>
              </w:numPr>
              <w:spacing w:before="0" w:after="0"/>
              <w:ind w:left="207" w:hanging="207"/>
              <w:jc w:val="left"/>
              <w:rPr>
                <w:lang w:eastAsia="en-AU"/>
              </w:rPr>
            </w:pPr>
            <w:r w:rsidRPr="008A5DC7">
              <w:rPr>
                <w:lang w:eastAsia="en-AU"/>
              </w:rPr>
              <w:t>The indicator includes all RSB personnel but does not account</w:t>
            </w:r>
            <w:r w:rsidR="00F053EF">
              <w:rPr>
                <w:lang w:eastAsia="en-AU"/>
              </w:rPr>
              <w:t xml:space="preserve"> for</w:t>
            </w:r>
            <w:r w:rsidRPr="008A5DC7">
              <w:rPr>
                <w:lang w:eastAsia="en-AU"/>
              </w:rPr>
              <w:t xml:space="preserve"> </w:t>
            </w:r>
            <w:r w:rsidR="000A4B1C">
              <w:rPr>
                <w:lang w:eastAsia="en-AU"/>
              </w:rPr>
              <w:t>many important regulatory activities or support functions</w:t>
            </w:r>
            <w:r w:rsidRPr="008A5DC7">
              <w:rPr>
                <w:lang w:eastAsia="en-AU"/>
              </w:rPr>
              <w:t>.</w:t>
            </w:r>
          </w:p>
          <w:p w14:paraId="26E8BA3D" w14:textId="77777777" w:rsidR="00546F70" w:rsidRPr="008A5DC7" w:rsidRDefault="00546F70" w:rsidP="001D235D">
            <w:pPr>
              <w:pStyle w:val="Tabletext"/>
              <w:numPr>
                <w:ilvl w:val="0"/>
                <w:numId w:val="60"/>
              </w:numPr>
              <w:spacing w:before="0" w:after="0"/>
              <w:ind w:left="207" w:hanging="207"/>
              <w:jc w:val="left"/>
              <w:rPr>
                <w:lang w:eastAsia="en-AU"/>
              </w:rPr>
            </w:pPr>
            <w:r w:rsidRPr="008A5DC7">
              <w:rPr>
                <w:lang w:eastAsia="en-AU"/>
              </w:rPr>
              <w:t>This target is a major input into a transparent cost recovery tool, from which the allocation of licence charges can be determined.</w:t>
            </w:r>
          </w:p>
        </w:tc>
      </w:tr>
      <w:tr w:rsidR="00546F70" w:rsidRPr="008A5DC7" w14:paraId="198EC8C8" w14:textId="77777777" w:rsidTr="001D04B0">
        <w:trPr>
          <w:cantSplit/>
          <w:trHeight w:val="2623"/>
        </w:trPr>
        <w:tc>
          <w:tcPr>
            <w:tcW w:w="3080" w:type="dxa"/>
            <w:shd w:val="clear" w:color="auto" w:fill="F1E6FA"/>
          </w:tcPr>
          <w:p w14:paraId="55327691" w14:textId="77777777" w:rsidR="00546F70" w:rsidRPr="008A5DC7" w:rsidRDefault="00546F70" w:rsidP="001D235D">
            <w:pPr>
              <w:pStyle w:val="Tabletext"/>
              <w:jc w:val="left"/>
              <w:rPr>
                <w:lang w:eastAsia="en-AU"/>
              </w:rPr>
            </w:pPr>
            <w:r w:rsidRPr="008A5DC7">
              <w:rPr>
                <w:lang w:eastAsia="en-AU"/>
              </w:rPr>
              <w:t xml:space="preserve">PI 5.2 </w:t>
            </w:r>
            <w:r>
              <w:rPr>
                <w:lang w:eastAsia="en-AU"/>
              </w:rPr>
              <w:t>–</w:t>
            </w:r>
            <w:r w:rsidRPr="008A5DC7">
              <w:rPr>
                <w:lang w:eastAsia="en-AU"/>
              </w:rPr>
              <w:t xml:space="preserve"> Percentage of instances in which Licence holders are consulted on the development of Guides, Codes and Standards (transparent development of standards).</w:t>
            </w:r>
          </w:p>
        </w:tc>
        <w:tc>
          <w:tcPr>
            <w:tcW w:w="2840" w:type="dxa"/>
            <w:shd w:val="clear" w:color="auto" w:fill="F1E6FA"/>
          </w:tcPr>
          <w:p w14:paraId="543977D6" w14:textId="4CEE29BD" w:rsidR="00263E57" w:rsidRDefault="009007A9" w:rsidP="001D235D">
            <w:pPr>
              <w:pStyle w:val="Tabletext"/>
              <w:jc w:val="left"/>
              <w:rPr>
                <w:lang w:eastAsia="en-AU"/>
              </w:rPr>
            </w:pPr>
            <w:r>
              <w:rPr>
                <w:noProof/>
                <w:lang w:eastAsia="en-AU"/>
              </w:rPr>
              <w:drawing>
                <wp:inline distT="0" distB="0" distL="0" distR="0" wp14:anchorId="35EF5CB2" wp14:editId="3AC3EA30">
                  <wp:extent cx="252000" cy="252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ee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14:paraId="0BFB6F99" w14:textId="409CA382" w:rsidR="00546F70" w:rsidRPr="008A5DC7" w:rsidRDefault="00546F70" w:rsidP="001D235D">
            <w:pPr>
              <w:pStyle w:val="Tabletext"/>
              <w:jc w:val="left"/>
              <w:rPr>
                <w:color w:val="0070C0"/>
              </w:rPr>
            </w:pPr>
            <w:r w:rsidRPr="008A5DC7">
              <w:rPr>
                <w:lang w:eastAsia="en-AU"/>
              </w:rPr>
              <w:t>100% of guides codes and standards consulted on – target (90%) exceeded</w:t>
            </w:r>
            <w:r>
              <w:rPr>
                <w:lang w:eastAsia="en-AU"/>
              </w:rPr>
              <w:t>.</w:t>
            </w:r>
          </w:p>
        </w:tc>
        <w:tc>
          <w:tcPr>
            <w:tcW w:w="3827" w:type="dxa"/>
            <w:shd w:val="clear" w:color="auto" w:fill="F1E6FA"/>
          </w:tcPr>
          <w:p w14:paraId="47F4E8AB" w14:textId="77777777" w:rsidR="00546F70" w:rsidRPr="008A5DC7" w:rsidRDefault="00784129" w:rsidP="00784129">
            <w:pPr>
              <w:pStyle w:val="Tabletext"/>
              <w:numPr>
                <w:ilvl w:val="0"/>
                <w:numId w:val="60"/>
              </w:numPr>
              <w:spacing w:before="0" w:after="0"/>
              <w:ind w:left="207" w:hanging="141"/>
              <w:jc w:val="left"/>
              <w:rPr>
                <w:lang w:eastAsia="en-AU"/>
              </w:rPr>
            </w:pPr>
            <w:r>
              <w:rPr>
                <w:lang w:eastAsia="en-AU"/>
              </w:rPr>
              <w:t>ARPANSA has established processes to ensure consultation is undertaken in the development and amendment of all significant Guides, Codes and Standards</w:t>
            </w:r>
            <w:r w:rsidR="00546F70" w:rsidRPr="008A5DC7">
              <w:rPr>
                <w:lang w:eastAsia="en-AU"/>
              </w:rPr>
              <w:t>.</w:t>
            </w:r>
          </w:p>
        </w:tc>
      </w:tr>
    </w:tbl>
    <w:p w14:paraId="15B96046" w14:textId="77777777" w:rsidR="00546F70" w:rsidRPr="00A9092B" w:rsidRDefault="00546F70" w:rsidP="00546F70">
      <w:pPr>
        <w:pStyle w:val="Heading3"/>
        <w:keepLines w:val="0"/>
        <w:spacing w:before="200" w:after="120" w:line="240" w:lineRule="auto"/>
        <w:jc w:val="both"/>
        <w:rPr>
          <w:lang w:eastAsia="en-AU"/>
        </w:rPr>
      </w:pPr>
      <w:bookmarkStart w:id="44" w:name="_Toc470173166"/>
      <w:r w:rsidRPr="00A9092B">
        <w:rPr>
          <w:lang w:eastAsia="en-AU"/>
        </w:rPr>
        <w:t>Other evidence to indicate compliance with KPI 5</w:t>
      </w:r>
      <w:bookmarkEnd w:id="44"/>
    </w:p>
    <w:p w14:paraId="03AF1914" w14:textId="77777777" w:rsidR="00546F70" w:rsidRPr="0047516F" w:rsidRDefault="00546F70" w:rsidP="00546F70">
      <w:pPr>
        <w:autoSpaceDE w:val="0"/>
        <w:autoSpaceDN w:val="0"/>
        <w:adjustRightInd w:val="0"/>
        <w:spacing w:after="120"/>
        <w:rPr>
          <w:rFonts w:cs="Arial"/>
          <w:szCs w:val="24"/>
        </w:rPr>
      </w:pPr>
      <w:r>
        <w:rPr>
          <w:rFonts w:cs="Times New Roman"/>
          <w:bCs/>
          <w:szCs w:val="24"/>
          <w:lang w:eastAsia="en-AU"/>
        </w:rPr>
        <w:t>ARPANSA</w:t>
      </w:r>
      <w:r w:rsidRPr="00A9092B">
        <w:rPr>
          <w:rFonts w:cs="Times New Roman"/>
          <w:bCs/>
          <w:szCs w:val="24"/>
          <w:lang w:eastAsia="en-AU"/>
        </w:rPr>
        <w:t xml:space="preserve"> publishe</w:t>
      </w:r>
      <w:r>
        <w:rPr>
          <w:rFonts w:cs="Times New Roman"/>
          <w:bCs/>
          <w:szCs w:val="24"/>
          <w:lang w:eastAsia="en-AU"/>
        </w:rPr>
        <w:t>s</w:t>
      </w:r>
      <w:r w:rsidRPr="00A9092B">
        <w:rPr>
          <w:rFonts w:cs="Times New Roman"/>
          <w:bCs/>
          <w:szCs w:val="24"/>
          <w:lang w:eastAsia="en-AU"/>
        </w:rPr>
        <w:t xml:space="preserve"> </w:t>
      </w:r>
      <w:r>
        <w:rPr>
          <w:rFonts w:cs="Times New Roman"/>
          <w:bCs/>
          <w:szCs w:val="24"/>
          <w:lang w:eastAsia="en-AU"/>
        </w:rPr>
        <w:t xml:space="preserve">a large number of </w:t>
      </w:r>
      <w:r w:rsidRPr="00A9092B">
        <w:rPr>
          <w:rFonts w:cs="Times New Roman"/>
          <w:bCs/>
          <w:szCs w:val="24"/>
          <w:lang w:eastAsia="en-AU"/>
        </w:rPr>
        <w:t>reports and guidance on</w:t>
      </w:r>
      <w:r>
        <w:rPr>
          <w:rFonts w:cs="Times New Roman"/>
          <w:bCs/>
          <w:szCs w:val="24"/>
          <w:lang w:eastAsia="en-AU"/>
        </w:rPr>
        <w:t xml:space="preserve"> its </w:t>
      </w:r>
      <w:hyperlink r:id="rId30" w:history="1">
        <w:r w:rsidRPr="003331E4">
          <w:rPr>
            <w:rStyle w:val="Hyperlink"/>
            <w:rFonts w:cs="Times New Roman"/>
            <w:bCs/>
            <w:szCs w:val="24"/>
            <w:lang w:eastAsia="en-AU"/>
          </w:rPr>
          <w:t>Regulation and Licensing</w:t>
        </w:r>
      </w:hyperlink>
      <w:r>
        <w:rPr>
          <w:rFonts w:cs="Times New Roman"/>
          <w:bCs/>
          <w:szCs w:val="24"/>
          <w:lang w:eastAsia="en-AU"/>
        </w:rPr>
        <w:t xml:space="preserve"> webpages.</w:t>
      </w:r>
    </w:p>
    <w:p w14:paraId="6F61B7DB" w14:textId="0FA7D429" w:rsidR="00546F70" w:rsidRDefault="00546F70" w:rsidP="00546F70">
      <w:pPr>
        <w:spacing w:after="120"/>
      </w:pPr>
      <w:r>
        <w:rPr>
          <w:rFonts w:cs="Times New Roman"/>
          <w:bCs/>
          <w:szCs w:val="24"/>
          <w:lang w:eastAsia="en-AU"/>
        </w:rPr>
        <w:t xml:space="preserve">As discussed above, </w:t>
      </w:r>
      <w:r>
        <w:t xml:space="preserve">ARPANSA conducts regular meetings, forums and site visits </w:t>
      </w:r>
      <w:r w:rsidRPr="006A296C">
        <w:t xml:space="preserve">to </w:t>
      </w:r>
      <w:r>
        <w:t xml:space="preserve">improve </w:t>
      </w:r>
      <w:r w:rsidR="00950CD5">
        <w:t xml:space="preserve">communications and </w:t>
      </w:r>
      <w:r>
        <w:t>transparency of</w:t>
      </w:r>
      <w:r w:rsidRPr="006A296C">
        <w:t xml:space="preserve"> </w:t>
      </w:r>
      <w:r>
        <w:t>its regulatory requirements and processes.  Similar opportunities are provided during inspections.</w:t>
      </w:r>
    </w:p>
    <w:p w14:paraId="025C56C7" w14:textId="6030D8FB" w:rsidR="00A63980" w:rsidRDefault="00A63980" w:rsidP="00A63980">
      <w:pPr>
        <w:spacing w:after="120"/>
      </w:pPr>
      <w:r>
        <w:lastRenderedPageBreak/>
        <w:t>In relation to applications for a licence for a nuclear installation, the CEO is obliged to invite submissions on the application from the public and bodies. During the year, submissions were invited on the application to operate the ANSTO Nuclear Medicine Facility. Rather than just “invite submissions” ARPANSA chose to organise a public forum on the application; this was the second such forum organised by ARPANSA in relation to this facility.</w:t>
      </w:r>
    </w:p>
    <w:p w14:paraId="12D7311E" w14:textId="22EB2F72" w:rsidR="00546F70" w:rsidRDefault="00546F70" w:rsidP="00546F70">
      <w:pPr>
        <w:spacing w:after="120"/>
      </w:pPr>
      <w:r>
        <w:t>The Act establishes a Nuclear Safety Committee (NSC) to provide advice</w:t>
      </w:r>
      <w:r w:rsidR="003803F3">
        <w:t xml:space="preserve"> on nuclear safety and the safety of controlled facilities</w:t>
      </w:r>
      <w:r w:rsidRPr="00857968">
        <w:t xml:space="preserve"> </w:t>
      </w:r>
      <w:r>
        <w:t xml:space="preserve">to support the </w:t>
      </w:r>
      <w:r w:rsidR="005152DD">
        <w:t>CEO of ARPANSA. The NSC is</w:t>
      </w:r>
      <w:r>
        <w:t xml:space="preserve"> an independent group of senior national experts drawn from nuclear and other high reliability industries and regulatory bodies. Any matters of </w:t>
      </w:r>
      <w:r w:rsidR="00BD3F4F">
        <w:t xml:space="preserve">nuclear </w:t>
      </w:r>
      <w:r>
        <w:t>interest in ARPANSA’s regulatory environment, its approach to regulation, and its operational performance, is referred to the NSC for information or discussion. The NSC also reviews any significant guidance under development.</w:t>
      </w:r>
      <w:r w:rsidR="00BD3F4F">
        <w:t xml:space="preserve"> Matters of nuclear safety and security and radiation protection interest may also be put the ARPANSA’s other </w:t>
      </w:r>
      <w:r w:rsidR="00BD3F4F">
        <w:lastRenderedPageBreak/>
        <w:t xml:space="preserve">advisory bodies, namely the </w:t>
      </w:r>
      <w:r w:rsidR="005152DD">
        <w:t>Radiation Health Committee, and</w:t>
      </w:r>
      <w:r w:rsidR="00BD3F4F">
        <w:t xml:space="preserve"> the Radiation Health and Safety Advisory Council. </w:t>
      </w:r>
      <w:r w:rsidR="00F053EF">
        <w:t>The minutes from the meetings of all advisory bodies established under the Act, and written advice from those bodies to the CEO of ARPANSA</w:t>
      </w:r>
      <w:r w:rsidR="0095474F">
        <w:t>,</w:t>
      </w:r>
      <w:r w:rsidR="00F053EF">
        <w:t xml:space="preserve"> are available on ARPANSA’s website at </w:t>
      </w:r>
      <w:r w:rsidR="00F053EF" w:rsidRPr="00F053EF">
        <w:t>https://www.arpansa.gov.au/about-us/advisory-council-and-committees</w:t>
      </w:r>
      <w:r w:rsidR="00F053EF">
        <w:t>.</w:t>
      </w:r>
    </w:p>
    <w:p w14:paraId="6483F662" w14:textId="77777777" w:rsidR="00546F70" w:rsidRPr="001E2AC2" w:rsidRDefault="00546F70" w:rsidP="00546F70">
      <w:pPr>
        <w:autoSpaceDE w:val="0"/>
        <w:autoSpaceDN w:val="0"/>
        <w:adjustRightInd w:val="0"/>
        <w:spacing w:after="120"/>
        <w:rPr>
          <w:rFonts w:cs="Times New Roman"/>
          <w:bCs/>
          <w:szCs w:val="24"/>
          <w:lang w:eastAsia="en-AU"/>
        </w:rPr>
      </w:pPr>
      <w:r w:rsidRPr="001E2AC2">
        <w:rPr>
          <w:rFonts w:cs="Times New Roman"/>
          <w:bCs/>
          <w:szCs w:val="24"/>
          <w:lang w:eastAsia="en-AU"/>
        </w:rPr>
        <w:t xml:space="preserve">The team that undertook this self-assessment included a </w:t>
      </w:r>
      <w:r w:rsidR="007D264A">
        <w:rPr>
          <w:rFonts w:cs="Times New Roman"/>
          <w:bCs/>
          <w:szCs w:val="24"/>
          <w:lang w:eastAsia="en-AU"/>
        </w:rPr>
        <w:t xml:space="preserve">senior </w:t>
      </w:r>
      <w:r w:rsidR="00B12730">
        <w:rPr>
          <w:rFonts w:cs="Times New Roman"/>
          <w:bCs/>
          <w:szCs w:val="24"/>
          <w:lang w:eastAsia="en-AU"/>
        </w:rPr>
        <w:t xml:space="preserve">safety </w:t>
      </w:r>
      <w:r w:rsidR="007D264A">
        <w:rPr>
          <w:rFonts w:cs="Times New Roman"/>
          <w:bCs/>
          <w:szCs w:val="24"/>
          <w:lang w:eastAsia="en-AU"/>
        </w:rPr>
        <w:t>manager</w:t>
      </w:r>
      <w:r w:rsidRPr="001E2AC2">
        <w:rPr>
          <w:rFonts w:cs="Times New Roman"/>
          <w:bCs/>
          <w:szCs w:val="24"/>
          <w:lang w:eastAsia="en-AU"/>
        </w:rPr>
        <w:t xml:space="preserve"> </w:t>
      </w:r>
      <w:r>
        <w:rPr>
          <w:rFonts w:cs="Times New Roman"/>
          <w:bCs/>
          <w:szCs w:val="24"/>
          <w:lang w:eastAsia="en-AU"/>
        </w:rPr>
        <w:t xml:space="preserve">from </w:t>
      </w:r>
      <w:r w:rsidRPr="001E2AC2">
        <w:rPr>
          <w:rFonts w:cs="Times New Roman"/>
          <w:bCs/>
          <w:szCs w:val="24"/>
          <w:lang w:eastAsia="en-AU"/>
        </w:rPr>
        <w:t xml:space="preserve">a large </w:t>
      </w:r>
      <w:r>
        <w:rPr>
          <w:rFonts w:cs="Times New Roman"/>
          <w:bCs/>
          <w:szCs w:val="24"/>
          <w:lang w:eastAsia="en-AU"/>
        </w:rPr>
        <w:t>licence holder</w:t>
      </w:r>
      <w:r w:rsidRPr="001E2AC2">
        <w:rPr>
          <w:rFonts w:cs="Times New Roman"/>
          <w:bCs/>
          <w:szCs w:val="24"/>
          <w:lang w:eastAsia="en-AU"/>
        </w:rPr>
        <w:t xml:space="preserve"> and </w:t>
      </w:r>
      <w:r w:rsidR="00B12730">
        <w:rPr>
          <w:rFonts w:cs="Times New Roman"/>
          <w:bCs/>
          <w:szCs w:val="24"/>
          <w:lang w:eastAsia="en-AU"/>
        </w:rPr>
        <w:t xml:space="preserve">a </w:t>
      </w:r>
      <w:r w:rsidR="00950CD5">
        <w:rPr>
          <w:rFonts w:cs="Times New Roman"/>
          <w:bCs/>
          <w:szCs w:val="24"/>
          <w:lang w:eastAsia="en-AU"/>
        </w:rPr>
        <w:t>consultant with</w:t>
      </w:r>
      <w:r w:rsidR="00B12730">
        <w:rPr>
          <w:rFonts w:cs="Times New Roman"/>
          <w:bCs/>
          <w:szCs w:val="24"/>
          <w:lang w:eastAsia="en-AU"/>
        </w:rPr>
        <w:t xml:space="preserve"> 25 years’ experience in senior Australian Government roles including leadership of two </w:t>
      </w:r>
      <w:r w:rsidR="00950CD5">
        <w:rPr>
          <w:rFonts w:cs="Times New Roman"/>
          <w:bCs/>
          <w:szCs w:val="24"/>
          <w:lang w:eastAsia="en-AU"/>
        </w:rPr>
        <w:t>Federal G</w:t>
      </w:r>
      <w:r w:rsidR="00B12730">
        <w:rPr>
          <w:rFonts w:cs="Times New Roman"/>
          <w:bCs/>
          <w:szCs w:val="24"/>
          <w:lang w:eastAsia="en-AU"/>
        </w:rPr>
        <w:t>overnment regulators</w:t>
      </w:r>
      <w:r w:rsidRPr="001E2AC2">
        <w:rPr>
          <w:rFonts w:cs="Times New Roman"/>
          <w:bCs/>
          <w:szCs w:val="24"/>
          <w:lang w:eastAsia="en-AU"/>
        </w:rPr>
        <w:t>. This is a</w:t>
      </w:r>
      <w:r>
        <w:rPr>
          <w:rFonts w:cs="Times New Roman"/>
          <w:bCs/>
          <w:szCs w:val="24"/>
          <w:lang w:eastAsia="en-AU"/>
        </w:rPr>
        <w:t>nother</w:t>
      </w:r>
      <w:r w:rsidRPr="001E2AC2">
        <w:rPr>
          <w:rFonts w:cs="Times New Roman"/>
          <w:bCs/>
          <w:szCs w:val="24"/>
          <w:lang w:eastAsia="en-AU"/>
        </w:rPr>
        <w:t xml:space="preserve"> demonstration of</w:t>
      </w:r>
      <w:r>
        <w:rPr>
          <w:rFonts w:cs="Times New Roman"/>
          <w:bCs/>
          <w:szCs w:val="24"/>
          <w:lang w:eastAsia="en-AU"/>
        </w:rPr>
        <w:t xml:space="preserve"> </w:t>
      </w:r>
      <w:r w:rsidRPr="001E2AC2">
        <w:rPr>
          <w:rFonts w:cs="Times New Roman"/>
          <w:bCs/>
          <w:szCs w:val="24"/>
          <w:lang w:eastAsia="en-AU"/>
        </w:rPr>
        <w:t>openness and transparency.</w:t>
      </w:r>
      <w:r>
        <w:rPr>
          <w:rFonts w:cs="Times New Roman"/>
          <w:bCs/>
          <w:szCs w:val="24"/>
          <w:lang w:eastAsia="en-AU"/>
        </w:rPr>
        <w:t xml:space="preserve"> </w:t>
      </w:r>
    </w:p>
    <w:p w14:paraId="358FE711" w14:textId="77777777" w:rsidR="00546F70" w:rsidRDefault="00546F70" w:rsidP="00546F70">
      <w:pPr>
        <w:pStyle w:val="Heading3"/>
        <w:keepLines w:val="0"/>
        <w:spacing w:before="120" w:after="120" w:line="240" w:lineRule="auto"/>
        <w:jc w:val="both"/>
        <w:rPr>
          <w:lang w:eastAsia="en-AU"/>
        </w:rPr>
      </w:pPr>
      <w:bookmarkStart w:id="45" w:name="_Toc470173167"/>
      <w:r w:rsidRPr="00A9092B">
        <w:rPr>
          <w:lang w:eastAsia="en-AU"/>
        </w:rPr>
        <w:t>Analysis of evidence presented</w:t>
      </w:r>
      <w:bookmarkEnd w:id="45"/>
    </w:p>
    <w:p w14:paraId="6CA04C5E" w14:textId="4EA82E16" w:rsidR="00546F70" w:rsidRPr="00EA5F4F" w:rsidRDefault="00546F70" w:rsidP="00546F70">
      <w:pPr>
        <w:spacing w:after="120"/>
      </w:pPr>
      <w:r>
        <w:t xml:space="preserve">Overall performance against this KPI was assessed as </w:t>
      </w:r>
      <w:r w:rsidR="00F20ECA">
        <w:t>excellent</w:t>
      </w:r>
      <w:r>
        <w:t>. This is based on evidence such as the amount of information publicly available online, including the e</w:t>
      </w:r>
      <w:r w:rsidRPr="001C2384">
        <w:t xml:space="preserve">nforcement </w:t>
      </w:r>
      <w:r w:rsidRPr="001C2384">
        <w:lastRenderedPageBreak/>
        <w:t>strategy and risk approach</w:t>
      </w:r>
      <w:r>
        <w:t>es, regulatory guides,</w:t>
      </w:r>
      <w:r w:rsidRPr="001C2384">
        <w:t xml:space="preserve"> </w:t>
      </w:r>
      <w:r>
        <w:t xml:space="preserve">and inspection outcomes. Although performance against the </w:t>
      </w:r>
      <w:r w:rsidRPr="00A41E77">
        <w:t>PI was</w:t>
      </w:r>
      <w:r>
        <w:t xml:space="preserve"> taken into account, the team considered that they might not accurately reflect the intent of the KPI.</w:t>
      </w:r>
    </w:p>
    <w:p w14:paraId="5C9EA024" w14:textId="77777777" w:rsidR="00546F70" w:rsidRDefault="00546F70" w:rsidP="00546F70">
      <w:pPr>
        <w:spacing w:after="120"/>
      </w:pPr>
      <w:r w:rsidRPr="00016703">
        <w:rPr>
          <w:b/>
        </w:rPr>
        <w:t xml:space="preserve">PI 5.1 </w:t>
      </w:r>
      <w:r>
        <w:t>is a measure of the proportion of time regulatory staff spend on direct regulatory activities</w:t>
      </w:r>
      <w:r w:rsidRPr="00A9092B">
        <w:t xml:space="preserve">. </w:t>
      </w:r>
      <w:r>
        <w:t xml:space="preserve">These are activities associated with a specific licence such as application assessments, inspections, compliance monitoring, and enforcement. This measure was primarily introduced </w:t>
      </w:r>
      <w:r w:rsidRPr="00A9092B">
        <w:t xml:space="preserve">to assist the determination of </w:t>
      </w:r>
      <w:r>
        <w:t xml:space="preserve">annual </w:t>
      </w:r>
      <w:r w:rsidRPr="00A9092B">
        <w:t>licence charges.</w:t>
      </w:r>
      <w:r w:rsidR="00CB2D9A">
        <w:t xml:space="preserve">  I</w:t>
      </w:r>
      <w:r w:rsidRPr="00A9092B">
        <w:t xml:space="preserve">ndirect regulatory work </w:t>
      </w:r>
      <w:r w:rsidR="00CB2D9A">
        <w:t>can be highly effective and reduce the need for direct intervention by regulatory staff</w:t>
      </w:r>
      <w:r>
        <w:t>.</w:t>
      </w:r>
    </w:p>
    <w:p w14:paraId="4C7277CB" w14:textId="5FA43B4F" w:rsidR="00546F70" w:rsidRDefault="00546F70" w:rsidP="00546F70">
      <w:pPr>
        <w:spacing w:after="120"/>
      </w:pPr>
      <w:r>
        <w:t xml:space="preserve">Indirect regulatory work includes administration of the licensing framework, including the </w:t>
      </w:r>
      <w:r w:rsidR="005152DD">
        <w:t xml:space="preserve">licence administration </w:t>
      </w:r>
      <w:r>
        <w:t xml:space="preserve">database; managing the </w:t>
      </w:r>
      <w:r w:rsidRPr="00A9092B">
        <w:t>development of codes and</w:t>
      </w:r>
      <w:r>
        <w:t xml:space="preserve"> guides;</w:t>
      </w:r>
      <w:r w:rsidRPr="00A9092B">
        <w:t xml:space="preserve"> promotion of national uniformity</w:t>
      </w:r>
      <w:r>
        <w:t xml:space="preserve">, education and training; reporting; implementing </w:t>
      </w:r>
      <w:r w:rsidRPr="00A9092B">
        <w:t>measures for continuous improvement</w:t>
      </w:r>
      <w:r>
        <w:t>; and man</w:t>
      </w:r>
      <w:r>
        <w:lastRenderedPageBreak/>
        <w:t>aging the regulatory management system</w:t>
      </w:r>
      <w:r w:rsidRPr="00A9092B">
        <w:t xml:space="preserve">. </w:t>
      </w:r>
      <w:r>
        <w:t>Much of this indirect regulatory work is required to establish and maintain the systems that support direct regulatory activities. For example, forms and guides must be in place before a licence application can be made. Applicants must understand the regulatory framework in order to prepare an application. After a licence is issued, licence holders must understand compliance and enforcement.</w:t>
      </w:r>
    </w:p>
    <w:p w14:paraId="5E6A841B" w14:textId="7245392A" w:rsidR="00546F70" w:rsidRDefault="00546F70" w:rsidP="00546F70">
      <w:pPr>
        <w:spacing w:after="120"/>
      </w:pPr>
      <w:r>
        <w:t>The indirect activities are important to ARPANSA’s approach of enabling and supporting licence holder ownership and management of safety and security</w:t>
      </w:r>
      <w:r w:rsidR="00BD3F4F">
        <w:t xml:space="preserve"> and</w:t>
      </w:r>
      <w:r>
        <w:t xml:space="preserve"> to avoid direct regulatory intervention. </w:t>
      </w:r>
      <w:r w:rsidR="00CB2D9A">
        <w:t>F</w:t>
      </w:r>
      <w:r w:rsidR="00A94A76">
        <w:t>rom 1 July 2017 a new time tracking system ha</w:t>
      </w:r>
      <w:r w:rsidR="00B64F6E">
        <w:t>s</w:t>
      </w:r>
      <w:r w:rsidR="00A94A76">
        <w:t xml:space="preserve"> been introduced to capture a wider range of regulatory activities. </w:t>
      </w:r>
      <w:r w:rsidR="00CB2D9A">
        <w:t>T</w:t>
      </w:r>
      <w:r w:rsidR="00A94A76">
        <w:t xml:space="preserve">his </w:t>
      </w:r>
      <w:r w:rsidR="00CB2D9A">
        <w:t>will</w:t>
      </w:r>
      <w:r w:rsidR="00A94A76">
        <w:t xml:space="preserve"> provide an improved holistic measure of branch efficiency</w:t>
      </w:r>
      <w:r w:rsidR="007933BF">
        <w:t xml:space="preserve"> and one </w:t>
      </w:r>
      <w:r w:rsidR="00BD3F4F">
        <w:t>that will</w:t>
      </w:r>
      <w:r w:rsidR="007933BF">
        <w:t xml:space="preserve"> adapt to an approach needing less intervention as greater autonomy is earned</w:t>
      </w:r>
      <w:r w:rsidR="00A94A76">
        <w:t xml:space="preserve">. </w:t>
      </w:r>
    </w:p>
    <w:p w14:paraId="375AE616" w14:textId="77777777" w:rsidR="00546F70" w:rsidRDefault="00546F70" w:rsidP="00546F70">
      <w:pPr>
        <w:spacing w:after="120"/>
      </w:pPr>
      <w:r w:rsidRPr="00016703">
        <w:rPr>
          <w:b/>
        </w:rPr>
        <w:lastRenderedPageBreak/>
        <w:t>PI 5.2</w:t>
      </w:r>
      <w:r>
        <w:t xml:space="preserve"> relates to the level of consultation with licence holders on the development of ARPANSA’s regulatory guides, codes and standards.</w:t>
      </w:r>
    </w:p>
    <w:p w14:paraId="3539B182" w14:textId="3F589A05" w:rsidR="00546F70" w:rsidRDefault="00D92BBE" w:rsidP="00546F70">
      <w:pPr>
        <w:spacing w:after="120"/>
      </w:pPr>
      <w:r>
        <w:t>During</w:t>
      </w:r>
      <w:r w:rsidR="00F06138">
        <w:t xml:space="preserve"> the year </w:t>
      </w:r>
      <w:r>
        <w:t xml:space="preserve">ARPANSA had consulted on the publication of all new guides and all significant amendments. Amendments </w:t>
      </w:r>
      <w:r w:rsidR="00AB2995">
        <w:t>involving</w:t>
      </w:r>
      <w:r>
        <w:t xml:space="preserve"> simple updates, such as updating of terminology and references were not subject to consultation. During the </w:t>
      </w:r>
      <w:r w:rsidR="007F5E44">
        <w:t>2015-16</w:t>
      </w:r>
      <w:r>
        <w:t xml:space="preserve"> self-assessment an observation from some </w:t>
      </w:r>
      <w:r w:rsidR="00546F70">
        <w:t xml:space="preserve">licence holder representatives </w:t>
      </w:r>
      <w:r>
        <w:t>was that where comments were sent to ARPANSA</w:t>
      </w:r>
      <w:r w:rsidR="00BD3F4F">
        <w:t>,</w:t>
      </w:r>
      <w:r w:rsidR="00546F70">
        <w:t xml:space="preserve"> no advice on how</w:t>
      </w:r>
      <w:r w:rsidR="00546F70" w:rsidRPr="00A9092B">
        <w:t xml:space="preserve"> </w:t>
      </w:r>
      <w:r>
        <w:t>those</w:t>
      </w:r>
      <w:r w:rsidRPr="00A9092B">
        <w:t xml:space="preserve"> </w:t>
      </w:r>
      <w:r w:rsidR="00546F70" w:rsidRPr="00A9092B">
        <w:t xml:space="preserve">comments </w:t>
      </w:r>
      <w:r w:rsidR="00546F70">
        <w:t xml:space="preserve">were considered or addressed was </w:t>
      </w:r>
      <w:r>
        <w:t xml:space="preserve">returned.  No similar </w:t>
      </w:r>
      <w:r w:rsidR="00617A0C">
        <w:t xml:space="preserve">observations </w:t>
      </w:r>
      <w:r>
        <w:t>were received during this assessment</w:t>
      </w:r>
      <w:r w:rsidR="00546F70" w:rsidRPr="00A9092B">
        <w:t>.</w:t>
      </w:r>
    </w:p>
    <w:p w14:paraId="015BA810" w14:textId="354A0DB2" w:rsidR="00546F70" w:rsidRPr="0097349F" w:rsidRDefault="00546F70" w:rsidP="00546F70">
      <w:pPr>
        <w:spacing w:after="120"/>
        <w:rPr>
          <w:b/>
        </w:rPr>
      </w:pPr>
      <w:r w:rsidRPr="0097349F">
        <w:rPr>
          <w:b/>
        </w:rPr>
        <w:t>Other evidence</w:t>
      </w:r>
      <w:r w:rsidRPr="002C3746">
        <w:rPr>
          <w:b/>
        </w:rPr>
        <w:t>:</w:t>
      </w:r>
      <w:r>
        <w:t xml:space="preserve"> </w:t>
      </w:r>
      <w:r w:rsidR="00B64F6E">
        <w:t xml:space="preserve">Early in 2017 ARPANSA implemented a major reform of </w:t>
      </w:r>
      <w:r w:rsidR="0013435A">
        <w:t>it</w:t>
      </w:r>
      <w:r w:rsidR="00116711">
        <w:t>s</w:t>
      </w:r>
      <w:r w:rsidR="0013435A">
        <w:t xml:space="preserve"> website providing a modern</w:t>
      </w:r>
      <w:r w:rsidR="00116711">
        <w:t xml:space="preserve">, simpler, clearer and easier </w:t>
      </w:r>
      <w:r w:rsidR="00BD3F4F">
        <w:t xml:space="preserve">to use </w:t>
      </w:r>
      <w:r w:rsidR="00116711">
        <w:t xml:space="preserve">platform.  The website has an improved search engine and a number of new features including mobile phone accessibility. The regulation and licensing section </w:t>
      </w:r>
      <w:r w:rsidR="00116711">
        <w:lastRenderedPageBreak/>
        <w:t>of the website has an extensive range of information describing how ARPANSA carries out its regulatory business along with guides and resources for stakeholders. RSB is also using the website as a portal for important safety performance data to licence holders</w:t>
      </w:r>
      <w:r w:rsidR="00784129">
        <w:t>.</w:t>
      </w:r>
    </w:p>
    <w:p w14:paraId="344B2D81" w14:textId="5A7F7C1A" w:rsidR="00546F70" w:rsidRDefault="00546F70" w:rsidP="00546F70">
      <w:pPr>
        <w:spacing w:after="120"/>
      </w:pPr>
      <w:r w:rsidRPr="0080793B">
        <w:t>During the reporting period</w:t>
      </w:r>
      <w:r>
        <w:t>,</w:t>
      </w:r>
      <w:r w:rsidRPr="0080793B">
        <w:t xml:space="preserve"> ARPANSA </w:t>
      </w:r>
      <w:r>
        <w:t xml:space="preserve">held </w:t>
      </w:r>
      <w:r w:rsidR="005E3F44">
        <w:t>32</w:t>
      </w:r>
      <w:r w:rsidRPr="0080793B">
        <w:t xml:space="preserve"> information</w:t>
      </w:r>
      <w:r>
        <w:t>-</w:t>
      </w:r>
      <w:r w:rsidRPr="0080793B">
        <w:t>sharing meetings</w:t>
      </w:r>
      <w:r w:rsidR="00222C3B">
        <w:t xml:space="preserve">, </w:t>
      </w:r>
      <w:r w:rsidR="00222C3B" w:rsidRPr="0080793B">
        <w:t>60</w:t>
      </w:r>
      <w:r w:rsidRPr="0080793B">
        <w:t xml:space="preserve"> </w:t>
      </w:r>
      <w:r w:rsidR="00222C3B">
        <w:t xml:space="preserve">facility site visits and 16 source </w:t>
      </w:r>
      <w:r w:rsidRPr="0080793B">
        <w:t xml:space="preserve">site visits to </w:t>
      </w:r>
      <w:r w:rsidRPr="00454CE1">
        <w:t>promote clarity and transparency.</w:t>
      </w:r>
      <w:r w:rsidR="00222C3B">
        <w:t xml:space="preserve"> </w:t>
      </w:r>
    </w:p>
    <w:p w14:paraId="431D707A" w14:textId="44A13D85" w:rsidR="00825C34" w:rsidRDefault="00F46463" w:rsidP="00546F70">
      <w:pPr>
        <w:spacing w:after="120"/>
      </w:pPr>
      <w:r>
        <w:t>With regard to siting of contentious facilities, in particular waste storage and disposal facilities, international experience demonstrate</w:t>
      </w:r>
      <w:r w:rsidR="00DD1AC7">
        <w:t>s</w:t>
      </w:r>
      <w:r>
        <w:t xml:space="preserve"> that early visibility of the regulator in the local debate is imperative to build trust in the licensing process. This outreach must commence well before a licence application is received and respond to legitimate concerns and requests for information on the role of the regulator in the process. ARPANSA has taken a whole-of-agency approach to reaching out to stakeholders in South Australia regarding the proposed National Radioactive Waste Management Facility. </w:t>
      </w:r>
      <w:r>
        <w:lastRenderedPageBreak/>
        <w:t>ARPANSA has carried out several visits to relevant communities and engaged with wide range of stakeholders. This in no way pre-empts a regulatory decision but contributes to the establishment of a regulatory process that is characterised by trust, rigour and transparency.</w:t>
      </w:r>
    </w:p>
    <w:p w14:paraId="5B70C9A7" w14:textId="6DBBF305" w:rsidR="00546F70" w:rsidRPr="00A9092B" w:rsidRDefault="00546F70" w:rsidP="00546F70">
      <w:pPr>
        <w:pStyle w:val="Heading3"/>
        <w:keepLines w:val="0"/>
        <w:spacing w:before="120" w:after="120" w:line="240" w:lineRule="auto"/>
        <w:jc w:val="both"/>
        <w:rPr>
          <w:lang w:eastAsia="en-AU"/>
        </w:rPr>
      </w:pPr>
      <w:bookmarkStart w:id="46" w:name="_Toc470173168"/>
      <w:r w:rsidRPr="00A9092B">
        <w:rPr>
          <w:lang w:eastAsia="en-AU"/>
        </w:rPr>
        <w:t>Self</w:t>
      </w:r>
      <w:r>
        <w:rPr>
          <w:lang w:eastAsia="en-AU"/>
        </w:rPr>
        <w:t>-</w:t>
      </w:r>
      <w:r w:rsidRPr="00A9092B">
        <w:rPr>
          <w:lang w:eastAsia="en-AU"/>
        </w:rPr>
        <w:t>assessed rating of performance against KPI 5 – 201</w:t>
      </w:r>
      <w:r w:rsidR="00751425">
        <w:rPr>
          <w:lang w:eastAsia="en-AU"/>
        </w:rPr>
        <w:t>6</w:t>
      </w:r>
      <w:r>
        <w:rPr>
          <w:lang w:eastAsia="en-AU"/>
        </w:rPr>
        <w:t>-</w:t>
      </w:r>
      <w:r w:rsidRPr="00A9092B">
        <w:rPr>
          <w:lang w:eastAsia="en-AU"/>
        </w:rPr>
        <w:t>1</w:t>
      </w:r>
      <w:bookmarkEnd w:id="46"/>
      <w:r w:rsidR="00751425">
        <w:rPr>
          <w:lang w:eastAsia="en-AU"/>
        </w:rPr>
        <w:t>7</w:t>
      </w:r>
    </w:p>
    <w:tbl>
      <w:tblPr>
        <w:tblStyle w:val="TableGrid"/>
        <w:tblW w:w="9781" w:type="dxa"/>
        <w:tblLook w:val="04A0" w:firstRow="1" w:lastRow="0" w:firstColumn="1" w:lastColumn="0" w:noHBand="0" w:noVBand="1"/>
        <w:tblDescription w:val="Chapter 2.5.5 table contains a list of performance ratings against Key Performance Indicator (KPI) 5 of the 2015-16 Regulator Performance Framework. "/>
      </w:tblPr>
      <w:tblGrid>
        <w:gridCol w:w="1560"/>
        <w:gridCol w:w="2976"/>
        <w:gridCol w:w="1843"/>
        <w:gridCol w:w="1701"/>
        <w:gridCol w:w="1701"/>
      </w:tblGrid>
      <w:tr w:rsidR="00546F70" w:rsidRPr="008A5DC7" w14:paraId="7B03B45C" w14:textId="77777777" w:rsidTr="003C23B9">
        <w:trPr>
          <w:cantSplit/>
          <w:tblHeader/>
        </w:trPr>
        <w:tc>
          <w:tcPr>
            <w:tcW w:w="1560" w:type="dxa"/>
            <w:shd w:val="clear" w:color="auto" w:fill="FFFFFF" w:themeFill="background1"/>
          </w:tcPr>
          <w:p w14:paraId="10F4FF36"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t>Excellent</w:t>
            </w:r>
          </w:p>
          <w:p w14:paraId="21EF718B" w14:textId="77777777" w:rsidR="00546F70" w:rsidRPr="008A5DC7" w:rsidRDefault="00546F70" w:rsidP="00546F70">
            <w:pPr>
              <w:autoSpaceDE w:val="0"/>
              <w:autoSpaceDN w:val="0"/>
              <w:adjustRightInd w:val="0"/>
              <w:spacing w:before="120" w:after="120"/>
              <w:jc w:val="center"/>
              <w:rPr>
                <w:rFonts w:cs="Times New Roman"/>
                <w:bCs/>
                <w:sz w:val="20"/>
                <w:szCs w:val="20"/>
                <w:lang w:eastAsia="en-AU"/>
              </w:rPr>
            </w:pPr>
            <w:r w:rsidRPr="008A5DC7">
              <w:rPr>
                <w:rFonts w:cs="Times New Roman"/>
                <w:bCs/>
                <w:sz w:val="20"/>
                <w:szCs w:val="20"/>
                <w:lang w:eastAsia="en-AU"/>
              </w:rPr>
              <w:t xml:space="preserve">Strong performance against all the measures </w:t>
            </w:r>
            <w:r w:rsidRPr="005E6CD5">
              <w:rPr>
                <w:rFonts w:cs="Times New Roman"/>
                <w:bCs/>
                <w:sz w:val="20"/>
                <w:szCs w:val="20"/>
                <w:shd w:val="clear" w:color="auto" w:fill="FFFFFF" w:themeFill="background1"/>
                <w:lang w:eastAsia="en-AU"/>
              </w:rPr>
              <w:t>under</w:t>
            </w:r>
            <w:r w:rsidRPr="008A5DC7">
              <w:rPr>
                <w:rFonts w:cs="Times New Roman"/>
                <w:bCs/>
                <w:sz w:val="20"/>
                <w:szCs w:val="20"/>
                <w:lang w:eastAsia="en-AU"/>
              </w:rPr>
              <w:t xml:space="preserve"> the KPI</w:t>
            </w:r>
          </w:p>
        </w:tc>
        <w:tc>
          <w:tcPr>
            <w:tcW w:w="2976" w:type="dxa"/>
            <w:shd w:val="clear" w:color="auto" w:fill="9CE39C" w:themeFill="accent2" w:themeFillTint="66"/>
          </w:tcPr>
          <w:p w14:paraId="79E39A70"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t>Very Good</w:t>
            </w:r>
          </w:p>
          <w:p w14:paraId="2BA8BCB1" w14:textId="77777777" w:rsidR="00546F70" w:rsidRPr="008A5DC7" w:rsidRDefault="00546F70" w:rsidP="00546F70">
            <w:pPr>
              <w:autoSpaceDE w:val="0"/>
              <w:autoSpaceDN w:val="0"/>
              <w:adjustRightInd w:val="0"/>
              <w:spacing w:before="120" w:after="120"/>
              <w:jc w:val="center"/>
              <w:rPr>
                <w:rFonts w:cs="Times New Roman"/>
                <w:bCs/>
                <w:sz w:val="20"/>
                <w:szCs w:val="20"/>
                <w:lang w:eastAsia="en-AU"/>
              </w:rPr>
            </w:pPr>
            <w:r w:rsidRPr="008A5DC7">
              <w:rPr>
                <w:rFonts w:cs="Times New Roman"/>
                <w:bCs/>
                <w:sz w:val="20"/>
                <w:szCs w:val="20"/>
                <w:lang w:eastAsia="en-AU"/>
              </w:rPr>
              <w:t>Strong performance against majority of the measures under the KPI and no evidence of negative/poor performance against any measure</w:t>
            </w:r>
          </w:p>
        </w:tc>
        <w:tc>
          <w:tcPr>
            <w:tcW w:w="1843" w:type="dxa"/>
            <w:shd w:val="clear" w:color="auto" w:fill="FFFFFF" w:themeFill="background1"/>
          </w:tcPr>
          <w:p w14:paraId="035B8B7A"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t>Good</w:t>
            </w:r>
          </w:p>
          <w:p w14:paraId="6A026B22" w14:textId="77777777" w:rsidR="00546F70" w:rsidRPr="008A5DC7" w:rsidRDefault="00546F70" w:rsidP="00546F70">
            <w:pPr>
              <w:autoSpaceDE w:val="0"/>
              <w:autoSpaceDN w:val="0"/>
              <w:adjustRightInd w:val="0"/>
              <w:spacing w:before="120" w:after="120"/>
              <w:jc w:val="center"/>
              <w:rPr>
                <w:rFonts w:cs="Times New Roman"/>
                <w:b/>
                <w:bCs/>
                <w:sz w:val="20"/>
                <w:szCs w:val="20"/>
                <w:lang w:eastAsia="en-AU"/>
              </w:rPr>
            </w:pPr>
            <w:r w:rsidRPr="008A5DC7">
              <w:rPr>
                <w:rFonts w:cs="Times New Roman"/>
                <w:bCs/>
                <w:sz w:val="20"/>
                <w:szCs w:val="20"/>
                <w:lang w:eastAsia="en-AU"/>
              </w:rPr>
              <w:t>Average performance against the measures under the KPI</w:t>
            </w:r>
          </w:p>
        </w:tc>
        <w:tc>
          <w:tcPr>
            <w:tcW w:w="1701" w:type="dxa"/>
          </w:tcPr>
          <w:p w14:paraId="79D4F0CF"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t>Fair</w:t>
            </w:r>
          </w:p>
          <w:p w14:paraId="79271FE5" w14:textId="77777777" w:rsidR="00546F70" w:rsidRPr="008A5DC7" w:rsidRDefault="00546F70" w:rsidP="00546F70">
            <w:pPr>
              <w:autoSpaceDE w:val="0"/>
              <w:autoSpaceDN w:val="0"/>
              <w:adjustRightInd w:val="0"/>
              <w:spacing w:before="120" w:after="120"/>
              <w:jc w:val="center"/>
              <w:rPr>
                <w:rFonts w:cs="Times New Roman"/>
                <w:bCs/>
                <w:sz w:val="20"/>
                <w:szCs w:val="20"/>
                <w:lang w:eastAsia="en-AU"/>
              </w:rPr>
            </w:pPr>
            <w:r w:rsidRPr="008A5DC7">
              <w:rPr>
                <w:rFonts w:cs="Times New Roman"/>
                <w:bCs/>
                <w:sz w:val="20"/>
                <w:szCs w:val="20"/>
                <w:lang w:eastAsia="en-AU"/>
              </w:rPr>
              <w:t>Poor performance against some measures under the KPI</w:t>
            </w:r>
          </w:p>
        </w:tc>
        <w:tc>
          <w:tcPr>
            <w:tcW w:w="1701" w:type="dxa"/>
          </w:tcPr>
          <w:p w14:paraId="6CFF8734"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t>Poor</w:t>
            </w:r>
          </w:p>
          <w:p w14:paraId="21F2CF34" w14:textId="77777777" w:rsidR="00546F70" w:rsidRPr="008A5DC7" w:rsidRDefault="00546F70" w:rsidP="00546F70">
            <w:pPr>
              <w:autoSpaceDE w:val="0"/>
              <w:autoSpaceDN w:val="0"/>
              <w:adjustRightInd w:val="0"/>
              <w:spacing w:before="120" w:after="120"/>
              <w:jc w:val="center"/>
              <w:rPr>
                <w:rFonts w:cs="Times New Roman"/>
                <w:b/>
                <w:bCs/>
                <w:sz w:val="20"/>
                <w:szCs w:val="20"/>
                <w:lang w:eastAsia="en-AU"/>
              </w:rPr>
            </w:pPr>
            <w:r w:rsidRPr="008A5DC7">
              <w:rPr>
                <w:rFonts w:cs="Times New Roman"/>
                <w:bCs/>
                <w:sz w:val="20"/>
                <w:szCs w:val="20"/>
                <w:lang w:eastAsia="en-AU"/>
              </w:rPr>
              <w:t>Poor performance against most of the measures under the KPI</w:t>
            </w:r>
          </w:p>
        </w:tc>
      </w:tr>
    </w:tbl>
    <w:p w14:paraId="1FF153A2" w14:textId="1D478211" w:rsidR="00B33B2F" w:rsidRPr="00B33B2F" w:rsidRDefault="00B33B2F" w:rsidP="00B33B2F">
      <w:pPr>
        <w:rPr>
          <w:lang w:eastAsia="en-AU"/>
        </w:rPr>
      </w:pPr>
      <w:bookmarkStart w:id="47" w:name="_Toc470173169"/>
      <w:r>
        <w:rPr>
          <w:lang w:eastAsia="en-AU"/>
        </w:rPr>
        <w:t xml:space="preserve">This rating increased from good in the 2015-16 self-assessment. This reflected improvements in the consultation with stakeholders, stakeholder outreach activities and an improved website that provides expanded information on ARPANSA regulatory expectations, the basis for all major licence decisions and outcomes from the inspection programme. </w:t>
      </w:r>
    </w:p>
    <w:p w14:paraId="582B2FA5" w14:textId="77777777" w:rsidR="00546F70" w:rsidRPr="00A9092B" w:rsidRDefault="00546F70" w:rsidP="00546F70">
      <w:pPr>
        <w:pStyle w:val="Heading3"/>
        <w:keepLines w:val="0"/>
        <w:spacing w:before="200" w:after="120" w:line="240" w:lineRule="auto"/>
        <w:jc w:val="both"/>
        <w:rPr>
          <w:lang w:eastAsia="en-AU"/>
        </w:rPr>
      </w:pPr>
      <w:r w:rsidRPr="00A9092B">
        <w:rPr>
          <w:lang w:eastAsia="en-AU"/>
        </w:rPr>
        <w:lastRenderedPageBreak/>
        <w:t>Actions for improving performance against KPI 5</w:t>
      </w:r>
      <w:bookmarkEnd w:id="47"/>
    </w:p>
    <w:p w14:paraId="0BCFC175" w14:textId="77777777" w:rsidR="00546F70" w:rsidRPr="00784129" w:rsidRDefault="00546F70" w:rsidP="00784129">
      <w:pPr>
        <w:autoSpaceDE w:val="0"/>
        <w:autoSpaceDN w:val="0"/>
        <w:adjustRightInd w:val="0"/>
        <w:spacing w:after="120"/>
        <w:rPr>
          <w:rFonts w:cs="Arial"/>
          <w:szCs w:val="24"/>
        </w:rPr>
      </w:pPr>
      <w:r w:rsidRPr="00A9092B">
        <w:rPr>
          <w:rFonts w:cs="Arial"/>
          <w:szCs w:val="24"/>
        </w:rPr>
        <w:t xml:space="preserve">The assessment team did not identify any </w:t>
      </w:r>
      <w:r w:rsidR="00784129">
        <w:rPr>
          <w:rFonts w:cs="Arial"/>
          <w:szCs w:val="24"/>
        </w:rPr>
        <w:t xml:space="preserve">specific </w:t>
      </w:r>
      <w:r w:rsidRPr="00A9092B">
        <w:rPr>
          <w:rFonts w:cs="Arial"/>
          <w:szCs w:val="24"/>
        </w:rPr>
        <w:t xml:space="preserve">improvement measures </w:t>
      </w:r>
      <w:r>
        <w:rPr>
          <w:rFonts w:cs="Arial"/>
          <w:szCs w:val="24"/>
        </w:rPr>
        <w:t>for</w:t>
      </w:r>
      <w:r w:rsidRPr="00A9092B">
        <w:rPr>
          <w:rFonts w:cs="Arial"/>
          <w:szCs w:val="24"/>
        </w:rPr>
        <w:t xml:space="preserve"> KPI 5</w:t>
      </w:r>
      <w:r>
        <w:t>.</w:t>
      </w:r>
      <w:r w:rsidRPr="00A9092B">
        <w:t xml:space="preserve"> </w:t>
      </w:r>
    </w:p>
    <w:p w14:paraId="3C3D6A4A" w14:textId="77777777" w:rsidR="00546F70" w:rsidRPr="00335C49" w:rsidRDefault="00546F70" w:rsidP="00546F70">
      <w:pPr>
        <w:pStyle w:val="Heading2"/>
        <w:keepLines w:val="0"/>
        <w:spacing w:before="480" w:after="120" w:line="240" w:lineRule="auto"/>
        <w:ind w:left="578" w:hanging="578"/>
        <w:rPr>
          <w:lang w:eastAsia="en-AU"/>
        </w:rPr>
      </w:pPr>
      <w:bookmarkStart w:id="48" w:name="_Toc470173170"/>
      <w:bookmarkStart w:id="49" w:name="_Toc492467955"/>
      <w:r w:rsidRPr="00335C49">
        <w:rPr>
          <w:lang w:eastAsia="en-AU"/>
        </w:rPr>
        <w:t xml:space="preserve">KPI 6 </w:t>
      </w:r>
      <w:r>
        <w:rPr>
          <w:lang w:eastAsia="en-AU"/>
        </w:rPr>
        <w:t>–</w:t>
      </w:r>
      <w:r w:rsidRPr="00335C49">
        <w:rPr>
          <w:lang w:eastAsia="en-AU"/>
        </w:rPr>
        <w:t xml:space="preserve"> Regulators actively contribute to the continuous improvement of regulatory frameworks</w:t>
      </w:r>
      <w:bookmarkEnd w:id="48"/>
      <w:bookmarkEnd w:id="49"/>
    </w:p>
    <w:p w14:paraId="1B2368FC" w14:textId="22C7C278" w:rsidR="00546F70" w:rsidRDefault="00546F70" w:rsidP="00546F70">
      <w:pPr>
        <w:autoSpaceDE w:val="0"/>
        <w:autoSpaceDN w:val="0"/>
        <w:adjustRightInd w:val="0"/>
        <w:spacing w:after="120"/>
        <w:rPr>
          <w:rFonts w:cs="Times New Roman"/>
          <w:bCs/>
          <w:szCs w:val="24"/>
          <w:lang w:eastAsia="en-AU"/>
        </w:rPr>
      </w:pPr>
      <w:r>
        <w:rPr>
          <w:rFonts w:cs="Times New Roman"/>
          <w:bCs/>
          <w:szCs w:val="24"/>
          <w:lang w:eastAsia="en-AU"/>
        </w:rPr>
        <w:t xml:space="preserve">ARPANSA operates in a dynamic regulatory environment with many of its licence holders operating at the cutting edge of science and technology. ARPANSA must be adaptable to meet the needs of regulated entities while assuring compliance with the Act and maintaining high levels of nuclear and radiation safety and security. A program of continuous improvement is recognised as being important to building a resilient regulator that is able to </w:t>
      </w:r>
      <w:r w:rsidR="00397B56">
        <w:rPr>
          <w:rFonts w:cs="Times New Roman"/>
          <w:bCs/>
          <w:szCs w:val="24"/>
          <w:lang w:eastAsia="en-AU"/>
        </w:rPr>
        <w:t xml:space="preserve">know what to expect, </w:t>
      </w:r>
      <w:r>
        <w:rPr>
          <w:rFonts w:cs="Times New Roman"/>
          <w:bCs/>
          <w:szCs w:val="24"/>
          <w:lang w:eastAsia="en-AU"/>
        </w:rPr>
        <w:t xml:space="preserve">monitor its regulatory environment, adapt to any challenges, and learn from its experience. </w:t>
      </w:r>
      <w:r w:rsidR="00BD3F4F">
        <w:rPr>
          <w:rFonts w:cs="Times New Roman"/>
          <w:bCs/>
          <w:szCs w:val="24"/>
          <w:lang w:eastAsia="en-AU"/>
        </w:rPr>
        <w:t>To help facilitate this</w:t>
      </w:r>
      <w:r w:rsidR="00DD1AC7">
        <w:rPr>
          <w:rFonts w:cs="Times New Roman"/>
          <w:bCs/>
          <w:szCs w:val="24"/>
          <w:lang w:eastAsia="en-AU"/>
        </w:rPr>
        <w:t>,</w:t>
      </w:r>
      <w:r w:rsidR="00BD3F4F">
        <w:rPr>
          <w:rFonts w:cs="Times New Roman"/>
          <w:bCs/>
          <w:szCs w:val="24"/>
          <w:lang w:eastAsia="en-AU"/>
        </w:rPr>
        <w:t xml:space="preserve"> RSB wa</w:t>
      </w:r>
      <w:r w:rsidR="00B42701">
        <w:rPr>
          <w:rFonts w:cs="Times New Roman"/>
          <w:bCs/>
          <w:szCs w:val="24"/>
          <w:lang w:eastAsia="en-AU"/>
        </w:rPr>
        <w:t xml:space="preserve">s split </w:t>
      </w:r>
      <w:r w:rsidR="00B42701">
        <w:rPr>
          <w:rFonts w:cs="Times New Roman"/>
          <w:bCs/>
          <w:szCs w:val="24"/>
          <w:lang w:eastAsia="en-AU"/>
        </w:rPr>
        <w:lastRenderedPageBreak/>
        <w:t xml:space="preserve">into </w:t>
      </w:r>
      <w:r w:rsidR="00021BEE">
        <w:rPr>
          <w:rFonts w:cs="Times New Roman"/>
          <w:bCs/>
          <w:szCs w:val="24"/>
          <w:lang w:eastAsia="en-AU"/>
        </w:rPr>
        <w:t>four functional areas</w:t>
      </w:r>
      <w:r w:rsidR="00DD1AC7">
        <w:rPr>
          <w:rFonts w:cs="Times New Roman"/>
          <w:bCs/>
          <w:szCs w:val="24"/>
          <w:lang w:eastAsia="en-AU"/>
        </w:rPr>
        <w:t>,</w:t>
      </w:r>
      <w:r w:rsidR="00021BEE">
        <w:rPr>
          <w:rFonts w:cs="Times New Roman"/>
          <w:bCs/>
          <w:szCs w:val="24"/>
          <w:lang w:eastAsia="en-AU"/>
        </w:rPr>
        <w:t xml:space="preserve"> including one focusing on regulatory standards and another on continuous improvement. </w:t>
      </w:r>
    </w:p>
    <w:p w14:paraId="387F45B1" w14:textId="784F2755" w:rsidR="00546F70" w:rsidRDefault="00546F70" w:rsidP="00546F70">
      <w:pPr>
        <w:autoSpaceDE w:val="0"/>
        <w:autoSpaceDN w:val="0"/>
        <w:adjustRightInd w:val="0"/>
        <w:spacing w:after="120"/>
        <w:rPr>
          <w:rFonts w:cs="Times New Roman"/>
          <w:bCs/>
          <w:szCs w:val="24"/>
          <w:lang w:eastAsia="en-AU"/>
        </w:rPr>
      </w:pPr>
      <w:r w:rsidRPr="00A9092B">
        <w:rPr>
          <w:rFonts w:cs="Times New Roman"/>
          <w:bCs/>
          <w:szCs w:val="24"/>
          <w:lang w:eastAsia="en-AU"/>
        </w:rPr>
        <w:t xml:space="preserve">Areas for improvement in the regulatory framework are identified via various </w:t>
      </w:r>
      <w:r>
        <w:rPr>
          <w:rFonts w:cs="Times New Roman"/>
          <w:bCs/>
          <w:szCs w:val="24"/>
          <w:lang w:eastAsia="en-AU"/>
        </w:rPr>
        <w:t>methods</w:t>
      </w:r>
      <w:r w:rsidRPr="00A9092B">
        <w:rPr>
          <w:rFonts w:cs="Times New Roman"/>
          <w:bCs/>
          <w:szCs w:val="24"/>
          <w:lang w:eastAsia="en-AU"/>
        </w:rPr>
        <w:t xml:space="preserve"> including this annual self-assessment. Additional opportunities include </w:t>
      </w:r>
      <w:r w:rsidR="00946F7C">
        <w:rPr>
          <w:rFonts w:cs="Times New Roman"/>
          <w:bCs/>
          <w:szCs w:val="24"/>
          <w:lang w:eastAsia="en-AU"/>
        </w:rPr>
        <w:t xml:space="preserve">performance and governance processes, </w:t>
      </w:r>
      <w:r>
        <w:rPr>
          <w:rFonts w:cs="Times New Roman"/>
          <w:bCs/>
          <w:szCs w:val="24"/>
          <w:lang w:eastAsia="en-AU"/>
        </w:rPr>
        <w:t xml:space="preserve">routine reviews of </w:t>
      </w:r>
      <w:r w:rsidR="00DD1AC7">
        <w:rPr>
          <w:rFonts w:cs="Times New Roman"/>
          <w:bCs/>
          <w:szCs w:val="24"/>
          <w:lang w:eastAsia="en-AU"/>
        </w:rPr>
        <w:t xml:space="preserve">the </w:t>
      </w:r>
      <w:r>
        <w:rPr>
          <w:rFonts w:cs="Times New Roman"/>
          <w:bCs/>
          <w:szCs w:val="24"/>
          <w:lang w:eastAsia="en-AU"/>
        </w:rPr>
        <w:t>regulatory management system</w:t>
      </w:r>
      <w:r w:rsidRPr="00A9092B">
        <w:rPr>
          <w:rFonts w:cs="Times New Roman"/>
          <w:bCs/>
          <w:szCs w:val="24"/>
          <w:lang w:eastAsia="en-AU"/>
        </w:rPr>
        <w:t xml:space="preserve">, </w:t>
      </w:r>
      <w:r w:rsidR="002C338C">
        <w:rPr>
          <w:rFonts w:cs="Times New Roman"/>
          <w:bCs/>
          <w:szCs w:val="24"/>
          <w:lang w:eastAsia="en-AU"/>
        </w:rPr>
        <w:t xml:space="preserve">stakeholder feedback surveys, </w:t>
      </w:r>
      <w:r w:rsidRPr="00A9092B">
        <w:rPr>
          <w:rFonts w:cs="Times New Roman"/>
          <w:bCs/>
          <w:szCs w:val="24"/>
          <w:lang w:eastAsia="en-AU"/>
        </w:rPr>
        <w:t>external audits including peer review missions</w:t>
      </w:r>
      <w:r w:rsidRPr="008579DC">
        <w:rPr>
          <w:rFonts w:cs="Times New Roman"/>
          <w:bCs/>
          <w:szCs w:val="24"/>
          <w:lang w:eastAsia="en-AU"/>
        </w:rPr>
        <w:t xml:space="preserve"> </w:t>
      </w:r>
      <w:r>
        <w:rPr>
          <w:rFonts w:cs="Times New Roman"/>
          <w:bCs/>
          <w:szCs w:val="24"/>
          <w:lang w:eastAsia="en-AU"/>
        </w:rPr>
        <w:t xml:space="preserve">by </w:t>
      </w:r>
      <w:r w:rsidRPr="00A9092B">
        <w:rPr>
          <w:rFonts w:cs="Times New Roman"/>
          <w:bCs/>
          <w:szCs w:val="24"/>
          <w:lang w:eastAsia="en-AU"/>
        </w:rPr>
        <w:t>international</w:t>
      </w:r>
      <w:r>
        <w:rPr>
          <w:rFonts w:cs="Times New Roman"/>
          <w:bCs/>
          <w:szCs w:val="24"/>
          <w:lang w:eastAsia="en-AU"/>
        </w:rPr>
        <w:t xml:space="preserve"> teams of comparable regulators</w:t>
      </w:r>
      <w:r w:rsidRPr="00A9092B">
        <w:rPr>
          <w:rFonts w:cs="Times New Roman"/>
          <w:bCs/>
          <w:szCs w:val="24"/>
          <w:lang w:eastAsia="en-AU"/>
        </w:rPr>
        <w:t xml:space="preserve">, </w:t>
      </w:r>
      <w:r w:rsidR="00946F7C">
        <w:rPr>
          <w:rFonts w:cs="Times New Roman"/>
          <w:bCs/>
          <w:szCs w:val="24"/>
          <w:lang w:eastAsia="en-AU"/>
        </w:rPr>
        <w:t>international, national and stakeholder for</w:t>
      </w:r>
      <w:r w:rsidR="001E7CA3">
        <w:rPr>
          <w:rFonts w:cs="Times New Roman"/>
          <w:bCs/>
          <w:szCs w:val="24"/>
          <w:lang w:eastAsia="en-AU"/>
        </w:rPr>
        <w:t>ums</w:t>
      </w:r>
      <w:r w:rsidRPr="00A9092B">
        <w:rPr>
          <w:rFonts w:cs="Times New Roman"/>
          <w:bCs/>
          <w:szCs w:val="24"/>
          <w:lang w:eastAsia="en-AU"/>
        </w:rPr>
        <w:t>.</w:t>
      </w:r>
    </w:p>
    <w:p w14:paraId="05A16F58" w14:textId="63A518CE" w:rsidR="00546F70" w:rsidRPr="00A9092B" w:rsidRDefault="00546F70" w:rsidP="00546F70">
      <w:pPr>
        <w:autoSpaceDE w:val="0"/>
        <w:autoSpaceDN w:val="0"/>
        <w:adjustRightInd w:val="0"/>
        <w:spacing w:after="120"/>
        <w:rPr>
          <w:rFonts w:cs="Times New Roman"/>
          <w:bCs/>
          <w:szCs w:val="24"/>
          <w:lang w:eastAsia="en-AU"/>
        </w:rPr>
      </w:pPr>
      <w:r>
        <w:rPr>
          <w:rFonts w:cs="Times New Roman"/>
          <w:bCs/>
          <w:szCs w:val="24"/>
          <w:lang w:eastAsia="en-AU"/>
        </w:rPr>
        <w:t xml:space="preserve">Effective communication is one of the keys to continuous improvement. ARPANSA strives for efficient and effective communication internally between its staff, and externally with </w:t>
      </w:r>
      <w:r w:rsidR="007D07FD">
        <w:rPr>
          <w:rFonts w:cs="Times New Roman"/>
          <w:bCs/>
          <w:szCs w:val="24"/>
          <w:lang w:eastAsia="en-AU"/>
        </w:rPr>
        <w:t>l</w:t>
      </w:r>
      <w:r>
        <w:rPr>
          <w:rFonts w:cs="Times New Roman"/>
          <w:bCs/>
          <w:szCs w:val="24"/>
          <w:lang w:eastAsia="en-AU"/>
        </w:rPr>
        <w:t xml:space="preserve">icence holder representatives, other </w:t>
      </w:r>
      <w:r w:rsidR="007D07FD">
        <w:rPr>
          <w:rFonts w:cs="Times New Roman"/>
          <w:bCs/>
          <w:szCs w:val="24"/>
          <w:lang w:eastAsia="en-AU"/>
        </w:rPr>
        <w:t xml:space="preserve">domestic </w:t>
      </w:r>
      <w:r>
        <w:rPr>
          <w:rFonts w:cs="Times New Roman"/>
          <w:bCs/>
          <w:szCs w:val="24"/>
          <w:lang w:eastAsia="en-AU"/>
        </w:rPr>
        <w:t>stakeholders, and the international community. See Section 2.2 for more information on communication.</w:t>
      </w:r>
    </w:p>
    <w:p w14:paraId="1913899B" w14:textId="77777777" w:rsidR="001E125D" w:rsidRDefault="00546F70" w:rsidP="00546F70">
      <w:pPr>
        <w:autoSpaceDE w:val="0"/>
        <w:autoSpaceDN w:val="0"/>
        <w:adjustRightInd w:val="0"/>
        <w:spacing w:after="120"/>
        <w:rPr>
          <w:rFonts w:cs="Times New Roman"/>
          <w:bCs/>
          <w:szCs w:val="24"/>
          <w:lang w:eastAsia="en-AU"/>
        </w:rPr>
      </w:pPr>
      <w:r>
        <w:rPr>
          <w:rFonts w:cs="Times New Roman"/>
          <w:bCs/>
          <w:szCs w:val="24"/>
          <w:lang w:eastAsia="en-AU"/>
        </w:rPr>
        <w:t>Opportunities for improvement can come from external sources. T</w:t>
      </w:r>
      <w:r w:rsidRPr="00A9092B">
        <w:rPr>
          <w:rFonts w:cs="Times New Roman"/>
          <w:bCs/>
          <w:szCs w:val="24"/>
          <w:lang w:eastAsia="en-AU"/>
        </w:rPr>
        <w:t>he inspection program</w:t>
      </w:r>
      <w:r>
        <w:rPr>
          <w:rFonts w:cs="Times New Roman"/>
          <w:bCs/>
          <w:szCs w:val="24"/>
          <w:lang w:eastAsia="en-AU"/>
        </w:rPr>
        <w:t xml:space="preserve"> uses </w:t>
      </w:r>
      <w:r w:rsidRPr="00A9092B">
        <w:rPr>
          <w:rFonts w:cs="Times New Roman"/>
          <w:bCs/>
          <w:szCs w:val="24"/>
          <w:lang w:eastAsia="en-AU"/>
        </w:rPr>
        <w:t xml:space="preserve">external experts </w:t>
      </w:r>
      <w:r>
        <w:rPr>
          <w:rFonts w:cs="Times New Roman"/>
          <w:bCs/>
          <w:szCs w:val="24"/>
          <w:lang w:eastAsia="en-AU"/>
        </w:rPr>
        <w:t xml:space="preserve">with </w:t>
      </w:r>
      <w:r w:rsidRPr="00A9092B">
        <w:rPr>
          <w:rFonts w:cs="Times New Roman"/>
          <w:bCs/>
          <w:szCs w:val="24"/>
          <w:lang w:eastAsia="en-AU"/>
        </w:rPr>
        <w:lastRenderedPageBreak/>
        <w:t xml:space="preserve">experience in a particular field and/or regulation of particular sources or facilities. Judicious use of certain expertise promotes efficiency and improves regulatory </w:t>
      </w:r>
      <w:r>
        <w:rPr>
          <w:rFonts w:cs="Times New Roman"/>
          <w:bCs/>
          <w:szCs w:val="24"/>
          <w:lang w:eastAsia="en-AU"/>
        </w:rPr>
        <w:t>outcomes</w:t>
      </w:r>
      <w:r w:rsidRPr="00A9092B">
        <w:rPr>
          <w:rFonts w:cs="Times New Roman"/>
          <w:bCs/>
          <w:szCs w:val="24"/>
          <w:lang w:eastAsia="en-AU"/>
        </w:rPr>
        <w:t xml:space="preserve">. The use of external experts provides a valuable source of independent advice in specialised areas </w:t>
      </w:r>
      <w:r>
        <w:rPr>
          <w:rFonts w:cs="Times New Roman"/>
          <w:bCs/>
          <w:szCs w:val="24"/>
          <w:lang w:eastAsia="en-AU"/>
        </w:rPr>
        <w:t xml:space="preserve">and </w:t>
      </w:r>
      <w:r w:rsidRPr="00A9092B">
        <w:rPr>
          <w:rFonts w:cs="Times New Roman"/>
          <w:bCs/>
          <w:szCs w:val="24"/>
          <w:lang w:eastAsia="en-AU"/>
        </w:rPr>
        <w:t xml:space="preserve">can actively contribute to improvements in the regulatory framework. </w:t>
      </w:r>
    </w:p>
    <w:p w14:paraId="1D3946DB" w14:textId="06C241D7" w:rsidR="00546F70" w:rsidRPr="00A9092B" w:rsidRDefault="00546F70" w:rsidP="00546F70">
      <w:pPr>
        <w:autoSpaceDE w:val="0"/>
        <w:autoSpaceDN w:val="0"/>
        <w:adjustRightInd w:val="0"/>
        <w:spacing w:after="120"/>
        <w:rPr>
          <w:rFonts w:cs="Times New Roman"/>
          <w:bCs/>
          <w:szCs w:val="24"/>
          <w:lang w:eastAsia="en-AU"/>
        </w:rPr>
      </w:pPr>
      <w:r w:rsidRPr="00A9092B">
        <w:rPr>
          <w:rFonts w:cs="Times New Roman"/>
          <w:bCs/>
          <w:szCs w:val="24"/>
          <w:lang w:eastAsia="en-AU"/>
        </w:rPr>
        <w:t xml:space="preserve">In addition, </w:t>
      </w:r>
      <w:r w:rsidR="001E125D">
        <w:rPr>
          <w:rFonts w:cs="Times New Roman"/>
          <w:bCs/>
          <w:szCs w:val="24"/>
          <w:lang w:eastAsia="en-AU"/>
        </w:rPr>
        <w:t>ARPANSA can</w:t>
      </w:r>
      <w:r w:rsidR="00900FEE">
        <w:rPr>
          <w:rFonts w:cs="Times New Roman"/>
          <w:bCs/>
          <w:szCs w:val="24"/>
          <w:lang w:eastAsia="en-AU"/>
        </w:rPr>
        <w:t>,</w:t>
      </w:r>
      <w:r w:rsidR="001E125D">
        <w:rPr>
          <w:rFonts w:cs="Times New Roman"/>
          <w:bCs/>
          <w:szCs w:val="24"/>
          <w:lang w:eastAsia="en-AU"/>
        </w:rPr>
        <w:t xml:space="preserve"> for specialised inspections and for other regulatory activities</w:t>
      </w:r>
      <w:r w:rsidR="00900FEE">
        <w:rPr>
          <w:rFonts w:cs="Times New Roman"/>
          <w:bCs/>
          <w:szCs w:val="24"/>
          <w:lang w:eastAsia="en-AU"/>
        </w:rPr>
        <w:t>,</w:t>
      </w:r>
      <w:r w:rsidR="001E125D">
        <w:rPr>
          <w:rFonts w:cs="Times New Roman"/>
          <w:bCs/>
          <w:szCs w:val="24"/>
          <w:lang w:eastAsia="en-AU"/>
        </w:rPr>
        <w:t xml:space="preserve"> make use of in-house expertise</w:t>
      </w:r>
      <w:r w:rsidR="00900FEE">
        <w:rPr>
          <w:rFonts w:cs="Times New Roman"/>
          <w:bCs/>
          <w:szCs w:val="24"/>
          <w:lang w:eastAsia="en-AU"/>
        </w:rPr>
        <w:t>,</w:t>
      </w:r>
      <w:r w:rsidR="001E125D">
        <w:rPr>
          <w:rFonts w:cs="Times New Roman"/>
          <w:bCs/>
          <w:szCs w:val="24"/>
          <w:lang w:eastAsia="en-AU"/>
        </w:rPr>
        <w:t xml:space="preserve"> </w:t>
      </w:r>
      <w:r w:rsidR="00151B13">
        <w:rPr>
          <w:rFonts w:cs="Times New Roman"/>
          <w:bCs/>
          <w:szCs w:val="24"/>
          <w:lang w:eastAsia="en-AU"/>
        </w:rPr>
        <w:t>outside of RSB</w:t>
      </w:r>
      <w:r w:rsidR="001E125D">
        <w:rPr>
          <w:rFonts w:cs="Times New Roman"/>
          <w:bCs/>
          <w:szCs w:val="24"/>
          <w:lang w:eastAsia="en-AU"/>
        </w:rPr>
        <w:t xml:space="preserve">. This is consistent with the </w:t>
      </w:r>
      <w:r w:rsidR="007A67F0">
        <w:rPr>
          <w:rFonts w:cs="Times New Roman"/>
          <w:bCs/>
          <w:szCs w:val="24"/>
          <w:lang w:eastAsia="en-AU"/>
        </w:rPr>
        <w:t xml:space="preserve">draft </w:t>
      </w:r>
      <w:r w:rsidR="001E125D" w:rsidRPr="00D75769">
        <w:rPr>
          <w:rFonts w:cs="Times New Roman"/>
          <w:bCs/>
          <w:i/>
          <w:szCs w:val="24"/>
          <w:lang w:eastAsia="en-AU"/>
        </w:rPr>
        <w:t>Policy for ARPANSA’</w:t>
      </w:r>
      <w:r w:rsidR="00151B13" w:rsidRPr="00151B13">
        <w:rPr>
          <w:rFonts w:cs="Times New Roman"/>
          <w:bCs/>
          <w:i/>
          <w:szCs w:val="24"/>
          <w:lang w:eastAsia="en-AU"/>
        </w:rPr>
        <w:t>s Regulatory A</w:t>
      </w:r>
      <w:r w:rsidR="001E125D" w:rsidRPr="00D75769">
        <w:rPr>
          <w:rFonts w:cs="Times New Roman"/>
          <w:bCs/>
          <w:i/>
          <w:szCs w:val="24"/>
          <w:lang w:eastAsia="en-AU"/>
        </w:rPr>
        <w:t>ctivities</w:t>
      </w:r>
      <w:r w:rsidR="007A67F0">
        <w:rPr>
          <w:rFonts w:cs="Times New Roman"/>
          <w:bCs/>
          <w:i/>
          <w:szCs w:val="24"/>
          <w:lang w:eastAsia="en-AU"/>
        </w:rPr>
        <w:t xml:space="preserve"> </w:t>
      </w:r>
      <w:r w:rsidR="007A67F0" w:rsidRPr="007A67F0">
        <w:rPr>
          <w:rFonts w:cs="Times New Roman"/>
          <w:bCs/>
          <w:szCs w:val="24"/>
          <w:lang w:eastAsia="en-AU"/>
        </w:rPr>
        <w:t>that was expected to be finalised in the next quarter</w:t>
      </w:r>
      <w:r w:rsidR="001E125D" w:rsidRPr="007A67F0">
        <w:rPr>
          <w:rFonts w:cs="Times New Roman"/>
          <w:bCs/>
          <w:szCs w:val="24"/>
          <w:lang w:eastAsia="en-AU"/>
        </w:rPr>
        <w:t xml:space="preserve">. </w:t>
      </w:r>
      <w:r w:rsidR="00742498" w:rsidRPr="007A67F0">
        <w:rPr>
          <w:rFonts w:cs="Times New Roman"/>
          <w:bCs/>
          <w:szCs w:val="24"/>
          <w:lang w:eastAsia="en-AU"/>
        </w:rPr>
        <w:t>Special</w:t>
      </w:r>
      <w:r w:rsidR="00742498">
        <w:rPr>
          <w:rFonts w:cs="Times New Roman"/>
          <w:bCs/>
          <w:szCs w:val="24"/>
          <w:lang w:eastAsia="en-AU"/>
        </w:rPr>
        <w:t xml:space="preserve"> care needs to be taken to avoid perceived or real conflicts of interest and to manage such issues appropriately, in accordance with the aforementioned policy. T</w:t>
      </w:r>
      <w:r w:rsidRPr="00A9092B">
        <w:rPr>
          <w:rFonts w:cs="Times New Roman"/>
          <w:bCs/>
          <w:szCs w:val="24"/>
          <w:lang w:eastAsia="en-AU"/>
        </w:rPr>
        <w:t xml:space="preserve">he use of personnel </w:t>
      </w:r>
      <w:r w:rsidR="00742498" w:rsidRPr="00A9092B">
        <w:rPr>
          <w:rFonts w:cs="Times New Roman"/>
          <w:bCs/>
          <w:szCs w:val="24"/>
          <w:lang w:eastAsia="en-AU"/>
        </w:rPr>
        <w:t xml:space="preserve">external </w:t>
      </w:r>
      <w:r w:rsidR="00742498">
        <w:rPr>
          <w:rFonts w:cs="Times New Roman"/>
          <w:bCs/>
          <w:szCs w:val="24"/>
          <w:lang w:eastAsia="en-AU"/>
        </w:rPr>
        <w:t xml:space="preserve">to ARPANSA </w:t>
      </w:r>
      <w:r>
        <w:rPr>
          <w:rFonts w:cs="Times New Roman"/>
          <w:bCs/>
          <w:szCs w:val="24"/>
          <w:lang w:eastAsia="en-AU"/>
        </w:rPr>
        <w:t xml:space="preserve">for inspection of sources and facilities held by </w:t>
      </w:r>
      <w:r w:rsidRPr="00A9092B">
        <w:rPr>
          <w:rFonts w:cs="Times New Roman"/>
          <w:bCs/>
          <w:szCs w:val="24"/>
          <w:lang w:eastAsia="en-AU"/>
        </w:rPr>
        <w:t>ARPANSA</w:t>
      </w:r>
      <w:r>
        <w:rPr>
          <w:rFonts w:cs="Times New Roman"/>
          <w:bCs/>
          <w:szCs w:val="24"/>
          <w:lang w:eastAsia="en-AU"/>
        </w:rPr>
        <w:t>’s</w:t>
      </w:r>
      <w:r w:rsidRPr="00A9092B">
        <w:rPr>
          <w:rFonts w:cs="Times New Roman"/>
          <w:bCs/>
          <w:szCs w:val="24"/>
          <w:lang w:eastAsia="en-AU"/>
        </w:rPr>
        <w:t xml:space="preserve"> </w:t>
      </w:r>
      <w:r w:rsidR="00742498">
        <w:rPr>
          <w:rFonts w:cs="Times New Roman"/>
          <w:bCs/>
          <w:szCs w:val="24"/>
          <w:lang w:eastAsia="en-AU"/>
        </w:rPr>
        <w:t>Radiation Health and Medical Radiation B</w:t>
      </w:r>
      <w:r w:rsidRPr="00A9092B">
        <w:rPr>
          <w:rFonts w:cs="Times New Roman"/>
          <w:bCs/>
          <w:szCs w:val="24"/>
          <w:lang w:eastAsia="en-AU"/>
        </w:rPr>
        <w:t xml:space="preserve">ranches </w:t>
      </w:r>
      <w:r>
        <w:rPr>
          <w:rFonts w:cs="Times New Roman"/>
          <w:bCs/>
          <w:szCs w:val="24"/>
          <w:lang w:eastAsia="en-AU"/>
        </w:rPr>
        <w:t xml:space="preserve">is a means to maintain impartiality and avoid </w:t>
      </w:r>
      <w:r w:rsidRPr="00A9092B">
        <w:rPr>
          <w:rFonts w:cs="Times New Roman"/>
          <w:bCs/>
          <w:szCs w:val="24"/>
          <w:lang w:eastAsia="en-AU"/>
        </w:rPr>
        <w:t>conflict</w:t>
      </w:r>
      <w:r>
        <w:rPr>
          <w:rFonts w:cs="Times New Roman"/>
          <w:bCs/>
          <w:szCs w:val="24"/>
          <w:lang w:eastAsia="en-AU"/>
        </w:rPr>
        <w:t xml:space="preserve">s </w:t>
      </w:r>
      <w:r w:rsidRPr="00A9092B">
        <w:rPr>
          <w:rFonts w:cs="Times New Roman"/>
          <w:bCs/>
          <w:szCs w:val="24"/>
          <w:lang w:eastAsia="en-AU"/>
        </w:rPr>
        <w:t>of</w:t>
      </w:r>
      <w:r>
        <w:rPr>
          <w:rFonts w:cs="Times New Roman"/>
          <w:bCs/>
          <w:szCs w:val="24"/>
          <w:lang w:eastAsia="en-AU"/>
        </w:rPr>
        <w:t xml:space="preserve"> </w:t>
      </w:r>
      <w:r w:rsidRPr="00A9092B">
        <w:rPr>
          <w:rFonts w:cs="Times New Roman"/>
          <w:bCs/>
          <w:szCs w:val="24"/>
          <w:lang w:eastAsia="en-AU"/>
        </w:rPr>
        <w:t>interest.</w:t>
      </w:r>
    </w:p>
    <w:p w14:paraId="396008C4" w14:textId="77777777" w:rsidR="00546F70" w:rsidRPr="00A9092B" w:rsidRDefault="00546F70" w:rsidP="00546F70">
      <w:pPr>
        <w:autoSpaceDE w:val="0"/>
        <w:autoSpaceDN w:val="0"/>
        <w:adjustRightInd w:val="0"/>
        <w:spacing w:after="120"/>
        <w:rPr>
          <w:rFonts w:cs="Times New Roman"/>
          <w:bCs/>
          <w:szCs w:val="24"/>
          <w:lang w:eastAsia="en-AU"/>
        </w:rPr>
      </w:pPr>
      <w:r>
        <w:rPr>
          <w:rFonts w:cs="Times New Roman"/>
          <w:bCs/>
          <w:szCs w:val="24"/>
          <w:lang w:eastAsia="en-AU"/>
        </w:rPr>
        <w:lastRenderedPageBreak/>
        <w:t xml:space="preserve">Members of the Nuclear Safety Committee (NSC) have diverse regulatory experience in high reliability industries, such as aviation, and advise the CEO on such matters. </w:t>
      </w:r>
      <w:r w:rsidRPr="00A9092B">
        <w:rPr>
          <w:rFonts w:cs="Times New Roman"/>
          <w:bCs/>
          <w:szCs w:val="24"/>
          <w:lang w:eastAsia="en-AU"/>
        </w:rPr>
        <w:t xml:space="preserve">The </w:t>
      </w:r>
      <w:r>
        <w:rPr>
          <w:rFonts w:cs="Times New Roman"/>
          <w:bCs/>
          <w:szCs w:val="24"/>
          <w:lang w:eastAsia="en-AU"/>
        </w:rPr>
        <w:t xml:space="preserve">NSC </w:t>
      </w:r>
      <w:r w:rsidRPr="00A9092B">
        <w:rPr>
          <w:rFonts w:cs="Times New Roman"/>
          <w:bCs/>
          <w:szCs w:val="24"/>
          <w:lang w:eastAsia="en-AU"/>
        </w:rPr>
        <w:t xml:space="preserve">contributes to </w:t>
      </w:r>
      <w:r>
        <w:rPr>
          <w:rFonts w:cs="Times New Roman"/>
          <w:bCs/>
          <w:szCs w:val="24"/>
          <w:lang w:eastAsia="en-AU"/>
        </w:rPr>
        <w:t xml:space="preserve">the development of </w:t>
      </w:r>
      <w:r w:rsidRPr="00A9092B">
        <w:rPr>
          <w:rFonts w:cs="Times New Roman"/>
          <w:bCs/>
          <w:szCs w:val="24"/>
          <w:lang w:eastAsia="en-AU"/>
        </w:rPr>
        <w:t>regulatory document</w:t>
      </w:r>
      <w:r>
        <w:rPr>
          <w:rFonts w:cs="Times New Roman"/>
          <w:bCs/>
          <w:szCs w:val="24"/>
          <w:lang w:eastAsia="en-AU"/>
        </w:rPr>
        <w:t>s</w:t>
      </w:r>
      <w:r w:rsidRPr="00A9092B">
        <w:rPr>
          <w:rFonts w:cs="Times New Roman"/>
          <w:bCs/>
          <w:szCs w:val="24"/>
          <w:lang w:eastAsia="en-AU"/>
        </w:rPr>
        <w:t xml:space="preserve"> such as </w:t>
      </w:r>
      <w:r>
        <w:rPr>
          <w:rFonts w:cs="Times New Roman"/>
          <w:bCs/>
          <w:szCs w:val="24"/>
          <w:lang w:eastAsia="en-AU"/>
        </w:rPr>
        <w:t>c</w:t>
      </w:r>
      <w:r w:rsidRPr="00A9092B">
        <w:rPr>
          <w:rFonts w:cs="Times New Roman"/>
          <w:bCs/>
          <w:szCs w:val="24"/>
          <w:lang w:eastAsia="en-AU"/>
        </w:rPr>
        <w:t>odes</w:t>
      </w:r>
      <w:r>
        <w:rPr>
          <w:rFonts w:cs="Times New Roman"/>
          <w:bCs/>
          <w:szCs w:val="24"/>
          <w:lang w:eastAsia="en-AU"/>
        </w:rPr>
        <w:t>, s</w:t>
      </w:r>
      <w:r w:rsidRPr="00A9092B">
        <w:rPr>
          <w:rFonts w:cs="Times New Roman"/>
          <w:bCs/>
          <w:szCs w:val="24"/>
          <w:lang w:eastAsia="en-AU"/>
        </w:rPr>
        <w:t>tandards</w:t>
      </w:r>
      <w:r>
        <w:rPr>
          <w:rFonts w:cs="Times New Roman"/>
          <w:bCs/>
          <w:szCs w:val="24"/>
          <w:lang w:eastAsia="en-AU"/>
        </w:rPr>
        <w:t>, guides and operating procedures</w:t>
      </w:r>
      <w:r w:rsidRPr="00A9092B">
        <w:rPr>
          <w:rFonts w:cs="Times New Roman"/>
          <w:bCs/>
          <w:szCs w:val="24"/>
          <w:lang w:eastAsia="en-AU"/>
        </w:rPr>
        <w:t xml:space="preserve">. </w:t>
      </w:r>
    </w:p>
    <w:p w14:paraId="343D0C70" w14:textId="0D67FE35" w:rsidR="00546F70" w:rsidRDefault="00546F70" w:rsidP="00546F70">
      <w:pPr>
        <w:autoSpaceDE w:val="0"/>
        <w:autoSpaceDN w:val="0"/>
        <w:adjustRightInd w:val="0"/>
        <w:spacing w:after="120"/>
        <w:rPr>
          <w:rFonts w:cs="Times New Roman"/>
          <w:bCs/>
          <w:szCs w:val="24"/>
          <w:lang w:eastAsia="en-AU"/>
        </w:rPr>
      </w:pPr>
      <w:r>
        <w:rPr>
          <w:rFonts w:cs="Times New Roman"/>
          <w:bCs/>
          <w:szCs w:val="24"/>
          <w:lang w:eastAsia="en-AU"/>
        </w:rPr>
        <w:t>ARPANSA</w:t>
      </w:r>
      <w:r w:rsidRPr="00A9092B">
        <w:rPr>
          <w:rFonts w:cs="Times New Roman"/>
          <w:bCs/>
          <w:szCs w:val="24"/>
          <w:lang w:eastAsia="en-AU"/>
        </w:rPr>
        <w:t xml:space="preserve"> is active in international standards development</w:t>
      </w:r>
      <w:r w:rsidR="00151B13">
        <w:rPr>
          <w:rFonts w:cs="Times New Roman"/>
          <w:bCs/>
          <w:szCs w:val="24"/>
          <w:lang w:eastAsia="en-AU"/>
        </w:rPr>
        <w:t xml:space="preserve"> and risk assessments</w:t>
      </w:r>
      <w:r w:rsidRPr="00A9092B">
        <w:rPr>
          <w:rFonts w:cs="Times New Roman"/>
          <w:bCs/>
          <w:szCs w:val="24"/>
          <w:lang w:eastAsia="en-AU"/>
        </w:rPr>
        <w:t xml:space="preserve"> through</w:t>
      </w:r>
      <w:r w:rsidR="00151B13">
        <w:rPr>
          <w:rFonts w:cs="Times New Roman"/>
          <w:bCs/>
          <w:szCs w:val="24"/>
          <w:lang w:eastAsia="en-AU"/>
        </w:rPr>
        <w:t xml:space="preserve">, </w:t>
      </w:r>
      <w:r w:rsidR="00151B13" w:rsidRPr="00D75769">
        <w:rPr>
          <w:rFonts w:cs="Times New Roman"/>
          <w:bCs/>
          <w:i/>
          <w:szCs w:val="24"/>
          <w:lang w:eastAsia="en-AU"/>
        </w:rPr>
        <w:t>inter alia</w:t>
      </w:r>
      <w:r w:rsidR="00151B13">
        <w:rPr>
          <w:rFonts w:cs="Times New Roman"/>
          <w:bCs/>
          <w:szCs w:val="24"/>
          <w:lang w:eastAsia="en-AU"/>
        </w:rPr>
        <w:t>,</w:t>
      </w:r>
      <w:r w:rsidRPr="00A9092B">
        <w:rPr>
          <w:rFonts w:cs="Times New Roman"/>
          <w:bCs/>
          <w:szCs w:val="24"/>
          <w:lang w:eastAsia="en-AU"/>
        </w:rPr>
        <w:t xml:space="preserve"> the IAEA</w:t>
      </w:r>
      <w:r w:rsidR="007D07FD">
        <w:rPr>
          <w:rFonts w:cs="Times New Roman"/>
          <w:bCs/>
          <w:szCs w:val="24"/>
          <w:lang w:eastAsia="en-AU"/>
        </w:rPr>
        <w:t xml:space="preserve"> </w:t>
      </w:r>
      <w:r w:rsidR="00151B13">
        <w:rPr>
          <w:rFonts w:cs="Times New Roman"/>
          <w:bCs/>
          <w:szCs w:val="24"/>
          <w:lang w:eastAsia="en-AU"/>
        </w:rPr>
        <w:t>and the International Commissions on Radiological Protection (ICRP) and Non-Ionizing Radiation Protection (ICNIRP)</w:t>
      </w:r>
      <w:r w:rsidR="00AD428C">
        <w:rPr>
          <w:rFonts w:cs="Times New Roman"/>
          <w:bCs/>
          <w:szCs w:val="24"/>
          <w:lang w:eastAsia="en-AU"/>
        </w:rPr>
        <w:t xml:space="preserve">. ARPANSA </w:t>
      </w:r>
      <w:r w:rsidR="007D07FD">
        <w:rPr>
          <w:rFonts w:cs="Times New Roman"/>
          <w:bCs/>
          <w:szCs w:val="24"/>
          <w:lang w:eastAsia="en-AU"/>
        </w:rPr>
        <w:t>strives to ensure that international standards fully meet Australian safety and security interests</w:t>
      </w:r>
      <w:r w:rsidR="00151B13">
        <w:rPr>
          <w:rFonts w:cs="Times New Roman"/>
          <w:bCs/>
          <w:szCs w:val="24"/>
          <w:lang w:eastAsia="en-AU"/>
        </w:rPr>
        <w:t xml:space="preserve"> and that risk assessments are relevant in the Australian context</w:t>
      </w:r>
      <w:r>
        <w:rPr>
          <w:rFonts w:cs="Times New Roman"/>
          <w:bCs/>
          <w:szCs w:val="24"/>
          <w:lang w:eastAsia="en-AU"/>
        </w:rPr>
        <w:t xml:space="preserve">. </w:t>
      </w:r>
      <w:r w:rsidRPr="00A9092B">
        <w:rPr>
          <w:rFonts w:cs="Times New Roman"/>
          <w:bCs/>
          <w:szCs w:val="24"/>
          <w:lang w:eastAsia="en-AU"/>
        </w:rPr>
        <w:t xml:space="preserve">This is part of ARPANSA’s </w:t>
      </w:r>
      <w:r>
        <w:rPr>
          <w:rFonts w:cs="Times New Roman"/>
          <w:bCs/>
          <w:szCs w:val="24"/>
          <w:lang w:eastAsia="en-AU"/>
        </w:rPr>
        <w:t>work to promote the use</w:t>
      </w:r>
      <w:r w:rsidRPr="00A9092B">
        <w:rPr>
          <w:rFonts w:cs="Times New Roman"/>
          <w:bCs/>
          <w:szCs w:val="24"/>
          <w:lang w:eastAsia="en-AU"/>
        </w:rPr>
        <w:t xml:space="preserve"> </w:t>
      </w:r>
      <w:r>
        <w:rPr>
          <w:rFonts w:cs="Times New Roman"/>
          <w:bCs/>
          <w:szCs w:val="24"/>
          <w:lang w:eastAsia="en-AU"/>
        </w:rPr>
        <w:t xml:space="preserve">of </w:t>
      </w:r>
      <w:r w:rsidRPr="00A9092B">
        <w:rPr>
          <w:rFonts w:cs="Times New Roman"/>
          <w:bCs/>
          <w:szCs w:val="24"/>
          <w:lang w:eastAsia="en-AU"/>
        </w:rPr>
        <w:t>international standards</w:t>
      </w:r>
      <w:r>
        <w:rPr>
          <w:rFonts w:cs="Times New Roman"/>
          <w:bCs/>
          <w:szCs w:val="24"/>
          <w:lang w:eastAsia="en-AU"/>
        </w:rPr>
        <w:t xml:space="preserve"> </w:t>
      </w:r>
      <w:r w:rsidR="00151B13">
        <w:rPr>
          <w:rFonts w:cs="Times New Roman"/>
          <w:bCs/>
          <w:szCs w:val="24"/>
          <w:lang w:eastAsia="en-AU"/>
        </w:rPr>
        <w:t xml:space="preserve">and risk assessments </w:t>
      </w:r>
      <w:r>
        <w:rPr>
          <w:rFonts w:cs="Times New Roman"/>
          <w:bCs/>
          <w:szCs w:val="24"/>
          <w:lang w:eastAsia="en-AU"/>
        </w:rPr>
        <w:t>where possible</w:t>
      </w:r>
      <w:r w:rsidR="00AD428C">
        <w:rPr>
          <w:rFonts w:cs="Times New Roman"/>
          <w:bCs/>
          <w:szCs w:val="24"/>
          <w:lang w:eastAsia="en-AU"/>
        </w:rPr>
        <w:t xml:space="preserve"> and appropriate</w:t>
      </w:r>
      <w:r>
        <w:rPr>
          <w:rFonts w:cs="Times New Roman"/>
          <w:bCs/>
          <w:szCs w:val="24"/>
          <w:lang w:eastAsia="en-AU"/>
        </w:rPr>
        <w:t xml:space="preserve">, </w:t>
      </w:r>
      <w:r w:rsidRPr="00A9092B">
        <w:rPr>
          <w:rFonts w:cs="Times New Roman"/>
          <w:bCs/>
          <w:szCs w:val="24"/>
          <w:lang w:eastAsia="en-AU"/>
        </w:rPr>
        <w:t xml:space="preserve">rather than </w:t>
      </w:r>
      <w:r>
        <w:rPr>
          <w:rFonts w:cs="Times New Roman"/>
          <w:bCs/>
          <w:szCs w:val="24"/>
          <w:lang w:eastAsia="en-AU"/>
        </w:rPr>
        <w:t>developing local documents</w:t>
      </w:r>
      <w:r w:rsidR="00946F7C">
        <w:rPr>
          <w:rFonts w:cs="Times New Roman"/>
          <w:bCs/>
          <w:szCs w:val="24"/>
          <w:lang w:eastAsia="en-AU"/>
        </w:rPr>
        <w:t>. International fora are an important source of new ideas and initiatives in regulatory policy and practices</w:t>
      </w:r>
      <w:r>
        <w:rPr>
          <w:rFonts w:cs="Times New Roman"/>
          <w:bCs/>
          <w:szCs w:val="24"/>
          <w:lang w:eastAsia="en-AU"/>
        </w:rPr>
        <w:t>.</w:t>
      </w:r>
    </w:p>
    <w:p w14:paraId="2512F83C" w14:textId="77777777" w:rsidR="00546F70" w:rsidRPr="00A9092B" w:rsidRDefault="00546F70" w:rsidP="00546F70">
      <w:pPr>
        <w:pStyle w:val="Heading3"/>
        <w:keepLines w:val="0"/>
        <w:spacing w:before="120" w:after="120" w:line="240" w:lineRule="auto"/>
        <w:jc w:val="both"/>
        <w:rPr>
          <w:lang w:eastAsia="en-AU"/>
        </w:rPr>
      </w:pPr>
      <w:bookmarkStart w:id="50" w:name="_Toc470173172"/>
      <w:r w:rsidRPr="00A9092B">
        <w:rPr>
          <w:lang w:eastAsia="en-AU"/>
        </w:rPr>
        <w:lastRenderedPageBreak/>
        <w:t>Approved evidence metrics for KPI 6</w:t>
      </w:r>
      <w:bookmarkEnd w:id="50"/>
    </w:p>
    <w:tbl>
      <w:tblPr>
        <w:tblStyle w:val="TableGrid"/>
        <w:tblW w:w="9747" w:type="dxa"/>
        <w:tblLook w:val="04A0" w:firstRow="1" w:lastRow="0" w:firstColumn="1" w:lastColumn="0" w:noHBand="0" w:noVBand="1"/>
        <w:tblDescription w:val="Chapter 2.6.2 table contains a list of evidence metrics against Key Performance Indicator (KPI) 6.  This table contains 3 heading columns 1. Indicators, 2. Evidence and 3. Comment. "/>
      </w:tblPr>
      <w:tblGrid>
        <w:gridCol w:w="3080"/>
        <w:gridCol w:w="3407"/>
        <w:gridCol w:w="3260"/>
      </w:tblGrid>
      <w:tr w:rsidR="00CF6B7C" w:rsidRPr="00CF6B7C" w14:paraId="18D7C0EB" w14:textId="77777777" w:rsidTr="00CF6B7C">
        <w:trPr>
          <w:tblHeader/>
        </w:trPr>
        <w:tc>
          <w:tcPr>
            <w:tcW w:w="3080" w:type="dxa"/>
            <w:shd w:val="clear" w:color="auto" w:fill="4E1A74" w:themeFill="text2"/>
            <w:vAlign w:val="center"/>
          </w:tcPr>
          <w:p w14:paraId="63C9DD94" w14:textId="77777777" w:rsidR="00546F70" w:rsidRPr="00CF6B7C" w:rsidRDefault="00546F70" w:rsidP="00CF6B7C">
            <w:pPr>
              <w:pStyle w:val="Tableheading"/>
              <w:jc w:val="center"/>
              <w:rPr>
                <w:rFonts w:asciiTheme="minorHAnsi" w:hAnsiTheme="minorHAnsi" w:cstheme="minorHAnsi"/>
                <w:color w:val="FFFFFF" w:themeColor="background1"/>
                <w:sz w:val="22"/>
                <w:szCs w:val="22"/>
                <w:lang w:eastAsia="en-AU"/>
              </w:rPr>
            </w:pPr>
            <w:r w:rsidRPr="00CF6B7C">
              <w:rPr>
                <w:rFonts w:asciiTheme="minorHAnsi" w:hAnsiTheme="minorHAnsi" w:cstheme="minorHAnsi"/>
                <w:color w:val="FFFFFF" w:themeColor="background1"/>
                <w:sz w:val="22"/>
                <w:szCs w:val="22"/>
                <w:lang w:eastAsia="en-AU"/>
              </w:rPr>
              <w:t>Indicator</w:t>
            </w:r>
          </w:p>
        </w:tc>
        <w:tc>
          <w:tcPr>
            <w:tcW w:w="3407" w:type="dxa"/>
            <w:shd w:val="clear" w:color="auto" w:fill="4E1A74" w:themeFill="text2"/>
            <w:vAlign w:val="center"/>
          </w:tcPr>
          <w:p w14:paraId="5246510E" w14:textId="77777777" w:rsidR="00546F70" w:rsidRPr="00CF6B7C" w:rsidRDefault="00546F70" w:rsidP="00CF6B7C">
            <w:pPr>
              <w:pStyle w:val="Tableheading"/>
              <w:jc w:val="center"/>
              <w:rPr>
                <w:rFonts w:asciiTheme="minorHAnsi" w:hAnsiTheme="minorHAnsi" w:cstheme="minorHAnsi"/>
                <w:color w:val="FFFFFF" w:themeColor="background1"/>
                <w:sz w:val="22"/>
                <w:szCs w:val="22"/>
                <w:lang w:eastAsia="en-AU"/>
              </w:rPr>
            </w:pPr>
            <w:r w:rsidRPr="00CF6B7C">
              <w:rPr>
                <w:rFonts w:asciiTheme="minorHAnsi" w:hAnsiTheme="minorHAnsi" w:cstheme="minorHAnsi"/>
                <w:color w:val="FFFFFF" w:themeColor="background1"/>
                <w:sz w:val="22"/>
                <w:szCs w:val="22"/>
                <w:lang w:eastAsia="en-AU"/>
              </w:rPr>
              <w:t>Evidence</w:t>
            </w:r>
          </w:p>
        </w:tc>
        <w:tc>
          <w:tcPr>
            <w:tcW w:w="3260" w:type="dxa"/>
            <w:shd w:val="clear" w:color="auto" w:fill="4E1A74" w:themeFill="text2"/>
            <w:vAlign w:val="center"/>
          </w:tcPr>
          <w:p w14:paraId="6EA05B34" w14:textId="77777777" w:rsidR="00546F70" w:rsidRPr="00CF6B7C" w:rsidRDefault="00546F70" w:rsidP="00CF6B7C">
            <w:pPr>
              <w:pStyle w:val="Tableheading"/>
              <w:jc w:val="center"/>
              <w:rPr>
                <w:rFonts w:asciiTheme="minorHAnsi" w:hAnsiTheme="minorHAnsi" w:cstheme="minorHAnsi"/>
                <w:color w:val="FFFFFF" w:themeColor="background1"/>
                <w:sz w:val="22"/>
                <w:szCs w:val="22"/>
                <w:lang w:eastAsia="en-AU"/>
              </w:rPr>
            </w:pPr>
            <w:r w:rsidRPr="00CF6B7C">
              <w:rPr>
                <w:rFonts w:asciiTheme="minorHAnsi" w:hAnsiTheme="minorHAnsi" w:cstheme="minorHAnsi"/>
                <w:color w:val="FFFFFF" w:themeColor="background1"/>
                <w:sz w:val="22"/>
                <w:szCs w:val="22"/>
                <w:lang w:eastAsia="en-AU"/>
              </w:rPr>
              <w:t>Comment</w:t>
            </w:r>
          </w:p>
        </w:tc>
      </w:tr>
      <w:tr w:rsidR="00546F70" w:rsidRPr="00951ED1" w14:paraId="36138407" w14:textId="77777777" w:rsidTr="00546F70">
        <w:trPr>
          <w:trHeight w:val="2623"/>
        </w:trPr>
        <w:tc>
          <w:tcPr>
            <w:tcW w:w="3080" w:type="dxa"/>
          </w:tcPr>
          <w:p w14:paraId="2810C7EC" w14:textId="77777777" w:rsidR="00546F70" w:rsidRPr="00951ED1" w:rsidRDefault="00546F70" w:rsidP="002B22C4">
            <w:pPr>
              <w:pStyle w:val="Tabletext"/>
              <w:jc w:val="left"/>
              <w:rPr>
                <w:lang w:eastAsia="en-AU"/>
              </w:rPr>
            </w:pPr>
            <w:r w:rsidRPr="00951ED1">
              <w:rPr>
                <w:lang w:eastAsia="en-AU"/>
              </w:rPr>
              <w:t xml:space="preserve">PI 6.1 </w:t>
            </w:r>
            <w:r>
              <w:rPr>
                <w:lang w:eastAsia="en-AU"/>
              </w:rPr>
              <w:t>–</w:t>
            </w:r>
            <w:r w:rsidRPr="00951ED1">
              <w:rPr>
                <w:lang w:eastAsia="en-AU"/>
              </w:rPr>
              <w:t xml:space="preserve"> Number of improvements, identified through self-assessment or external reviews, that were implemented (continuous improvement)</w:t>
            </w:r>
            <w:r>
              <w:rPr>
                <w:lang w:eastAsia="en-AU"/>
              </w:rPr>
              <w:t>.</w:t>
            </w:r>
          </w:p>
        </w:tc>
        <w:tc>
          <w:tcPr>
            <w:tcW w:w="3407" w:type="dxa"/>
          </w:tcPr>
          <w:p w14:paraId="49331077" w14:textId="4C19D2D4" w:rsidR="00263E57" w:rsidRDefault="009007A9" w:rsidP="00341BD7">
            <w:pPr>
              <w:pStyle w:val="Tabletext"/>
              <w:jc w:val="left"/>
              <w:rPr>
                <w:lang w:eastAsia="en-AU"/>
              </w:rPr>
            </w:pPr>
            <w:r>
              <w:rPr>
                <w:noProof/>
                <w:lang w:eastAsia="en-AU"/>
              </w:rPr>
              <w:drawing>
                <wp:inline distT="0" distB="0" distL="0" distR="0" wp14:anchorId="6E196EF9" wp14:editId="60C32D42">
                  <wp:extent cx="252000" cy="25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ee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14:paraId="26D26654" w14:textId="6B12BEEA" w:rsidR="00546F70" w:rsidRPr="00951ED1" w:rsidRDefault="00341BD7" w:rsidP="00341BD7">
            <w:pPr>
              <w:pStyle w:val="Tabletext"/>
              <w:jc w:val="left"/>
              <w:rPr>
                <w:lang w:eastAsia="en-AU"/>
              </w:rPr>
            </w:pPr>
            <w:r>
              <w:rPr>
                <w:lang w:eastAsia="en-AU"/>
              </w:rPr>
              <w:t>3</w:t>
            </w:r>
            <w:r w:rsidR="00546F70" w:rsidRPr="00951ED1">
              <w:rPr>
                <w:lang w:eastAsia="en-AU"/>
              </w:rPr>
              <w:t xml:space="preserve"> improvements identified – target (3) </w:t>
            </w:r>
            <w:r>
              <w:rPr>
                <w:lang w:eastAsia="en-AU"/>
              </w:rPr>
              <w:t>met</w:t>
            </w:r>
            <w:r w:rsidR="00546F70" w:rsidRPr="00951ED1">
              <w:rPr>
                <w:lang w:eastAsia="en-AU"/>
              </w:rPr>
              <w:t>.</w:t>
            </w:r>
          </w:p>
        </w:tc>
        <w:tc>
          <w:tcPr>
            <w:tcW w:w="3260" w:type="dxa"/>
          </w:tcPr>
          <w:p w14:paraId="70AC63D4" w14:textId="77777777" w:rsidR="00546F70" w:rsidRDefault="001C7A0D" w:rsidP="002B22C4">
            <w:pPr>
              <w:pStyle w:val="Tabletext"/>
              <w:numPr>
                <w:ilvl w:val="0"/>
                <w:numId w:val="61"/>
              </w:numPr>
              <w:spacing w:before="0" w:after="0"/>
              <w:ind w:left="202" w:hanging="209"/>
              <w:jc w:val="left"/>
              <w:rPr>
                <w:lang w:eastAsia="en-AU"/>
              </w:rPr>
            </w:pPr>
            <w:r>
              <w:rPr>
                <w:lang w:eastAsia="en-AU"/>
              </w:rPr>
              <w:t>I</w:t>
            </w:r>
            <w:r w:rsidR="00546F70" w:rsidRPr="00951ED1">
              <w:rPr>
                <w:lang w:eastAsia="en-AU"/>
              </w:rPr>
              <w:t>nnovation and continuous im</w:t>
            </w:r>
            <w:r w:rsidR="00B17954">
              <w:rPr>
                <w:lang w:eastAsia="en-AU"/>
              </w:rPr>
              <w:t xml:space="preserve">provement are highly valued and </w:t>
            </w:r>
            <w:r w:rsidR="00546F70" w:rsidRPr="00951ED1">
              <w:rPr>
                <w:lang w:eastAsia="en-AU"/>
              </w:rPr>
              <w:t>promoted.</w:t>
            </w:r>
          </w:p>
          <w:p w14:paraId="207EA884" w14:textId="77777777" w:rsidR="00225E42" w:rsidRPr="00951ED1" w:rsidRDefault="00225E42" w:rsidP="002B22C4">
            <w:pPr>
              <w:pStyle w:val="Tabletext"/>
              <w:numPr>
                <w:ilvl w:val="0"/>
                <w:numId w:val="61"/>
              </w:numPr>
              <w:spacing w:before="0" w:after="0"/>
              <w:ind w:left="202" w:hanging="209"/>
              <w:jc w:val="left"/>
              <w:rPr>
                <w:lang w:eastAsia="en-AU"/>
              </w:rPr>
            </w:pPr>
            <w:r>
              <w:rPr>
                <w:lang w:eastAsia="en-AU"/>
              </w:rPr>
              <w:t>A number of improvements that have been developed during the year are due to be implemented in the 2017/18 reporting year.</w:t>
            </w:r>
          </w:p>
        </w:tc>
      </w:tr>
      <w:tr w:rsidR="00546F70" w:rsidRPr="00951ED1" w14:paraId="49EA9874" w14:textId="77777777" w:rsidTr="001D04B0">
        <w:trPr>
          <w:trHeight w:val="2258"/>
        </w:trPr>
        <w:tc>
          <w:tcPr>
            <w:tcW w:w="3080" w:type="dxa"/>
            <w:shd w:val="clear" w:color="auto" w:fill="F1E6FA"/>
          </w:tcPr>
          <w:p w14:paraId="25BCE39A" w14:textId="77777777" w:rsidR="00546F70" w:rsidRPr="00951ED1" w:rsidRDefault="00546F70" w:rsidP="002B22C4">
            <w:pPr>
              <w:pStyle w:val="Tabletext"/>
              <w:jc w:val="left"/>
              <w:rPr>
                <w:lang w:eastAsia="en-AU"/>
              </w:rPr>
            </w:pPr>
            <w:r w:rsidRPr="00951ED1">
              <w:rPr>
                <w:lang w:eastAsia="en-AU"/>
              </w:rPr>
              <w:t xml:space="preserve">PI 6.2 </w:t>
            </w:r>
            <w:r>
              <w:rPr>
                <w:lang w:eastAsia="en-AU"/>
              </w:rPr>
              <w:t>–</w:t>
            </w:r>
            <w:r w:rsidRPr="00951ED1">
              <w:rPr>
                <w:lang w:eastAsia="en-AU"/>
              </w:rPr>
              <w:t xml:space="preserve"> Percentage of facility inspections in which expertise external to RSB was utilised (judicious use of regulatory expertise)</w:t>
            </w:r>
            <w:r>
              <w:rPr>
                <w:lang w:eastAsia="en-AU"/>
              </w:rPr>
              <w:t>.</w:t>
            </w:r>
          </w:p>
        </w:tc>
        <w:tc>
          <w:tcPr>
            <w:tcW w:w="3407" w:type="dxa"/>
            <w:shd w:val="clear" w:color="auto" w:fill="F1E6FA"/>
          </w:tcPr>
          <w:p w14:paraId="6EC0C02B" w14:textId="1A5E3FFA" w:rsidR="00263E57" w:rsidRDefault="004A5DAA" w:rsidP="00341BD7">
            <w:pPr>
              <w:pStyle w:val="Tabletext"/>
              <w:jc w:val="left"/>
              <w:rPr>
                <w:lang w:eastAsia="en-AU"/>
              </w:rPr>
            </w:pPr>
            <w:r>
              <w:rPr>
                <w:noProof/>
                <w:lang w:eastAsia="en-AU"/>
              </w:rPr>
              <w:drawing>
                <wp:inline distT="0" distB="0" distL="0" distR="0" wp14:anchorId="3097969F" wp14:editId="427A29F4">
                  <wp:extent cx="252000" cy="25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mb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p>
          <w:p w14:paraId="5A74435D" w14:textId="47179520" w:rsidR="00546F70" w:rsidRPr="00951ED1" w:rsidRDefault="00341BD7" w:rsidP="00341BD7">
            <w:pPr>
              <w:pStyle w:val="Tabletext"/>
              <w:jc w:val="left"/>
              <w:rPr>
                <w:lang w:eastAsia="en-AU"/>
              </w:rPr>
            </w:pPr>
            <w:r>
              <w:rPr>
                <w:lang w:eastAsia="en-AU"/>
              </w:rPr>
              <w:t>20</w:t>
            </w:r>
            <w:r w:rsidR="00546F70" w:rsidRPr="00951ED1">
              <w:rPr>
                <w:lang w:eastAsia="en-AU"/>
              </w:rPr>
              <w:t>% of facility inspections conducted with external expertise – target (30%) not met.</w:t>
            </w:r>
          </w:p>
        </w:tc>
        <w:tc>
          <w:tcPr>
            <w:tcW w:w="3260" w:type="dxa"/>
            <w:shd w:val="clear" w:color="auto" w:fill="F1E6FA"/>
          </w:tcPr>
          <w:p w14:paraId="39493E5F" w14:textId="77777777" w:rsidR="00546F70" w:rsidRPr="00951ED1" w:rsidRDefault="00546F70" w:rsidP="002B22C4">
            <w:pPr>
              <w:pStyle w:val="Tabletext"/>
              <w:numPr>
                <w:ilvl w:val="0"/>
                <w:numId w:val="61"/>
              </w:numPr>
              <w:spacing w:before="0" w:after="0"/>
              <w:ind w:left="202" w:hanging="141"/>
              <w:jc w:val="left"/>
              <w:rPr>
                <w:lang w:eastAsia="en-AU"/>
              </w:rPr>
            </w:pPr>
            <w:r w:rsidRPr="00951ED1">
              <w:rPr>
                <w:lang w:eastAsia="en-AU"/>
              </w:rPr>
              <w:t>This target was not reached due to lower performance during initial implementation in the first quarter. A renewed focus resulted in the target being exceeded in the next two quarters (33%, 43%) and close in the last quarter (25%).</w:t>
            </w:r>
          </w:p>
        </w:tc>
      </w:tr>
    </w:tbl>
    <w:p w14:paraId="47E78118" w14:textId="77777777" w:rsidR="00546F70" w:rsidRPr="00A9092B" w:rsidRDefault="00546F70" w:rsidP="00546F70">
      <w:pPr>
        <w:pStyle w:val="Heading3"/>
        <w:keepLines w:val="0"/>
        <w:spacing w:before="200" w:after="120" w:line="240" w:lineRule="auto"/>
        <w:jc w:val="both"/>
        <w:rPr>
          <w:lang w:eastAsia="en-AU"/>
        </w:rPr>
      </w:pPr>
      <w:bookmarkStart w:id="51" w:name="_Toc470173173"/>
      <w:r w:rsidRPr="00A9092B">
        <w:rPr>
          <w:lang w:eastAsia="en-AU"/>
        </w:rPr>
        <w:t>Other evidence to indicate compliance with KPI 6</w:t>
      </w:r>
      <w:bookmarkEnd w:id="51"/>
    </w:p>
    <w:p w14:paraId="2FF1F040" w14:textId="7AAD6120" w:rsidR="00E95BE9" w:rsidRDefault="00E95BE9" w:rsidP="00546F70">
      <w:pPr>
        <w:spacing w:after="120"/>
      </w:pPr>
      <w:r>
        <w:t>ARPANSA works with the Department of Health</w:t>
      </w:r>
      <w:r w:rsidR="008B6746">
        <w:t xml:space="preserve"> (DoH)</w:t>
      </w:r>
      <w:r>
        <w:t xml:space="preserve"> on any changes to the ARPANS Act and Regulations that form its regulatory framework. The last amendments to the Act</w:t>
      </w:r>
      <w:r w:rsidR="008B6746">
        <w:t xml:space="preserve">, to improve the clarity of regulatory requirements related </w:t>
      </w:r>
      <w:r w:rsidR="008B6746" w:rsidRPr="000D5BA4">
        <w:t>to</w:t>
      </w:r>
      <w:r w:rsidR="008B6746">
        <w:t xml:space="preserve"> legacy sites and for</w:t>
      </w:r>
      <w:r w:rsidR="008B6746" w:rsidRPr="000D5BA4">
        <w:t xml:space="preserve"> contractors working with Commonwealth</w:t>
      </w:r>
      <w:r w:rsidR="008B6746">
        <w:t xml:space="preserve"> agencies,</w:t>
      </w:r>
      <w:r>
        <w:t xml:space="preserve"> took effect in October 2015. On 1 July 2016, certain changes to the Australian Radiation Protection and Nuclear Safety Regulations 1999 (the Regulations) and Licence </w:t>
      </w:r>
      <w:r>
        <w:lastRenderedPageBreak/>
        <w:t>Charges Regulations took effect.  These included the annual indexation of the fees and charges and consequential amendments flowing from the amendments to the Act.</w:t>
      </w:r>
    </w:p>
    <w:p w14:paraId="17503F3A" w14:textId="7E2A1844" w:rsidR="00546F70" w:rsidRDefault="00546F70" w:rsidP="00546F70">
      <w:pPr>
        <w:spacing w:after="120"/>
      </w:pPr>
      <w:r w:rsidRPr="00A9092B">
        <w:t>ARPANSA</w:t>
      </w:r>
      <w:r>
        <w:t xml:space="preserve"> </w:t>
      </w:r>
      <w:r w:rsidRPr="00A9092B">
        <w:t>participates</w:t>
      </w:r>
      <w:r>
        <w:t>, and is frequently a driver,</w:t>
      </w:r>
      <w:r w:rsidRPr="00A9092B">
        <w:t xml:space="preserve"> in the development </w:t>
      </w:r>
      <w:r>
        <w:t xml:space="preserve">and promotion </w:t>
      </w:r>
      <w:r w:rsidRPr="00A9092B">
        <w:t xml:space="preserve">of </w:t>
      </w:r>
      <w:r>
        <w:t xml:space="preserve">national </w:t>
      </w:r>
      <w:r w:rsidRPr="00A9092B">
        <w:t xml:space="preserve">and international codes and standards </w:t>
      </w:r>
      <w:r>
        <w:t xml:space="preserve">covering radiation protection, nuclear safety and security, transport of radioactive material, and management of radioactive waste. </w:t>
      </w:r>
      <w:r w:rsidR="00D27C4F">
        <w:t>Examples include; a</w:t>
      </w:r>
      <w:r>
        <w:t xml:space="preserve"> new ‘</w:t>
      </w:r>
      <w:r w:rsidRPr="00105186">
        <w:t>Code for Radiation Protection in Planned Exposure Situations</w:t>
      </w:r>
      <w:r w:rsidR="00096C6F">
        <w:t xml:space="preserve"> </w:t>
      </w:r>
      <w:r>
        <w:t>(RPS C-1)’</w:t>
      </w:r>
      <w:r w:rsidR="00096C6F">
        <w:t xml:space="preserve"> </w:t>
      </w:r>
      <w:r w:rsidR="007D07FD">
        <w:t>that</w:t>
      </w:r>
      <w:r w:rsidR="00096C6F">
        <w:t xml:space="preserve"> was published during the year</w:t>
      </w:r>
      <w:r w:rsidR="00D27C4F">
        <w:t xml:space="preserve">; </w:t>
      </w:r>
      <w:r w:rsidR="000C30B8">
        <w:t>the</w:t>
      </w:r>
      <w:r w:rsidR="00D27C4F">
        <w:t xml:space="preserve"> </w:t>
      </w:r>
      <w:r w:rsidR="000C30B8">
        <w:t>R</w:t>
      </w:r>
      <w:r w:rsidR="00D27C4F">
        <w:t xml:space="preserve">egulatory </w:t>
      </w:r>
      <w:r w:rsidR="000C30B8">
        <w:t>G</w:t>
      </w:r>
      <w:r w:rsidR="00D27C4F">
        <w:t xml:space="preserve">uide on </w:t>
      </w:r>
      <w:r w:rsidR="000C30B8">
        <w:t>A</w:t>
      </w:r>
      <w:r w:rsidR="00D27C4F">
        <w:t>pplying for a licence for a radioactive waste storage and disposal facility, and</w:t>
      </w:r>
      <w:r w:rsidR="000C30B8">
        <w:t xml:space="preserve"> the</w:t>
      </w:r>
      <w:r w:rsidR="00D27C4F">
        <w:t xml:space="preserve"> </w:t>
      </w:r>
      <w:r w:rsidR="000C30B8">
        <w:t>I</w:t>
      </w:r>
      <w:r w:rsidR="00D27C4F">
        <w:t xml:space="preserve">nformation for </w:t>
      </w:r>
      <w:r w:rsidR="000C30B8">
        <w:t>S</w:t>
      </w:r>
      <w:r w:rsidR="00D27C4F">
        <w:t xml:space="preserve">takeholders on </w:t>
      </w:r>
      <w:r w:rsidR="000C30B8">
        <w:t>R</w:t>
      </w:r>
      <w:r w:rsidR="00D27C4F">
        <w:t xml:space="preserve">adioactive </w:t>
      </w:r>
      <w:r w:rsidR="000C30B8">
        <w:t>W</w:t>
      </w:r>
      <w:r w:rsidR="00D27C4F">
        <w:t xml:space="preserve">aste </w:t>
      </w:r>
      <w:r w:rsidR="000C30B8">
        <w:t>S</w:t>
      </w:r>
      <w:r w:rsidR="00D27C4F">
        <w:t xml:space="preserve">torage and </w:t>
      </w:r>
      <w:r w:rsidR="000C30B8">
        <w:t>D</w:t>
      </w:r>
      <w:r w:rsidR="00D27C4F">
        <w:t xml:space="preserve">isposal </w:t>
      </w:r>
      <w:r w:rsidR="000C30B8">
        <w:t>F</w:t>
      </w:r>
      <w:r w:rsidR="00D27C4F">
        <w:t>acilities.</w:t>
      </w:r>
    </w:p>
    <w:p w14:paraId="7C964ED0" w14:textId="28955EF0" w:rsidR="00546F70" w:rsidRDefault="00546F70" w:rsidP="00546F70">
      <w:pPr>
        <w:spacing w:after="120"/>
      </w:pPr>
      <w:r>
        <w:t xml:space="preserve">ARPANSA also promotes </w:t>
      </w:r>
      <w:r w:rsidRPr="00A9092B">
        <w:t>national uniformity</w:t>
      </w:r>
      <w:r>
        <w:t xml:space="preserve"> of radiation regulation through the </w:t>
      </w:r>
      <w:r w:rsidRPr="00A9092B">
        <w:t>Radiation Health Committee</w:t>
      </w:r>
      <w:r>
        <w:t>.</w:t>
      </w:r>
    </w:p>
    <w:p w14:paraId="0567EC17" w14:textId="3C2C4E7C" w:rsidR="00AD428C" w:rsidRPr="003D5059" w:rsidRDefault="00AD428C" w:rsidP="00546F70">
      <w:pPr>
        <w:spacing w:after="120"/>
      </w:pPr>
      <w:r>
        <w:t xml:space="preserve">An overarching </w:t>
      </w:r>
      <w:r w:rsidRPr="00D75769">
        <w:rPr>
          <w:i/>
        </w:rPr>
        <w:t>Policy for ARPANSA’s Regulatory Activities</w:t>
      </w:r>
      <w:r>
        <w:t xml:space="preserve"> </w:t>
      </w:r>
      <w:r w:rsidR="007A67F0">
        <w:t>is currently being</w:t>
      </w:r>
      <w:r>
        <w:t xml:space="preserve"> developed and </w:t>
      </w:r>
      <w:r w:rsidR="007A67F0">
        <w:t>will be</w:t>
      </w:r>
      <w:r>
        <w:t xml:space="preserve"> published on ARPANSA’s website. It goes beyond the previously published </w:t>
      </w:r>
      <w:r>
        <w:lastRenderedPageBreak/>
        <w:t>State</w:t>
      </w:r>
      <w:r w:rsidR="00AD14BD">
        <w:t xml:space="preserve">ment of Regulatory </w:t>
      </w:r>
      <w:r w:rsidR="003D5059">
        <w:t>I</w:t>
      </w:r>
      <w:r w:rsidR="00AD14BD">
        <w:t>ntent and has been developed with the IAEA General Safety Requirement</w:t>
      </w:r>
      <w:r w:rsidR="00827857">
        <w:t>s</w:t>
      </w:r>
      <w:r w:rsidR="00AD14BD">
        <w:t xml:space="preserve"> Part 1 (GSR Part 1, Revision 1); </w:t>
      </w:r>
      <w:r w:rsidR="00AD14BD" w:rsidRPr="00D75769">
        <w:rPr>
          <w:i/>
        </w:rPr>
        <w:t>Governmental, Legal and Regulatory Framework for Safety</w:t>
      </w:r>
      <w:r w:rsidR="003D5059">
        <w:t xml:space="preserve"> in mind. </w:t>
      </w:r>
      <w:r w:rsidR="00827857">
        <w:t xml:space="preserve">The Policy is intended to enhance the basis for </w:t>
      </w:r>
      <w:r w:rsidR="00D04C80">
        <w:t xml:space="preserve">and delivery of </w:t>
      </w:r>
      <w:r w:rsidR="00827857">
        <w:t xml:space="preserve">ARPANSA’s regulatory activities </w:t>
      </w:r>
      <w:r w:rsidR="00D04C80">
        <w:t>by</w:t>
      </w:r>
      <w:r w:rsidR="00827857">
        <w:t xml:space="preserve"> more effectively utilis</w:t>
      </w:r>
      <w:r w:rsidR="00D04C80">
        <w:t>ing</w:t>
      </w:r>
      <w:r w:rsidR="00827857">
        <w:t xml:space="preserve"> the competence across all ARPANSA’s branches and offices, without jeopardising the rigour and integrity of ARPANSA’s regulatory work delegated to the RSB. </w:t>
      </w:r>
    </w:p>
    <w:p w14:paraId="2D5A6AFD" w14:textId="77777777" w:rsidR="00546F70" w:rsidRPr="00A9092B" w:rsidRDefault="00546F70" w:rsidP="00546F70">
      <w:pPr>
        <w:pStyle w:val="Heading3"/>
        <w:keepLines w:val="0"/>
        <w:spacing w:before="120" w:after="120" w:line="240" w:lineRule="auto"/>
        <w:jc w:val="both"/>
        <w:rPr>
          <w:lang w:eastAsia="en-AU"/>
        </w:rPr>
      </w:pPr>
      <w:bookmarkStart w:id="52" w:name="_Toc470173174"/>
      <w:r w:rsidRPr="00A9092B">
        <w:rPr>
          <w:lang w:eastAsia="en-AU"/>
        </w:rPr>
        <w:t>Analysis of evidence presented</w:t>
      </w:r>
      <w:bookmarkEnd w:id="52"/>
    </w:p>
    <w:p w14:paraId="00C73545" w14:textId="5AB43FC5" w:rsidR="00057A1A" w:rsidRDefault="00546F70" w:rsidP="00546F70">
      <w:pPr>
        <w:spacing w:after="120"/>
        <w:rPr>
          <w:szCs w:val="24"/>
          <w:lang w:eastAsia="en-AU"/>
        </w:rPr>
      </w:pPr>
      <w:r w:rsidRPr="00A9092B">
        <w:rPr>
          <w:b/>
          <w:szCs w:val="24"/>
          <w:lang w:eastAsia="en-AU"/>
        </w:rPr>
        <w:t>PI 6.1</w:t>
      </w:r>
      <w:r w:rsidRPr="00A9092B">
        <w:rPr>
          <w:szCs w:val="24"/>
          <w:lang w:eastAsia="en-AU"/>
        </w:rPr>
        <w:t xml:space="preserve"> </w:t>
      </w:r>
      <w:r>
        <w:rPr>
          <w:szCs w:val="24"/>
          <w:lang w:eastAsia="en-AU"/>
        </w:rPr>
        <w:t xml:space="preserve">represents the number of improvements formally identified and implemented. </w:t>
      </w:r>
      <w:r w:rsidR="00057A1A">
        <w:rPr>
          <w:szCs w:val="24"/>
          <w:lang w:eastAsia="en-AU"/>
        </w:rPr>
        <w:t xml:space="preserve">Improvements included improved communication practices both internal and external </w:t>
      </w:r>
      <w:r w:rsidR="006066F2">
        <w:rPr>
          <w:szCs w:val="24"/>
          <w:lang w:eastAsia="en-AU"/>
        </w:rPr>
        <w:t>that</w:t>
      </w:r>
      <w:r w:rsidR="00057A1A">
        <w:rPr>
          <w:szCs w:val="24"/>
          <w:lang w:eastAsia="en-AU"/>
        </w:rPr>
        <w:t xml:space="preserve"> have been discussed throughout this report. Licence holder feedback mechanisms have also been enhanced both through the inspection survey and </w:t>
      </w:r>
      <w:r w:rsidR="001E7CA3">
        <w:rPr>
          <w:szCs w:val="24"/>
          <w:lang w:eastAsia="en-AU"/>
        </w:rPr>
        <w:t xml:space="preserve">from </w:t>
      </w:r>
      <w:r w:rsidR="00F33F15">
        <w:rPr>
          <w:szCs w:val="24"/>
          <w:lang w:eastAsia="en-AU"/>
        </w:rPr>
        <w:t xml:space="preserve">meetings </w:t>
      </w:r>
      <w:r w:rsidR="006066F2">
        <w:rPr>
          <w:szCs w:val="24"/>
          <w:lang w:eastAsia="en-AU"/>
        </w:rPr>
        <w:t xml:space="preserve">such as </w:t>
      </w:r>
      <w:r w:rsidR="00F33F15">
        <w:rPr>
          <w:szCs w:val="24"/>
          <w:lang w:eastAsia="en-AU"/>
        </w:rPr>
        <w:t xml:space="preserve">the annual licence holder forum. Enhancements to performance metrics have also been made and took effect from 1 July 2017. </w:t>
      </w:r>
    </w:p>
    <w:p w14:paraId="755344DF" w14:textId="5741DC05" w:rsidR="00546F70" w:rsidRDefault="00546F70" w:rsidP="00546F70">
      <w:pPr>
        <w:spacing w:after="120"/>
        <w:rPr>
          <w:szCs w:val="24"/>
          <w:lang w:eastAsia="en-AU"/>
        </w:rPr>
      </w:pPr>
      <w:r>
        <w:rPr>
          <w:szCs w:val="24"/>
          <w:lang w:eastAsia="en-AU"/>
        </w:rPr>
        <w:lastRenderedPageBreak/>
        <w:t xml:space="preserve">The target was </w:t>
      </w:r>
      <w:r w:rsidR="00BB00C1">
        <w:rPr>
          <w:szCs w:val="24"/>
          <w:lang w:eastAsia="en-AU"/>
        </w:rPr>
        <w:t>met</w:t>
      </w:r>
      <w:r>
        <w:rPr>
          <w:szCs w:val="24"/>
          <w:lang w:eastAsia="en-AU"/>
        </w:rPr>
        <w:t xml:space="preserve"> indicating strong performance in this area</w:t>
      </w:r>
      <w:r w:rsidR="0064305E">
        <w:rPr>
          <w:szCs w:val="24"/>
          <w:lang w:eastAsia="en-AU"/>
        </w:rPr>
        <w:t xml:space="preserve"> despite a highly demanding environment in terms of tight</w:t>
      </w:r>
      <w:r w:rsidR="006066F2">
        <w:rPr>
          <w:szCs w:val="24"/>
          <w:lang w:eastAsia="en-AU"/>
        </w:rPr>
        <w:t>ening</w:t>
      </w:r>
      <w:r w:rsidR="0064305E">
        <w:rPr>
          <w:szCs w:val="24"/>
          <w:lang w:eastAsia="en-AU"/>
        </w:rPr>
        <w:t xml:space="preserve"> regulatory resources</w:t>
      </w:r>
      <w:r>
        <w:rPr>
          <w:szCs w:val="24"/>
          <w:lang w:eastAsia="en-AU"/>
        </w:rPr>
        <w:t>. More improvements are anticipated during 201</w:t>
      </w:r>
      <w:r w:rsidR="00057A1A">
        <w:rPr>
          <w:szCs w:val="24"/>
          <w:lang w:eastAsia="en-AU"/>
        </w:rPr>
        <w:t>7</w:t>
      </w:r>
      <w:r>
        <w:rPr>
          <w:szCs w:val="24"/>
          <w:lang w:eastAsia="en-AU"/>
        </w:rPr>
        <w:t>-1</w:t>
      </w:r>
      <w:r w:rsidR="00057A1A">
        <w:rPr>
          <w:szCs w:val="24"/>
          <w:lang w:eastAsia="en-AU"/>
        </w:rPr>
        <w:t>8</w:t>
      </w:r>
      <w:r w:rsidR="004B7813">
        <w:rPr>
          <w:szCs w:val="24"/>
          <w:lang w:eastAsia="en-AU"/>
        </w:rPr>
        <w:t xml:space="preserve">. </w:t>
      </w:r>
    </w:p>
    <w:p w14:paraId="168610AF" w14:textId="2E6D3BFB" w:rsidR="00546F70" w:rsidRPr="00A9092B" w:rsidRDefault="00F33F15" w:rsidP="00546F70">
      <w:pPr>
        <w:spacing w:after="120"/>
        <w:rPr>
          <w:rFonts w:cs="Arial"/>
          <w:szCs w:val="24"/>
        </w:rPr>
      </w:pPr>
      <w:r>
        <w:rPr>
          <w:rFonts w:cs="Arial"/>
          <w:szCs w:val="24"/>
        </w:rPr>
        <w:t xml:space="preserve">The current Licence Administration Database </w:t>
      </w:r>
      <w:r w:rsidR="006066F2">
        <w:rPr>
          <w:rFonts w:cs="Arial"/>
          <w:szCs w:val="24"/>
        </w:rPr>
        <w:t xml:space="preserve">(LAD) </w:t>
      </w:r>
      <w:r>
        <w:rPr>
          <w:rFonts w:cs="Arial"/>
          <w:szCs w:val="24"/>
        </w:rPr>
        <w:t>remains a</w:t>
      </w:r>
      <w:r w:rsidR="0064305E">
        <w:rPr>
          <w:rFonts w:cs="Arial"/>
          <w:szCs w:val="24"/>
        </w:rPr>
        <w:t xml:space="preserve"> significant system</w:t>
      </w:r>
      <w:r>
        <w:rPr>
          <w:rFonts w:cs="Arial"/>
          <w:szCs w:val="24"/>
        </w:rPr>
        <w:t xml:space="preserve"> to improve.  </w:t>
      </w:r>
      <w:r w:rsidR="00DD3731">
        <w:rPr>
          <w:rFonts w:cs="Arial"/>
          <w:szCs w:val="24"/>
        </w:rPr>
        <w:t>While LAD is an effective tool for the management of licence information, it is lacking a number of necessary features,</w:t>
      </w:r>
      <w:r w:rsidR="00DD3731" w:rsidRPr="00DB02C2">
        <w:rPr>
          <w:rFonts w:cs="Arial"/>
          <w:szCs w:val="24"/>
        </w:rPr>
        <w:t xml:space="preserve"> </w:t>
      </w:r>
      <w:r w:rsidR="00DD3731">
        <w:rPr>
          <w:rFonts w:cs="Arial"/>
          <w:szCs w:val="24"/>
        </w:rPr>
        <w:t xml:space="preserve">as its development is still incomplete. </w:t>
      </w:r>
      <w:r w:rsidR="0064305E">
        <w:rPr>
          <w:rFonts w:cs="Arial"/>
          <w:szCs w:val="24"/>
        </w:rPr>
        <w:t>As further innovation and refinement of ARPANSA’s regulatory systems is undertaken, the LAD system has been</w:t>
      </w:r>
      <w:r w:rsidR="00617A0C">
        <w:rPr>
          <w:rFonts w:cs="Arial"/>
          <w:szCs w:val="24"/>
        </w:rPr>
        <w:t xml:space="preserve"> </w:t>
      </w:r>
      <w:r w:rsidR="0064305E">
        <w:rPr>
          <w:rFonts w:cs="Arial"/>
          <w:szCs w:val="24"/>
        </w:rPr>
        <w:t xml:space="preserve">kept up to date. </w:t>
      </w:r>
      <w:r w:rsidR="00DD3731">
        <w:rPr>
          <w:rFonts w:cs="Arial"/>
          <w:szCs w:val="24"/>
        </w:rPr>
        <w:t xml:space="preserve">Due to the current limitations of LAD, alternative methods are used to record data and a supplementary reporting system has been created </w:t>
      </w:r>
      <w:r w:rsidR="006066F2">
        <w:rPr>
          <w:rFonts w:cs="Arial"/>
          <w:szCs w:val="24"/>
        </w:rPr>
        <w:t xml:space="preserve">to </w:t>
      </w:r>
      <w:r w:rsidR="00DD3731">
        <w:rPr>
          <w:rFonts w:cs="Arial"/>
          <w:szCs w:val="24"/>
        </w:rPr>
        <w:t xml:space="preserve">bring this </w:t>
      </w:r>
      <w:r w:rsidR="0064305E">
        <w:rPr>
          <w:rFonts w:cs="Arial"/>
          <w:szCs w:val="24"/>
        </w:rPr>
        <w:t xml:space="preserve">and LAD data </w:t>
      </w:r>
      <w:r w:rsidR="00DD3731">
        <w:rPr>
          <w:rFonts w:cs="Arial"/>
          <w:szCs w:val="24"/>
        </w:rPr>
        <w:t xml:space="preserve">together where possible. </w:t>
      </w:r>
      <w:r w:rsidR="006066F2">
        <w:rPr>
          <w:rFonts w:cs="Arial"/>
          <w:szCs w:val="24"/>
        </w:rPr>
        <w:t>T</w:t>
      </w:r>
      <w:r w:rsidR="00DD3731">
        <w:rPr>
          <w:rFonts w:cs="Arial"/>
          <w:szCs w:val="24"/>
        </w:rPr>
        <w:t xml:space="preserve">his could be described as a ‘Band-Aid’ </w:t>
      </w:r>
      <w:r w:rsidR="00DD3731" w:rsidRPr="00BC039C">
        <w:rPr>
          <w:rFonts w:cs="Arial"/>
          <w:szCs w:val="24"/>
        </w:rPr>
        <w:t xml:space="preserve">approach whereas as a more efficient holistic </w:t>
      </w:r>
      <w:r w:rsidR="009D08F6" w:rsidRPr="00BC039C">
        <w:rPr>
          <w:rFonts w:cs="Arial"/>
          <w:szCs w:val="24"/>
        </w:rPr>
        <w:t xml:space="preserve">licence information </w:t>
      </w:r>
      <w:r w:rsidR="00DD3731" w:rsidRPr="00BC039C">
        <w:rPr>
          <w:rFonts w:cs="Arial"/>
          <w:szCs w:val="24"/>
        </w:rPr>
        <w:t xml:space="preserve">system would offer significant benefits to </w:t>
      </w:r>
      <w:r w:rsidR="0064305E" w:rsidRPr="00BC039C">
        <w:rPr>
          <w:rFonts w:cs="Arial"/>
          <w:szCs w:val="24"/>
        </w:rPr>
        <w:t xml:space="preserve">the </w:t>
      </w:r>
      <w:r w:rsidR="00DD3731" w:rsidRPr="00BC039C">
        <w:rPr>
          <w:rFonts w:cs="Arial"/>
          <w:szCs w:val="24"/>
        </w:rPr>
        <w:t xml:space="preserve">management of licence holder data and performance reporting. </w:t>
      </w:r>
      <w:r w:rsidR="0064305E" w:rsidRPr="00BC039C">
        <w:rPr>
          <w:rFonts w:cs="Arial"/>
          <w:szCs w:val="24"/>
        </w:rPr>
        <w:t>ARPANSA has recently invested in Customer</w:t>
      </w:r>
      <w:r w:rsidR="0064305E">
        <w:rPr>
          <w:rFonts w:cs="Arial"/>
          <w:szCs w:val="24"/>
        </w:rPr>
        <w:t xml:space="preserve"> Relationship Management (CRM)</w:t>
      </w:r>
      <w:r w:rsidR="00D52285">
        <w:rPr>
          <w:rFonts w:cs="Arial"/>
          <w:szCs w:val="24"/>
        </w:rPr>
        <w:t xml:space="preserve"> </w:t>
      </w:r>
      <w:r w:rsidR="0064305E">
        <w:rPr>
          <w:rFonts w:cs="Arial"/>
          <w:szCs w:val="24"/>
        </w:rPr>
        <w:t xml:space="preserve">software and the </w:t>
      </w:r>
      <w:r w:rsidR="0064305E">
        <w:rPr>
          <w:rFonts w:cs="Arial"/>
          <w:szCs w:val="24"/>
        </w:rPr>
        <w:lastRenderedPageBreak/>
        <w:t xml:space="preserve">LAD system is one of a number of projects to be transitioned to this system in the future. </w:t>
      </w:r>
      <w:r w:rsidR="009D08F6">
        <w:rPr>
          <w:rFonts w:cs="Arial"/>
          <w:szCs w:val="24"/>
        </w:rPr>
        <w:t xml:space="preserve">The RSB has undertaken some initial scoping for the system and is ready to go when the </w:t>
      </w:r>
      <w:r w:rsidR="00DC7053">
        <w:rPr>
          <w:rFonts w:cs="Arial"/>
          <w:szCs w:val="24"/>
        </w:rPr>
        <w:t xml:space="preserve">ARPANSA Corporate </w:t>
      </w:r>
      <w:r w:rsidR="004B7813">
        <w:rPr>
          <w:rFonts w:cs="Arial"/>
          <w:szCs w:val="24"/>
        </w:rPr>
        <w:t xml:space="preserve">Office </w:t>
      </w:r>
      <w:r w:rsidR="00DC7053">
        <w:rPr>
          <w:rFonts w:cs="Arial"/>
          <w:szCs w:val="24"/>
        </w:rPr>
        <w:t>initiates</w:t>
      </w:r>
      <w:r w:rsidR="000E3A3F">
        <w:rPr>
          <w:rFonts w:cs="Arial"/>
          <w:szCs w:val="24"/>
        </w:rPr>
        <w:t xml:space="preserve"> the</w:t>
      </w:r>
      <w:r w:rsidR="00DC7053">
        <w:rPr>
          <w:rFonts w:cs="Arial"/>
          <w:szCs w:val="24"/>
        </w:rPr>
        <w:t xml:space="preserve"> </w:t>
      </w:r>
      <w:r w:rsidR="006066F2">
        <w:rPr>
          <w:rFonts w:cs="Arial"/>
          <w:szCs w:val="24"/>
        </w:rPr>
        <w:t xml:space="preserve">CRM </w:t>
      </w:r>
      <w:r w:rsidR="009D08F6">
        <w:rPr>
          <w:rFonts w:cs="Arial"/>
          <w:szCs w:val="24"/>
        </w:rPr>
        <w:t xml:space="preserve">project. </w:t>
      </w:r>
      <w:r w:rsidR="009412B5">
        <w:rPr>
          <w:rFonts w:cs="Arial"/>
          <w:szCs w:val="24"/>
        </w:rPr>
        <w:t xml:space="preserve">A delay in </w:t>
      </w:r>
      <w:r w:rsidR="00DC7053">
        <w:rPr>
          <w:rFonts w:cs="Arial"/>
          <w:szCs w:val="24"/>
        </w:rPr>
        <w:t xml:space="preserve">the </w:t>
      </w:r>
      <w:r w:rsidR="009412B5">
        <w:rPr>
          <w:rFonts w:cs="Arial"/>
          <w:szCs w:val="24"/>
        </w:rPr>
        <w:t xml:space="preserve">CRM </w:t>
      </w:r>
      <w:r w:rsidR="00DC7053">
        <w:rPr>
          <w:rFonts w:cs="Arial"/>
          <w:szCs w:val="24"/>
        </w:rPr>
        <w:t xml:space="preserve">project initiation </w:t>
      </w:r>
      <w:r w:rsidR="00AB2995">
        <w:rPr>
          <w:rFonts w:cs="Arial"/>
          <w:szCs w:val="24"/>
        </w:rPr>
        <w:t>is expected to have an adverse</w:t>
      </w:r>
      <w:r w:rsidR="009412B5">
        <w:rPr>
          <w:rFonts w:cs="Arial"/>
          <w:szCs w:val="24"/>
        </w:rPr>
        <w:t xml:space="preserve"> impact on the transition to a </w:t>
      </w:r>
      <w:r w:rsidR="00AB2995">
        <w:rPr>
          <w:rFonts w:cs="Arial"/>
          <w:szCs w:val="24"/>
        </w:rPr>
        <w:t xml:space="preserve">more </w:t>
      </w:r>
      <w:r w:rsidR="009412B5">
        <w:rPr>
          <w:rFonts w:cs="Arial"/>
          <w:szCs w:val="24"/>
        </w:rPr>
        <w:t xml:space="preserve">efficient system. </w:t>
      </w:r>
      <w:r w:rsidR="0064305E">
        <w:rPr>
          <w:rFonts w:cs="Arial"/>
          <w:szCs w:val="24"/>
        </w:rPr>
        <w:t>CRM will offer significant benefits not only for ARPANSA but also for its regulated community.</w:t>
      </w:r>
      <w:r w:rsidR="009D08F6">
        <w:rPr>
          <w:rFonts w:cs="Arial"/>
          <w:szCs w:val="24"/>
        </w:rPr>
        <w:t xml:space="preserve"> </w:t>
      </w:r>
      <w:r w:rsidR="006066F2">
        <w:rPr>
          <w:rFonts w:cs="Arial"/>
          <w:szCs w:val="24"/>
        </w:rPr>
        <w:t>T</w:t>
      </w:r>
      <w:r w:rsidR="009D08F6">
        <w:rPr>
          <w:rFonts w:cs="Arial"/>
          <w:szCs w:val="24"/>
        </w:rPr>
        <w:t xml:space="preserve">his observation was also made in the </w:t>
      </w:r>
      <w:r w:rsidR="006066F2">
        <w:rPr>
          <w:rFonts w:cs="Arial"/>
          <w:szCs w:val="24"/>
        </w:rPr>
        <w:t>2015-16</w:t>
      </w:r>
      <w:r w:rsidR="009D08F6">
        <w:rPr>
          <w:rFonts w:cs="Arial"/>
          <w:szCs w:val="24"/>
        </w:rPr>
        <w:t xml:space="preserve"> self-assessment.</w:t>
      </w:r>
    </w:p>
    <w:p w14:paraId="303AB75B" w14:textId="063213AE" w:rsidR="00546F70" w:rsidRDefault="00546F70" w:rsidP="00546F70">
      <w:pPr>
        <w:spacing w:after="120"/>
        <w:rPr>
          <w:szCs w:val="24"/>
        </w:rPr>
      </w:pPr>
      <w:r w:rsidRPr="00C74FE4">
        <w:rPr>
          <w:b/>
          <w:szCs w:val="24"/>
        </w:rPr>
        <w:t>PI 6.2</w:t>
      </w:r>
      <w:r w:rsidRPr="00A9092B">
        <w:rPr>
          <w:szCs w:val="24"/>
        </w:rPr>
        <w:t xml:space="preserve"> relates to the number of facility inspections where a consultant external to ARPANSA was included on the inspection team. </w:t>
      </w:r>
      <w:r w:rsidR="00C27C64">
        <w:rPr>
          <w:szCs w:val="24"/>
        </w:rPr>
        <w:t xml:space="preserve">External expertise is used to supplement the depth of knowledge held by the inspection team and to challenge existing inspection practices by working with experts with different skills, knowledge and experience. However, during the 2016/17 year </w:t>
      </w:r>
      <w:r w:rsidR="001027DB">
        <w:rPr>
          <w:szCs w:val="24"/>
        </w:rPr>
        <w:t>due to the nature of the specific inspections, it was considered that only a handful</w:t>
      </w:r>
      <w:r w:rsidR="004B7813">
        <w:rPr>
          <w:szCs w:val="24"/>
        </w:rPr>
        <w:t xml:space="preserve"> of the inspec</w:t>
      </w:r>
      <w:r w:rsidR="004B7813">
        <w:rPr>
          <w:szCs w:val="24"/>
        </w:rPr>
        <w:lastRenderedPageBreak/>
        <w:t>tions</w:t>
      </w:r>
      <w:r w:rsidR="001027DB">
        <w:rPr>
          <w:szCs w:val="24"/>
        </w:rPr>
        <w:t xml:space="preserve"> would benefit from the use of external expertise. </w:t>
      </w:r>
      <w:r>
        <w:rPr>
          <w:szCs w:val="24"/>
        </w:rPr>
        <w:t xml:space="preserve">No </w:t>
      </w:r>
      <w:r w:rsidRPr="00C872A1">
        <w:rPr>
          <w:szCs w:val="24"/>
        </w:rPr>
        <w:t>issues were found with this KPI or ARPANSA</w:t>
      </w:r>
      <w:r>
        <w:rPr>
          <w:szCs w:val="24"/>
        </w:rPr>
        <w:t>’s</w:t>
      </w:r>
      <w:r w:rsidRPr="00C872A1">
        <w:rPr>
          <w:szCs w:val="24"/>
        </w:rPr>
        <w:t xml:space="preserve"> performance in this area.</w:t>
      </w:r>
    </w:p>
    <w:p w14:paraId="5798F739" w14:textId="77777777" w:rsidR="00546F70" w:rsidRDefault="00546F70" w:rsidP="00546F70">
      <w:pPr>
        <w:spacing w:after="120"/>
      </w:pPr>
      <w:r w:rsidRPr="00454CE1">
        <w:rPr>
          <w:b/>
          <w:szCs w:val="24"/>
        </w:rPr>
        <w:t>Other evidence</w:t>
      </w:r>
      <w:r>
        <w:rPr>
          <w:b/>
          <w:szCs w:val="24"/>
        </w:rPr>
        <w:t>:</w:t>
      </w:r>
      <w:r>
        <w:rPr>
          <w:rFonts w:cs="Times New Roman"/>
          <w:sz w:val="32"/>
          <w:szCs w:val="32"/>
        </w:rPr>
        <w:t xml:space="preserve"> </w:t>
      </w:r>
      <w:r>
        <w:rPr>
          <w:rFonts w:cs="Times New Roman"/>
          <w:szCs w:val="24"/>
        </w:rPr>
        <w:t>To</w:t>
      </w:r>
      <w:r>
        <w:t xml:space="preserve"> drive continuous improvement, ARPANSA benchmarks its performance against comparable regulatory agencies through external audits including international peer reviews.</w:t>
      </w:r>
    </w:p>
    <w:p w14:paraId="22512565" w14:textId="2A757017" w:rsidR="00546F70" w:rsidRPr="002A5DFD" w:rsidRDefault="00546F70" w:rsidP="00546F70">
      <w:pPr>
        <w:spacing w:after="120"/>
      </w:pPr>
      <w:r>
        <w:t>Performance against the PIs w</w:t>
      </w:r>
      <w:r w:rsidR="0064305E">
        <w:t xml:space="preserve">as taken into account, however </w:t>
      </w:r>
      <w:r>
        <w:t>they</w:t>
      </w:r>
      <w:r w:rsidR="0064305E">
        <w:t>,</w:t>
      </w:r>
      <w:r>
        <w:t xml:space="preserve"> </w:t>
      </w:r>
      <w:r w:rsidR="0064305E">
        <w:t xml:space="preserve">alone, </w:t>
      </w:r>
      <w:r>
        <w:t xml:space="preserve">may not accurately reflect the </w:t>
      </w:r>
      <w:r w:rsidR="00D27C4F">
        <w:t xml:space="preserve">full scope or </w:t>
      </w:r>
      <w:r w:rsidRPr="002A5DFD">
        <w:t>intent of the KPI.</w:t>
      </w:r>
    </w:p>
    <w:p w14:paraId="1E144572" w14:textId="5A41EAF8" w:rsidR="00546F70" w:rsidRDefault="00546F70" w:rsidP="00546F70">
      <w:pPr>
        <w:spacing w:after="120"/>
      </w:pPr>
      <w:r w:rsidRPr="00D8087A">
        <w:t>The team observed ARPANSA</w:t>
      </w:r>
      <w:r>
        <w:t>’s</w:t>
      </w:r>
      <w:r w:rsidRPr="00D8087A">
        <w:t xml:space="preserve"> commitment to continuous improvement </w:t>
      </w:r>
      <w:r w:rsidR="00DC7053">
        <w:t>that</w:t>
      </w:r>
      <w:r w:rsidRPr="00D8087A">
        <w:t xml:space="preserve"> fit</w:t>
      </w:r>
      <w:r>
        <w:t>s</w:t>
      </w:r>
      <w:r w:rsidRPr="00D8087A">
        <w:t xml:space="preserve"> well with</w:t>
      </w:r>
      <w:r w:rsidR="006066F2">
        <w:t>in</w:t>
      </w:r>
      <w:r w:rsidRPr="00D8087A">
        <w:t xml:space="preserve"> the aims expressed in the RPF. </w:t>
      </w:r>
      <w:r w:rsidR="0064305E" w:rsidRPr="00FF5E57">
        <w:t xml:space="preserve">The assessment </w:t>
      </w:r>
      <w:r w:rsidR="006066F2">
        <w:t xml:space="preserve">team </w:t>
      </w:r>
      <w:r w:rsidR="0064305E" w:rsidRPr="00FF5E57">
        <w:t>noted that the ARPANSA staff interviewed displayed a strong regulatory culture</w:t>
      </w:r>
      <w:r w:rsidR="0064305E">
        <w:t xml:space="preserve">. </w:t>
      </w:r>
      <w:r w:rsidRPr="00D8087A">
        <w:t xml:space="preserve">Importantly the team noted that without exception, </w:t>
      </w:r>
      <w:r>
        <w:t>licence holder</w:t>
      </w:r>
      <w:r w:rsidRPr="00B01BC4">
        <w:t xml:space="preserve"> representatives consider that ARPANSA’s performance has improved</w:t>
      </w:r>
      <w:r w:rsidR="0064305E">
        <w:t xml:space="preserve"> and there was satisfaction in the service provided</w:t>
      </w:r>
      <w:r w:rsidRPr="00FF5E57">
        <w:t>.</w:t>
      </w:r>
      <w:r>
        <w:t xml:space="preserve"> </w:t>
      </w:r>
    </w:p>
    <w:p w14:paraId="0AB8F145" w14:textId="4767269A" w:rsidR="00EC4648" w:rsidRPr="000D50DD" w:rsidRDefault="00EC4648" w:rsidP="00546F70">
      <w:pPr>
        <w:spacing w:after="120"/>
      </w:pPr>
      <w:r>
        <w:lastRenderedPageBreak/>
        <w:t xml:space="preserve">Some difficulties were identified regarding internal accountabilities within the RSB, </w:t>
      </w:r>
      <w:r w:rsidR="006066F2">
        <w:t>largely</w:t>
      </w:r>
      <w:r>
        <w:t xml:space="preserve"> around quality matters and record keeping</w:t>
      </w:r>
      <w:r w:rsidRPr="00BC039C">
        <w:t xml:space="preserve">.  A review of roles and responsibilities </w:t>
      </w:r>
      <w:r w:rsidR="0061337F" w:rsidRPr="00BC039C">
        <w:t>would be useful</w:t>
      </w:r>
      <w:r w:rsidRPr="00BC039C">
        <w:t xml:space="preserve"> to ensure that the accountabilities </w:t>
      </w:r>
      <w:r w:rsidR="0061337F" w:rsidRPr="00BC039C">
        <w:t xml:space="preserve">for specific roles </w:t>
      </w:r>
      <w:r w:rsidRPr="00BC039C">
        <w:t xml:space="preserve">are </w:t>
      </w:r>
      <w:r w:rsidR="0061337F" w:rsidRPr="00BC039C">
        <w:t xml:space="preserve">optimally assigned and </w:t>
      </w:r>
      <w:r w:rsidRPr="00BC039C">
        <w:t>properly understood.</w:t>
      </w:r>
      <w:r>
        <w:t xml:space="preserve"> </w:t>
      </w:r>
    </w:p>
    <w:p w14:paraId="740CA926" w14:textId="77777777" w:rsidR="00546F70" w:rsidRPr="00454CE1" w:rsidRDefault="00546F70" w:rsidP="00546F70">
      <w:pPr>
        <w:spacing w:after="120"/>
        <w:rPr>
          <w:rFonts w:cs="Times New Roman"/>
          <w:b/>
          <w:szCs w:val="24"/>
        </w:rPr>
      </w:pPr>
      <w:r>
        <w:t>Overall performance against this KPI was assessed as very good. This is based on the evidence presented including a high level of involvement in the development of documentation and regulatory frameworks, the n</w:t>
      </w:r>
      <w:r w:rsidRPr="00C47F67">
        <w:t>umber of stakeholder events</w:t>
      </w:r>
      <w:r>
        <w:t>, the frequent interactions with Licence holder representatives, and inputs from external experience and expertise.</w:t>
      </w:r>
    </w:p>
    <w:p w14:paraId="24C202C7" w14:textId="6652B305" w:rsidR="00546F70" w:rsidRPr="00A9092B" w:rsidRDefault="00546F70" w:rsidP="00546F70">
      <w:pPr>
        <w:pStyle w:val="Heading3"/>
        <w:keepLines w:val="0"/>
        <w:spacing w:before="120" w:after="120" w:line="240" w:lineRule="auto"/>
        <w:jc w:val="both"/>
        <w:rPr>
          <w:lang w:eastAsia="en-AU"/>
        </w:rPr>
      </w:pPr>
      <w:bookmarkStart w:id="53" w:name="_Toc470173176"/>
      <w:r w:rsidRPr="00A9092B">
        <w:rPr>
          <w:lang w:eastAsia="en-AU"/>
        </w:rPr>
        <w:t>Self</w:t>
      </w:r>
      <w:r>
        <w:rPr>
          <w:lang w:eastAsia="en-AU"/>
        </w:rPr>
        <w:t>-</w:t>
      </w:r>
      <w:r w:rsidRPr="00A9092B">
        <w:rPr>
          <w:lang w:eastAsia="en-AU"/>
        </w:rPr>
        <w:t>assessed rating of performance against KPI 6 – 201</w:t>
      </w:r>
      <w:r w:rsidR="00751425">
        <w:rPr>
          <w:lang w:eastAsia="en-AU"/>
        </w:rPr>
        <w:t>6</w:t>
      </w:r>
      <w:r w:rsidRPr="00A9092B">
        <w:rPr>
          <w:lang w:eastAsia="en-AU"/>
        </w:rPr>
        <w:t>-1</w:t>
      </w:r>
      <w:bookmarkEnd w:id="53"/>
      <w:r w:rsidR="00751425">
        <w:rPr>
          <w:lang w:eastAsia="en-AU"/>
        </w:rPr>
        <w:t>7</w:t>
      </w:r>
    </w:p>
    <w:tbl>
      <w:tblPr>
        <w:tblStyle w:val="TableGrid"/>
        <w:tblW w:w="9781" w:type="dxa"/>
        <w:tblLook w:val="04A0" w:firstRow="1" w:lastRow="0" w:firstColumn="1" w:lastColumn="0" w:noHBand="0" w:noVBand="1"/>
        <w:tblDescription w:val="Chapter 2.6.6 table contains a list of performance ratings against Key Performance Indicator (KPI) 6 of the 2015-16 Regulator Performance Framework. "/>
      </w:tblPr>
      <w:tblGrid>
        <w:gridCol w:w="1736"/>
        <w:gridCol w:w="2942"/>
        <w:gridCol w:w="1701"/>
        <w:gridCol w:w="1701"/>
        <w:gridCol w:w="1701"/>
      </w:tblGrid>
      <w:tr w:rsidR="00546F70" w:rsidRPr="00951ED1" w14:paraId="1A019230" w14:textId="77777777" w:rsidTr="003C23B9">
        <w:trPr>
          <w:cantSplit/>
          <w:tblHeader/>
        </w:trPr>
        <w:tc>
          <w:tcPr>
            <w:tcW w:w="1736" w:type="dxa"/>
          </w:tcPr>
          <w:p w14:paraId="41F15C64"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t>Excellent</w:t>
            </w:r>
          </w:p>
          <w:p w14:paraId="637248D5" w14:textId="77777777" w:rsidR="00546F70" w:rsidRPr="00951ED1" w:rsidRDefault="00546F70" w:rsidP="00546F70">
            <w:pPr>
              <w:autoSpaceDE w:val="0"/>
              <w:autoSpaceDN w:val="0"/>
              <w:adjustRightInd w:val="0"/>
              <w:spacing w:before="120" w:after="120"/>
              <w:jc w:val="center"/>
              <w:rPr>
                <w:rFonts w:cs="Times New Roman"/>
                <w:bCs/>
                <w:sz w:val="20"/>
                <w:szCs w:val="20"/>
                <w:lang w:eastAsia="en-AU"/>
              </w:rPr>
            </w:pPr>
            <w:r w:rsidRPr="00951ED1">
              <w:rPr>
                <w:rFonts w:cs="Times New Roman"/>
                <w:bCs/>
                <w:sz w:val="20"/>
                <w:szCs w:val="20"/>
                <w:lang w:eastAsia="en-AU"/>
              </w:rPr>
              <w:t>Strong performance against all the measures under the KPI</w:t>
            </w:r>
          </w:p>
        </w:tc>
        <w:tc>
          <w:tcPr>
            <w:tcW w:w="2942" w:type="dxa"/>
            <w:shd w:val="clear" w:color="auto" w:fill="94E094" w:themeFill="accent3" w:themeFillTint="66"/>
          </w:tcPr>
          <w:p w14:paraId="326111C9"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t>Very Good</w:t>
            </w:r>
          </w:p>
          <w:p w14:paraId="50F40FE7" w14:textId="77777777" w:rsidR="00546F70" w:rsidRPr="00951ED1" w:rsidRDefault="00546F70" w:rsidP="00546F70">
            <w:pPr>
              <w:autoSpaceDE w:val="0"/>
              <w:autoSpaceDN w:val="0"/>
              <w:adjustRightInd w:val="0"/>
              <w:spacing w:before="120" w:after="120"/>
              <w:jc w:val="center"/>
              <w:rPr>
                <w:rFonts w:cs="Times New Roman"/>
                <w:bCs/>
                <w:sz w:val="20"/>
                <w:szCs w:val="20"/>
                <w:lang w:eastAsia="en-AU"/>
              </w:rPr>
            </w:pPr>
            <w:r w:rsidRPr="00951ED1">
              <w:rPr>
                <w:rFonts w:cs="Times New Roman"/>
                <w:bCs/>
                <w:sz w:val="20"/>
                <w:szCs w:val="20"/>
                <w:lang w:eastAsia="en-AU"/>
              </w:rPr>
              <w:t>Strong performance against majority of the measures under the KPI and no evidence of negative/poor performance against any measure</w:t>
            </w:r>
          </w:p>
        </w:tc>
        <w:tc>
          <w:tcPr>
            <w:tcW w:w="1701" w:type="dxa"/>
          </w:tcPr>
          <w:p w14:paraId="3E13007D"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t>Good</w:t>
            </w:r>
          </w:p>
          <w:p w14:paraId="7A0680A4" w14:textId="77777777" w:rsidR="00546F70" w:rsidRPr="00951ED1" w:rsidRDefault="00546F70" w:rsidP="00546F70">
            <w:pPr>
              <w:autoSpaceDE w:val="0"/>
              <w:autoSpaceDN w:val="0"/>
              <w:adjustRightInd w:val="0"/>
              <w:spacing w:before="120" w:after="120"/>
              <w:jc w:val="center"/>
              <w:rPr>
                <w:rFonts w:cs="Times New Roman"/>
                <w:b/>
                <w:bCs/>
                <w:sz w:val="20"/>
                <w:szCs w:val="20"/>
                <w:lang w:eastAsia="en-AU"/>
              </w:rPr>
            </w:pPr>
            <w:r w:rsidRPr="00951ED1">
              <w:rPr>
                <w:rFonts w:cs="Times New Roman"/>
                <w:bCs/>
                <w:sz w:val="20"/>
                <w:szCs w:val="20"/>
                <w:lang w:eastAsia="en-AU"/>
              </w:rPr>
              <w:t>Average performance against the measures under the KPI</w:t>
            </w:r>
          </w:p>
        </w:tc>
        <w:tc>
          <w:tcPr>
            <w:tcW w:w="1701" w:type="dxa"/>
          </w:tcPr>
          <w:p w14:paraId="66820D7C"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t>Fair</w:t>
            </w:r>
          </w:p>
          <w:p w14:paraId="264C3C45" w14:textId="77777777" w:rsidR="00546F70" w:rsidRPr="00951ED1" w:rsidRDefault="00546F70" w:rsidP="00546F70">
            <w:pPr>
              <w:autoSpaceDE w:val="0"/>
              <w:autoSpaceDN w:val="0"/>
              <w:adjustRightInd w:val="0"/>
              <w:spacing w:before="120" w:after="120"/>
              <w:jc w:val="center"/>
              <w:rPr>
                <w:rFonts w:cs="Times New Roman"/>
                <w:bCs/>
                <w:sz w:val="20"/>
                <w:szCs w:val="20"/>
                <w:lang w:eastAsia="en-AU"/>
              </w:rPr>
            </w:pPr>
            <w:r w:rsidRPr="00951ED1">
              <w:rPr>
                <w:rFonts w:cs="Times New Roman"/>
                <w:bCs/>
                <w:sz w:val="20"/>
                <w:szCs w:val="20"/>
                <w:lang w:eastAsia="en-AU"/>
              </w:rPr>
              <w:t>Poor performance against some measures under the KPI</w:t>
            </w:r>
          </w:p>
        </w:tc>
        <w:tc>
          <w:tcPr>
            <w:tcW w:w="1701" w:type="dxa"/>
          </w:tcPr>
          <w:p w14:paraId="55B0DDF6"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t>Poor</w:t>
            </w:r>
          </w:p>
          <w:p w14:paraId="7D3FF75C" w14:textId="77777777" w:rsidR="00546F70" w:rsidRPr="00951ED1" w:rsidRDefault="00546F70" w:rsidP="00546F70">
            <w:pPr>
              <w:autoSpaceDE w:val="0"/>
              <w:autoSpaceDN w:val="0"/>
              <w:adjustRightInd w:val="0"/>
              <w:spacing w:before="120" w:after="120"/>
              <w:jc w:val="center"/>
              <w:rPr>
                <w:rFonts w:cs="Times New Roman"/>
                <w:b/>
                <w:bCs/>
                <w:sz w:val="20"/>
                <w:szCs w:val="20"/>
                <w:lang w:eastAsia="en-AU"/>
              </w:rPr>
            </w:pPr>
            <w:r w:rsidRPr="00951ED1">
              <w:rPr>
                <w:rFonts w:cs="Times New Roman"/>
                <w:bCs/>
                <w:sz w:val="20"/>
                <w:szCs w:val="20"/>
                <w:lang w:eastAsia="en-AU"/>
              </w:rPr>
              <w:t>Poor performance against most of the measures under the KPI</w:t>
            </w:r>
          </w:p>
        </w:tc>
      </w:tr>
    </w:tbl>
    <w:p w14:paraId="0A77DEA2" w14:textId="4C2C09A6" w:rsidR="00385853" w:rsidRPr="00385853" w:rsidRDefault="00385853" w:rsidP="00385853">
      <w:pPr>
        <w:rPr>
          <w:lang w:eastAsia="en-AU"/>
        </w:rPr>
      </w:pPr>
      <w:bookmarkStart w:id="54" w:name="_Toc470173177"/>
      <w:r>
        <w:rPr>
          <w:lang w:eastAsia="en-AU"/>
        </w:rPr>
        <w:lastRenderedPageBreak/>
        <w:t xml:space="preserve">This rating is unchanged from the 2015-16 self-assessment. There is solid performance against this KPI that </w:t>
      </w:r>
      <w:r w:rsidR="00C823C9">
        <w:rPr>
          <w:lang w:eastAsia="en-AU"/>
        </w:rPr>
        <w:t xml:space="preserve">continued to </w:t>
      </w:r>
      <w:r>
        <w:rPr>
          <w:lang w:eastAsia="en-AU"/>
        </w:rPr>
        <w:t>me</w:t>
      </w:r>
      <w:r w:rsidR="00C823C9">
        <w:rPr>
          <w:lang w:eastAsia="en-AU"/>
        </w:rPr>
        <w:t>e</w:t>
      </w:r>
      <w:r>
        <w:rPr>
          <w:lang w:eastAsia="en-AU"/>
        </w:rPr>
        <w:t>t the very good rating.</w:t>
      </w:r>
    </w:p>
    <w:p w14:paraId="49520863" w14:textId="77777777" w:rsidR="00546F70" w:rsidRPr="00A9092B" w:rsidRDefault="00546F70" w:rsidP="00546F70">
      <w:pPr>
        <w:pStyle w:val="Heading3"/>
        <w:keepLines w:val="0"/>
        <w:spacing w:before="200" w:after="120" w:line="240" w:lineRule="auto"/>
        <w:jc w:val="both"/>
        <w:rPr>
          <w:lang w:eastAsia="en-AU"/>
        </w:rPr>
      </w:pPr>
      <w:r w:rsidRPr="00A9092B">
        <w:rPr>
          <w:lang w:eastAsia="en-AU"/>
        </w:rPr>
        <w:t>Actions for improving performance against KPI 6</w:t>
      </w:r>
      <w:bookmarkEnd w:id="54"/>
    </w:p>
    <w:p w14:paraId="6B18ACB5" w14:textId="77777777" w:rsidR="00546F70" w:rsidRPr="00A9092B" w:rsidRDefault="00546F70" w:rsidP="00546F70">
      <w:pPr>
        <w:autoSpaceDE w:val="0"/>
        <w:autoSpaceDN w:val="0"/>
        <w:adjustRightInd w:val="0"/>
        <w:spacing w:before="120" w:after="120"/>
        <w:rPr>
          <w:rFonts w:cs="Arial"/>
          <w:szCs w:val="24"/>
        </w:rPr>
      </w:pPr>
      <w:r>
        <w:rPr>
          <w:rFonts w:cs="Arial"/>
          <w:szCs w:val="24"/>
        </w:rPr>
        <w:t xml:space="preserve">The team identified the following </w:t>
      </w:r>
      <w:r w:rsidRPr="00A9092B">
        <w:rPr>
          <w:rFonts w:cs="Arial"/>
          <w:szCs w:val="24"/>
        </w:rPr>
        <w:t xml:space="preserve">AFI </w:t>
      </w:r>
      <w:r>
        <w:rPr>
          <w:rFonts w:cs="Arial"/>
          <w:szCs w:val="24"/>
        </w:rPr>
        <w:t xml:space="preserve">related to </w:t>
      </w:r>
      <w:r w:rsidR="00EC4648">
        <w:rPr>
          <w:rFonts w:cs="Arial"/>
          <w:szCs w:val="24"/>
        </w:rPr>
        <w:t>KPI 6</w:t>
      </w:r>
      <w:r w:rsidRPr="00A9092B">
        <w:rPr>
          <w:rFonts w:cs="Arial"/>
          <w:szCs w:val="24"/>
        </w:rPr>
        <w:t>:</w:t>
      </w:r>
    </w:p>
    <w:p w14:paraId="2CA6876D" w14:textId="2EA24068" w:rsidR="00546F70" w:rsidRPr="00A9092B" w:rsidRDefault="006066F2" w:rsidP="00546F70">
      <w:pPr>
        <w:pStyle w:val="ListParagraph"/>
        <w:numPr>
          <w:ilvl w:val="0"/>
          <w:numId w:val="50"/>
        </w:numPr>
        <w:spacing w:before="0" w:after="120" w:line="276" w:lineRule="auto"/>
        <w:ind w:left="714" w:hanging="357"/>
        <w:contextualSpacing/>
        <w:rPr>
          <w:rFonts w:cs="Arial"/>
          <w:szCs w:val="24"/>
        </w:rPr>
      </w:pPr>
      <w:r>
        <w:rPr>
          <w:rFonts w:cs="Arial"/>
          <w:szCs w:val="24"/>
        </w:rPr>
        <w:t>Current l</w:t>
      </w:r>
      <w:r w:rsidR="009D08F6" w:rsidRPr="009D08F6">
        <w:rPr>
          <w:rFonts w:cs="Arial"/>
          <w:szCs w:val="24"/>
        </w:rPr>
        <w:t xml:space="preserve">icence </w:t>
      </w:r>
      <w:r>
        <w:rPr>
          <w:rFonts w:cs="Arial"/>
          <w:szCs w:val="24"/>
        </w:rPr>
        <w:t>a</w:t>
      </w:r>
      <w:r w:rsidR="009D08F6" w:rsidRPr="009D08F6">
        <w:rPr>
          <w:rFonts w:cs="Arial"/>
          <w:szCs w:val="24"/>
        </w:rPr>
        <w:t xml:space="preserve">dministration </w:t>
      </w:r>
      <w:r>
        <w:rPr>
          <w:rFonts w:cs="Arial"/>
          <w:szCs w:val="24"/>
        </w:rPr>
        <w:t>s</w:t>
      </w:r>
      <w:r w:rsidR="009D08F6" w:rsidRPr="009D08F6">
        <w:rPr>
          <w:rFonts w:cs="Arial"/>
          <w:szCs w:val="24"/>
        </w:rPr>
        <w:t xml:space="preserve">ystems are not meeting regulatory needs in an efficient </w:t>
      </w:r>
      <w:r>
        <w:rPr>
          <w:rFonts w:cs="Arial"/>
          <w:szCs w:val="24"/>
        </w:rPr>
        <w:t xml:space="preserve">or effective </w:t>
      </w:r>
      <w:r w:rsidR="009F3703">
        <w:rPr>
          <w:rFonts w:cs="Arial"/>
          <w:szCs w:val="24"/>
        </w:rPr>
        <w:t>manner</w:t>
      </w:r>
      <w:r w:rsidR="009D08F6" w:rsidRPr="009D08F6">
        <w:rPr>
          <w:rFonts w:cs="Arial"/>
          <w:szCs w:val="24"/>
        </w:rPr>
        <w:t xml:space="preserve">. Whilst some improvements have been introduced during the year </w:t>
      </w:r>
      <w:r w:rsidR="005152DD">
        <w:rPr>
          <w:rFonts w:cs="Arial"/>
          <w:szCs w:val="24"/>
        </w:rPr>
        <w:t xml:space="preserve">to improve efficiency, </w:t>
      </w:r>
      <w:r w:rsidR="009D08F6" w:rsidRPr="009D08F6">
        <w:rPr>
          <w:rFonts w:cs="Arial"/>
          <w:szCs w:val="24"/>
        </w:rPr>
        <w:t>a holistic licence information system would offer significant benefits to the management of licence holder data and performance reporting</w:t>
      </w:r>
      <w:r w:rsidR="00546F70">
        <w:rPr>
          <w:rFonts w:cs="Arial"/>
          <w:szCs w:val="24"/>
        </w:rPr>
        <w:t>.</w:t>
      </w:r>
    </w:p>
    <w:p w14:paraId="0BA63B31" w14:textId="3F7EBF4A" w:rsidR="00546F70" w:rsidRPr="00A9092B" w:rsidRDefault="00EC4648" w:rsidP="00546F70">
      <w:pPr>
        <w:pStyle w:val="ListParagraph"/>
        <w:numPr>
          <w:ilvl w:val="0"/>
          <w:numId w:val="50"/>
        </w:numPr>
        <w:spacing w:before="0" w:after="120" w:line="276" w:lineRule="auto"/>
        <w:ind w:left="714" w:hanging="357"/>
        <w:contextualSpacing/>
        <w:rPr>
          <w:rFonts w:cs="Arial"/>
          <w:szCs w:val="24"/>
        </w:rPr>
      </w:pPr>
      <w:r>
        <w:t xml:space="preserve">Roles and accountabilities </w:t>
      </w:r>
      <w:r w:rsidR="009F3703">
        <w:t xml:space="preserve">may not </w:t>
      </w:r>
      <w:r w:rsidR="0061337F">
        <w:t xml:space="preserve">be optimally assigned or </w:t>
      </w:r>
      <w:r w:rsidR="006066F2">
        <w:t>properly</w:t>
      </w:r>
      <w:r>
        <w:t xml:space="preserve"> understood </w:t>
      </w:r>
      <w:r w:rsidR="006066F2">
        <w:t xml:space="preserve">or managed </w:t>
      </w:r>
      <w:r>
        <w:t xml:space="preserve">for </w:t>
      </w:r>
      <w:r w:rsidR="009F3703">
        <w:t xml:space="preserve">some </w:t>
      </w:r>
      <w:r>
        <w:t>specific roles</w:t>
      </w:r>
      <w:r w:rsidR="006066F2">
        <w:t xml:space="preserve"> associated with quality and record keeping</w:t>
      </w:r>
      <w:r>
        <w:t>.</w:t>
      </w:r>
    </w:p>
    <w:p w14:paraId="03396B12" w14:textId="77777777" w:rsidR="00546F70" w:rsidRDefault="00546F70" w:rsidP="00ED0C15">
      <w:pPr>
        <w:pStyle w:val="ListParagraph"/>
        <w:numPr>
          <w:ilvl w:val="0"/>
          <w:numId w:val="0"/>
        </w:numPr>
        <w:spacing w:before="0" w:after="120" w:line="276" w:lineRule="auto"/>
        <w:ind w:left="714"/>
        <w:contextualSpacing/>
        <w:rPr>
          <w:rFonts w:cs="Arial"/>
          <w:szCs w:val="24"/>
        </w:rPr>
      </w:pPr>
    </w:p>
    <w:p w14:paraId="795F01D1" w14:textId="77777777" w:rsidR="00546F70" w:rsidRPr="00A9092B" w:rsidRDefault="00546F70" w:rsidP="00546F70">
      <w:pPr>
        <w:pStyle w:val="Heading1"/>
        <w:keepNext w:val="0"/>
        <w:keepLines w:val="0"/>
        <w:spacing w:before="120" w:after="120" w:line="240" w:lineRule="auto"/>
        <w:rPr>
          <w:lang w:eastAsia="en-AU"/>
        </w:rPr>
      </w:pPr>
      <w:bookmarkStart w:id="55" w:name="_Toc470173178"/>
      <w:bookmarkStart w:id="56" w:name="_Toc492467956"/>
      <w:r w:rsidRPr="00A9092B">
        <w:rPr>
          <w:lang w:eastAsia="en-AU"/>
        </w:rPr>
        <w:t>Overall Assessment</w:t>
      </w:r>
      <w:bookmarkEnd w:id="55"/>
      <w:bookmarkEnd w:id="56"/>
    </w:p>
    <w:p w14:paraId="4CD594D4" w14:textId="77777777" w:rsidR="00546F70" w:rsidRPr="00A9092B" w:rsidRDefault="00546F70" w:rsidP="00546F70">
      <w:pPr>
        <w:pStyle w:val="Heading2"/>
        <w:keepLines w:val="0"/>
        <w:spacing w:before="120" w:after="120" w:line="240" w:lineRule="auto"/>
        <w:ind w:left="578" w:hanging="578"/>
        <w:jc w:val="both"/>
        <w:rPr>
          <w:lang w:eastAsia="en-AU"/>
        </w:rPr>
      </w:pPr>
      <w:bookmarkStart w:id="57" w:name="_Toc470173179"/>
      <w:bookmarkStart w:id="58" w:name="_Toc492467957"/>
      <w:r w:rsidRPr="00A9092B">
        <w:rPr>
          <w:lang w:eastAsia="en-AU"/>
        </w:rPr>
        <w:lastRenderedPageBreak/>
        <w:t>Analysis of evidence</w:t>
      </w:r>
      <w:bookmarkEnd w:id="57"/>
      <w:bookmarkEnd w:id="58"/>
      <w:r w:rsidRPr="00A9092B">
        <w:rPr>
          <w:lang w:eastAsia="en-AU"/>
        </w:rPr>
        <w:t xml:space="preserve"> </w:t>
      </w:r>
    </w:p>
    <w:p w14:paraId="396FC982" w14:textId="5C2272F5" w:rsidR="00590B02" w:rsidRDefault="00546F70" w:rsidP="00546F70">
      <w:pPr>
        <w:spacing w:after="120"/>
      </w:pPr>
      <w:r w:rsidRPr="000D50DD">
        <w:t xml:space="preserve">This </w:t>
      </w:r>
      <w:r w:rsidR="007D25A5">
        <w:t>was the se</w:t>
      </w:r>
      <w:r w:rsidR="00AC48A4">
        <w:t>cond annual self-assessment under the Regulator Performance Framework</w:t>
      </w:r>
      <w:r w:rsidR="00CC5C76">
        <w:t xml:space="preserve"> (RPF)</w:t>
      </w:r>
      <w:r w:rsidR="00AC48A4">
        <w:t xml:space="preserve">. The </w:t>
      </w:r>
      <w:r w:rsidRPr="000D50DD">
        <w:t xml:space="preserve">review assessed regulatory performance against previously </w:t>
      </w:r>
      <w:r w:rsidR="00B75491">
        <w:t>approved</w:t>
      </w:r>
      <w:r w:rsidRPr="000D50DD">
        <w:t xml:space="preserve"> metrics as well as established processes</w:t>
      </w:r>
      <w:r w:rsidR="000E3A3F">
        <w:t xml:space="preserve"> and</w:t>
      </w:r>
      <w:r w:rsidRPr="000D50DD">
        <w:t xml:space="preserve"> procedures</w:t>
      </w:r>
      <w:r w:rsidR="000E3A3F">
        <w:t xml:space="preserve">, </w:t>
      </w:r>
      <w:r w:rsidRPr="000D50DD">
        <w:t xml:space="preserve">and </w:t>
      </w:r>
      <w:r w:rsidRPr="00FC124B">
        <w:t xml:space="preserve">through discussions with staff and stakeholders. </w:t>
      </w:r>
      <w:r w:rsidR="00AC48A4">
        <w:t>As with the first self-assessment, i</w:t>
      </w:r>
      <w:r>
        <w:t xml:space="preserve">n </w:t>
      </w:r>
      <w:r w:rsidRPr="00B01BC4">
        <w:t xml:space="preserve">some </w:t>
      </w:r>
      <w:r>
        <w:t xml:space="preserve">cases it was </w:t>
      </w:r>
      <w:r w:rsidR="007C702D">
        <w:t xml:space="preserve">found that </w:t>
      </w:r>
      <w:r w:rsidRPr="00B01BC4">
        <w:t>the metrics did not closely align with the intention of the KPI</w:t>
      </w:r>
      <w:r w:rsidR="00B75491">
        <w:t xml:space="preserve"> and </w:t>
      </w:r>
      <w:r w:rsidR="00DD1DF2">
        <w:t xml:space="preserve">that </w:t>
      </w:r>
      <w:r w:rsidR="00B75491">
        <w:t>the use of additional evidence to gauge ARPANSA’s overall performance against the framework</w:t>
      </w:r>
      <w:r w:rsidR="004725C3">
        <w:t xml:space="preserve"> was important</w:t>
      </w:r>
      <w:r w:rsidR="00AC48A4">
        <w:t xml:space="preserve">. This assessment </w:t>
      </w:r>
      <w:r w:rsidR="008C43DD">
        <w:t xml:space="preserve">noted </w:t>
      </w:r>
      <w:r w:rsidR="00AC48A4">
        <w:t xml:space="preserve">that </w:t>
      </w:r>
      <w:r w:rsidR="007C702D">
        <w:t xml:space="preserve">ARPANSA workshopped an improved set of metrics </w:t>
      </w:r>
      <w:r w:rsidR="00DC7053">
        <w:t>that</w:t>
      </w:r>
      <w:r w:rsidR="007C702D">
        <w:t xml:space="preserve"> were approved by the Minister to take effect from 1 July 2017</w:t>
      </w:r>
      <w:r w:rsidRPr="00B01BC4">
        <w:t xml:space="preserve">. </w:t>
      </w:r>
      <w:r w:rsidR="006066F2">
        <w:t>T</w:t>
      </w:r>
      <w:r w:rsidRPr="00B01BC4">
        <w:t>h</w:t>
      </w:r>
      <w:r w:rsidR="007C702D">
        <w:t xml:space="preserve">is review </w:t>
      </w:r>
      <w:r w:rsidR="00B75491">
        <w:t>also found that ARPANSA has a deep</w:t>
      </w:r>
      <w:r w:rsidR="00617A0C">
        <w:t>-</w:t>
      </w:r>
      <w:r w:rsidR="00B75491">
        <w:t>seated culture to improve the effectiveness and efficiency of its regulatory service</w:t>
      </w:r>
      <w:r w:rsidR="007C702D">
        <w:t>.</w:t>
      </w:r>
      <w:r w:rsidR="00DD1DF2">
        <w:t xml:space="preserve"> This was demonstrated by a number of improvement initiatives that are currently </w:t>
      </w:r>
      <w:r w:rsidR="00F15752">
        <w:t>ongoing,</w:t>
      </w:r>
      <w:r w:rsidR="00DD1DF2">
        <w:t xml:space="preserve"> some of which are linked to the findings of the previous self-assessment. </w:t>
      </w:r>
    </w:p>
    <w:p w14:paraId="0EDE4817" w14:textId="00583FDB" w:rsidR="00590B02" w:rsidRDefault="00CC5C76" w:rsidP="00546F70">
      <w:pPr>
        <w:spacing w:after="120"/>
      </w:pPr>
      <w:r>
        <w:lastRenderedPageBreak/>
        <w:t>W</w:t>
      </w:r>
      <w:r w:rsidR="00590B02">
        <w:t xml:space="preserve">hereas Section </w:t>
      </w:r>
      <w:r w:rsidR="00BC039C">
        <w:t>2</w:t>
      </w:r>
      <w:r w:rsidR="00590B02">
        <w:t xml:space="preserve"> of this report considers specific evidence against individual KPIs, this section </w:t>
      </w:r>
      <w:r w:rsidR="007E7F78">
        <w:t>summarises</w:t>
      </w:r>
      <w:r>
        <w:t xml:space="preserve"> the data more holistically to </w:t>
      </w:r>
      <w:r w:rsidR="008C43DD">
        <w:t xml:space="preserve">provide </w:t>
      </w:r>
      <w:r>
        <w:t xml:space="preserve">an overall picture of how ARPANSA meets the aims and objectives of the RPF. This same approach is used in discussing broad themes that should be worked on </w:t>
      </w:r>
      <w:r w:rsidR="00590B02">
        <w:t>over the coming year or longer</w:t>
      </w:r>
      <w:r>
        <w:t xml:space="preserve"> to strengthen performance through a cycle of continuous improvement</w:t>
      </w:r>
      <w:r w:rsidR="00590B02">
        <w:t xml:space="preserve">. </w:t>
      </w:r>
    </w:p>
    <w:p w14:paraId="7DD1DB41" w14:textId="711EB5A0" w:rsidR="000F170C" w:rsidRDefault="00A23814" w:rsidP="00546F70">
      <w:pPr>
        <w:spacing w:after="120"/>
      </w:pPr>
      <w:r>
        <w:t xml:space="preserve">Despite some specific aspects to address, overall the standard of communication between ARPANSA, its licence holders and the </w:t>
      </w:r>
      <w:r w:rsidR="000F170C">
        <w:t xml:space="preserve">wider </w:t>
      </w:r>
      <w:r>
        <w:t>stakeholder</w:t>
      </w:r>
      <w:r w:rsidR="000F170C">
        <w:t xml:space="preserve"> community was excellent. </w:t>
      </w:r>
      <w:r w:rsidR="0012070D">
        <w:t>ARPANSA is seen as approachable and has systems in place to consult on changes that may affect licence holder operations. A range of information sharing meetings are held, predominately with large licence holders</w:t>
      </w:r>
      <w:r w:rsidR="00CF2775">
        <w:t>,</w:t>
      </w:r>
      <w:r w:rsidR="0012070D">
        <w:t xml:space="preserve"> and the annual licence holder forum was perceived as valuable to the entire range of licence holders.</w:t>
      </w:r>
      <w:r w:rsidR="000F170C">
        <w:t xml:space="preserve"> </w:t>
      </w:r>
    </w:p>
    <w:p w14:paraId="36D3EE9A" w14:textId="218057F4" w:rsidR="000F170C" w:rsidRDefault="000F170C" w:rsidP="00546F70">
      <w:pPr>
        <w:spacing w:after="120"/>
      </w:pPr>
      <w:r>
        <w:t xml:space="preserve">Licence holders reported high satisfaction levels for the inspection processes and appreciated the written guidance and </w:t>
      </w:r>
      <w:r>
        <w:lastRenderedPageBreak/>
        <w:t xml:space="preserve">information available to them. </w:t>
      </w:r>
      <w:r w:rsidR="004F29FC">
        <w:t>The improved structure and planning of inspections was driving improved consistency in the delivery of this service</w:t>
      </w:r>
      <w:r w:rsidR="0012070D">
        <w:t xml:space="preserve"> that is </w:t>
      </w:r>
      <w:r w:rsidR="008C43DD">
        <w:t>aligned with</w:t>
      </w:r>
      <w:r w:rsidR="0012070D">
        <w:t xml:space="preserve"> risk</w:t>
      </w:r>
      <w:r w:rsidR="004F29FC">
        <w:t xml:space="preserve">. </w:t>
      </w:r>
      <w:r w:rsidR="0012070D">
        <w:t>The use of ‘complex site inspections’ w</w:t>
      </w:r>
      <w:r w:rsidR="008C43DD">
        <w:t>as</w:t>
      </w:r>
      <w:r w:rsidR="0012070D">
        <w:t xml:space="preserve"> welcome</w:t>
      </w:r>
      <w:r w:rsidR="0057438F">
        <w:t>d as being a</w:t>
      </w:r>
      <w:r w:rsidR="0012070D">
        <w:t xml:space="preserve"> more co-ordinated and efficient use ARPANSA and licence holder resources</w:t>
      </w:r>
      <w:r w:rsidR="0057438F">
        <w:t xml:space="preserve"> for locations with multiple business units.</w:t>
      </w:r>
      <w:r w:rsidR="0012070D">
        <w:t xml:space="preserve"> The ‘no-surprises’ approach to inspection is appreciated as is </w:t>
      </w:r>
      <w:r w:rsidR="004F29FC">
        <w:t>the opportunity to provide feedback, including face to face, during the inspection exit meeting. Inspectors were reported as professional, helpful and well regarded. Licence holders often saw inspections as an opportunity to identify and bring about improvements rather than just a regulatory com</w:t>
      </w:r>
      <w:r w:rsidR="00CF2775">
        <w:t>pliance assessment</w:t>
      </w:r>
      <w:r w:rsidR="007E7F78">
        <w:t>.</w:t>
      </w:r>
    </w:p>
    <w:p w14:paraId="7455590D" w14:textId="33D8182A" w:rsidR="00A23814" w:rsidRDefault="000F170C" w:rsidP="00546F70">
      <w:pPr>
        <w:spacing w:after="120"/>
      </w:pPr>
      <w:r>
        <w:t xml:space="preserve">A reduction in red-tape </w:t>
      </w:r>
      <w:r w:rsidR="00CF2775">
        <w:t xml:space="preserve">was perceived </w:t>
      </w:r>
      <w:r>
        <w:t>from the clearer approach to ARPANSA’s use of international best practice</w:t>
      </w:r>
      <w:r w:rsidR="00CF2775">
        <w:t xml:space="preserve"> and improvements</w:t>
      </w:r>
      <w:r>
        <w:t xml:space="preserve"> </w:t>
      </w:r>
      <w:r w:rsidR="00DC7053">
        <w:t>in</w:t>
      </w:r>
      <w:r w:rsidR="00CF2775">
        <w:t xml:space="preserve"> licen</w:t>
      </w:r>
      <w:r w:rsidR="005152DD">
        <w:t>s</w:t>
      </w:r>
      <w:r w:rsidR="00CF2775">
        <w:t>ing documents and regulatory guidance.</w:t>
      </w:r>
    </w:p>
    <w:p w14:paraId="5AB0B2DD" w14:textId="3E79087C" w:rsidR="006722B1" w:rsidRPr="00FF5E57" w:rsidRDefault="00CF2775" w:rsidP="00546F70">
      <w:pPr>
        <w:spacing w:after="120"/>
      </w:pPr>
      <w:r>
        <w:lastRenderedPageBreak/>
        <w:t>Internally, inspectors reported that they were well supported in doing their job and had good opportunities for personal development.  However</w:t>
      </w:r>
      <w:r w:rsidR="00617A0C">
        <w:t>,</w:t>
      </w:r>
      <w:r>
        <w:t xml:space="preserve"> this was countered somewhat by some difficulties with high workload and some ambiguity regarding internal accountabilities. </w:t>
      </w:r>
    </w:p>
    <w:p w14:paraId="6063BBCB" w14:textId="23072A73" w:rsidR="00546F70" w:rsidRDefault="00546F70" w:rsidP="00546F70">
      <w:pPr>
        <w:pStyle w:val="Heading2"/>
        <w:keepLines w:val="0"/>
        <w:spacing w:before="120" w:after="120" w:line="240" w:lineRule="auto"/>
        <w:ind w:left="578" w:hanging="578"/>
        <w:jc w:val="both"/>
        <w:rPr>
          <w:lang w:eastAsia="en-AU"/>
        </w:rPr>
      </w:pPr>
      <w:bookmarkStart w:id="59" w:name="_Toc470173180"/>
      <w:bookmarkStart w:id="60" w:name="_Toc492467958"/>
      <w:r>
        <w:rPr>
          <w:lang w:eastAsia="en-AU"/>
        </w:rPr>
        <w:t xml:space="preserve">Overall </w:t>
      </w:r>
      <w:r w:rsidRPr="00A9092B">
        <w:rPr>
          <w:lang w:eastAsia="en-AU"/>
        </w:rPr>
        <w:t>self</w:t>
      </w:r>
      <w:r>
        <w:rPr>
          <w:lang w:eastAsia="en-AU"/>
        </w:rPr>
        <w:t>-</w:t>
      </w:r>
      <w:r w:rsidRPr="00A9092B">
        <w:rPr>
          <w:lang w:eastAsia="en-AU"/>
        </w:rPr>
        <w:t>assessed rating of performance – 201</w:t>
      </w:r>
      <w:r w:rsidR="00265A1B">
        <w:rPr>
          <w:lang w:eastAsia="en-AU"/>
        </w:rPr>
        <w:t>6</w:t>
      </w:r>
      <w:r w:rsidRPr="00A9092B">
        <w:rPr>
          <w:lang w:eastAsia="en-AU"/>
        </w:rPr>
        <w:t>-1</w:t>
      </w:r>
      <w:bookmarkEnd w:id="59"/>
      <w:r w:rsidR="00265A1B">
        <w:rPr>
          <w:lang w:eastAsia="en-AU"/>
        </w:rPr>
        <w:t>7</w:t>
      </w:r>
      <w:bookmarkEnd w:id="60"/>
    </w:p>
    <w:p w14:paraId="6D28394E" w14:textId="4AC5F4E0" w:rsidR="00546F70" w:rsidRPr="00A9092B" w:rsidRDefault="000D54D2" w:rsidP="00546F70">
      <w:pPr>
        <w:spacing w:after="120"/>
        <w:rPr>
          <w:rFonts w:cs="Times New Roman"/>
          <w:b/>
          <w:bCs/>
          <w:szCs w:val="24"/>
          <w:lang w:eastAsia="en-AU"/>
        </w:rPr>
      </w:pPr>
      <w:r>
        <w:rPr>
          <w:rFonts w:cs="Arial"/>
          <w:szCs w:val="24"/>
        </w:rPr>
        <w:t xml:space="preserve">The performance rating of four individual KPIs is now rated as very good compared with two in the previous year’s self-assessment.  The other two KPIs are maintained at a good rating. </w:t>
      </w:r>
      <w:r w:rsidR="00546F70" w:rsidRPr="00A9092B">
        <w:rPr>
          <w:rFonts w:cs="Arial"/>
          <w:szCs w:val="24"/>
        </w:rPr>
        <w:t xml:space="preserve">This review assessed </w:t>
      </w:r>
      <w:r w:rsidR="00546F70">
        <w:rPr>
          <w:rFonts w:cs="Arial"/>
          <w:szCs w:val="24"/>
        </w:rPr>
        <w:t xml:space="preserve">overall </w:t>
      </w:r>
      <w:r w:rsidR="00546F70" w:rsidRPr="00A9092B">
        <w:rPr>
          <w:rFonts w:cs="Arial"/>
          <w:szCs w:val="24"/>
        </w:rPr>
        <w:t xml:space="preserve">performance </w:t>
      </w:r>
      <w:r w:rsidR="00546F70">
        <w:rPr>
          <w:rFonts w:cs="Arial"/>
          <w:szCs w:val="24"/>
        </w:rPr>
        <w:t xml:space="preserve">against agreed metrics as </w:t>
      </w:r>
      <w:r w:rsidR="00F15752">
        <w:rPr>
          <w:rFonts w:cs="Arial"/>
          <w:szCs w:val="24"/>
        </w:rPr>
        <w:t xml:space="preserve">very </w:t>
      </w:r>
      <w:r w:rsidR="00546F70">
        <w:rPr>
          <w:rFonts w:cs="Arial"/>
          <w:szCs w:val="24"/>
        </w:rPr>
        <w:t>good</w:t>
      </w:r>
      <w:r w:rsidR="00A23814">
        <w:rPr>
          <w:rFonts w:cs="Arial"/>
          <w:szCs w:val="24"/>
        </w:rPr>
        <w:t xml:space="preserve"> compared with good in the </w:t>
      </w:r>
      <w:r w:rsidR="00F15752">
        <w:rPr>
          <w:rFonts w:cs="Arial"/>
          <w:szCs w:val="24"/>
        </w:rPr>
        <w:t>previous self-assessment. P</w:t>
      </w:r>
      <w:r w:rsidR="00546F70">
        <w:rPr>
          <w:rFonts w:cs="Arial"/>
          <w:szCs w:val="24"/>
        </w:rPr>
        <w:t>roblems associated with the PIs</w:t>
      </w:r>
      <w:r w:rsidR="009F3703">
        <w:rPr>
          <w:rFonts w:cs="Arial"/>
          <w:szCs w:val="24"/>
        </w:rPr>
        <w:t>,</w:t>
      </w:r>
      <w:r w:rsidR="00546F70">
        <w:rPr>
          <w:rFonts w:cs="Arial"/>
          <w:szCs w:val="24"/>
        </w:rPr>
        <w:t xml:space="preserve"> and </w:t>
      </w:r>
      <w:r w:rsidR="009F3703">
        <w:rPr>
          <w:rFonts w:cs="Arial"/>
          <w:szCs w:val="24"/>
        </w:rPr>
        <w:t>their</w:t>
      </w:r>
      <w:r w:rsidR="00546F70">
        <w:rPr>
          <w:rFonts w:cs="Arial"/>
          <w:szCs w:val="24"/>
        </w:rPr>
        <w:t xml:space="preserve"> alignment to </w:t>
      </w:r>
      <w:r w:rsidR="009F3703">
        <w:rPr>
          <w:rFonts w:cs="Arial"/>
          <w:szCs w:val="24"/>
        </w:rPr>
        <w:t xml:space="preserve">RPF </w:t>
      </w:r>
      <w:r w:rsidR="00546F70">
        <w:rPr>
          <w:rFonts w:cs="Arial"/>
          <w:szCs w:val="24"/>
        </w:rPr>
        <w:t>KPIs</w:t>
      </w:r>
      <w:r w:rsidR="009F3703">
        <w:rPr>
          <w:rFonts w:cs="Arial"/>
          <w:szCs w:val="24"/>
        </w:rPr>
        <w:t>,</w:t>
      </w:r>
      <w:r w:rsidR="00546F70">
        <w:rPr>
          <w:rFonts w:cs="Arial"/>
          <w:szCs w:val="24"/>
        </w:rPr>
        <w:t xml:space="preserve"> undervalues ARPANSA’s regulatory performance </w:t>
      </w:r>
      <w:r w:rsidR="00F15752">
        <w:rPr>
          <w:rFonts w:cs="Arial"/>
          <w:szCs w:val="24"/>
        </w:rPr>
        <w:t xml:space="preserve">without </w:t>
      </w:r>
      <w:r>
        <w:rPr>
          <w:rFonts w:cs="Arial"/>
          <w:szCs w:val="24"/>
        </w:rPr>
        <w:t xml:space="preserve">the use of </w:t>
      </w:r>
      <w:r w:rsidR="00F15752">
        <w:rPr>
          <w:rFonts w:cs="Arial"/>
          <w:szCs w:val="24"/>
        </w:rPr>
        <w:t xml:space="preserve">additional evidence. </w:t>
      </w:r>
      <w:r w:rsidR="00DC7053">
        <w:rPr>
          <w:rFonts w:cs="Arial"/>
          <w:szCs w:val="24"/>
        </w:rPr>
        <w:t>T</w:t>
      </w:r>
      <w:r w:rsidR="008C43DD">
        <w:rPr>
          <w:rFonts w:cs="Arial"/>
          <w:szCs w:val="24"/>
        </w:rPr>
        <w:t xml:space="preserve">he recent </w:t>
      </w:r>
      <w:r w:rsidR="00F15752">
        <w:rPr>
          <w:rFonts w:cs="Arial"/>
          <w:szCs w:val="24"/>
        </w:rPr>
        <w:t>approved amendments to the suite of PIs used by ARPANSA</w:t>
      </w:r>
      <w:r w:rsidR="00DC7053">
        <w:rPr>
          <w:rFonts w:cs="Arial"/>
          <w:szCs w:val="24"/>
        </w:rPr>
        <w:t xml:space="preserve"> will provide a more accurate appraisal of ARPANSA performance for the 2017-18 reporting period</w:t>
      </w:r>
      <w:r w:rsidR="00F15752">
        <w:rPr>
          <w:rFonts w:cs="Arial"/>
          <w:szCs w:val="24"/>
        </w:rPr>
        <w:t>.</w:t>
      </w:r>
    </w:p>
    <w:tbl>
      <w:tblPr>
        <w:tblStyle w:val="TableGrid"/>
        <w:tblW w:w="9781" w:type="dxa"/>
        <w:tblLook w:val="04A0" w:firstRow="1" w:lastRow="0" w:firstColumn="1" w:lastColumn="0" w:noHBand="0" w:noVBand="1"/>
        <w:tblDescription w:val="Chapter 3.2 table contains a list of performance ratings against all Key Performance Indicators (KPIs) of the 2015-16 Regulator Performance Framework. "/>
      </w:tblPr>
      <w:tblGrid>
        <w:gridCol w:w="1736"/>
        <w:gridCol w:w="2942"/>
        <w:gridCol w:w="1701"/>
        <w:gridCol w:w="1701"/>
        <w:gridCol w:w="1701"/>
      </w:tblGrid>
      <w:tr w:rsidR="00546F70" w:rsidRPr="00951ED1" w14:paraId="119C7E3D" w14:textId="77777777" w:rsidTr="003C23B9">
        <w:trPr>
          <w:cantSplit/>
          <w:tblHeader/>
        </w:trPr>
        <w:tc>
          <w:tcPr>
            <w:tcW w:w="1736" w:type="dxa"/>
          </w:tcPr>
          <w:p w14:paraId="3B2B4804"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lastRenderedPageBreak/>
              <w:t>Excellent</w:t>
            </w:r>
          </w:p>
          <w:p w14:paraId="0676A3D6" w14:textId="77777777" w:rsidR="00546F70" w:rsidRPr="00951ED1" w:rsidRDefault="00546F70" w:rsidP="00546F70">
            <w:pPr>
              <w:autoSpaceDE w:val="0"/>
              <w:autoSpaceDN w:val="0"/>
              <w:adjustRightInd w:val="0"/>
              <w:spacing w:before="120" w:after="120"/>
              <w:jc w:val="center"/>
              <w:rPr>
                <w:rFonts w:cs="Times New Roman"/>
                <w:bCs/>
                <w:sz w:val="20"/>
                <w:szCs w:val="20"/>
                <w:lang w:eastAsia="en-AU"/>
              </w:rPr>
            </w:pPr>
            <w:r w:rsidRPr="00951ED1">
              <w:rPr>
                <w:rFonts w:cs="Times New Roman"/>
                <w:bCs/>
                <w:sz w:val="20"/>
                <w:szCs w:val="20"/>
                <w:lang w:eastAsia="en-AU"/>
              </w:rPr>
              <w:t>Strong performance against all the measures under the KPI</w:t>
            </w:r>
          </w:p>
        </w:tc>
        <w:tc>
          <w:tcPr>
            <w:tcW w:w="2942" w:type="dxa"/>
            <w:shd w:val="clear" w:color="auto" w:fill="9CE39C" w:themeFill="accent2" w:themeFillTint="66"/>
          </w:tcPr>
          <w:p w14:paraId="10780F2E"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t>Very Good</w:t>
            </w:r>
          </w:p>
          <w:p w14:paraId="68EB014B" w14:textId="77777777" w:rsidR="00546F70" w:rsidRPr="00951ED1" w:rsidRDefault="00546F70" w:rsidP="00546F70">
            <w:pPr>
              <w:autoSpaceDE w:val="0"/>
              <w:autoSpaceDN w:val="0"/>
              <w:adjustRightInd w:val="0"/>
              <w:spacing w:before="120" w:after="120"/>
              <w:jc w:val="center"/>
              <w:rPr>
                <w:rFonts w:cs="Times New Roman"/>
                <w:bCs/>
                <w:sz w:val="20"/>
                <w:szCs w:val="20"/>
                <w:lang w:eastAsia="en-AU"/>
              </w:rPr>
            </w:pPr>
            <w:r w:rsidRPr="00951ED1">
              <w:rPr>
                <w:rFonts w:cs="Times New Roman"/>
                <w:bCs/>
                <w:sz w:val="20"/>
                <w:szCs w:val="20"/>
                <w:lang w:eastAsia="en-AU"/>
              </w:rPr>
              <w:t>Strong performance against majority of the measures under the KPI and no evidence of negative/poor performance against any measure</w:t>
            </w:r>
          </w:p>
        </w:tc>
        <w:tc>
          <w:tcPr>
            <w:tcW w:w="1701" w:type="dxa"/>
            <w:shd w:val="clear" w:color="auto" w:fill="FFFFFF" w:themeFill="background1"/>
          </w:tcPr>
          <w:p w14:paraId="1A9D932F"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t>Good</w:t>
            </w:r>
          </w:p>
          <w:p w14:paraId="2A242BFF" w14:textId="77777777" w:rsidR="00546F70" w:rsidRPr="00951ED1" w:rsidRDefault="00546F70" w:rsidP="00546F70">
            <w:pPr>
              <w:autoSpaceDE w:val="0"/>
              <w:autoSpaceDN w:val="0"/>
              <w:adjustRightInd w:val="0"/>
              <w:spacing w:before="120" w:after="120"/>
              <w:jc w:val="center"/>
              <w:rPr>
                <w:rFonts w:cs="Times New Roman"/>
                <w:b/>
                <w:bCs/>
                <w:sz w:val="20"/>
                <w:szCs w:val="20"/>
                <w:lang w:eastAsia="en-AU"/>
              </w:rPr>
            </w:pPr>
            <w:r w:rsidRPr="00951ED1">
              <w:rPr>
                <w:rFonts w:cs="Times New Roman"/>
                <w:bCs/>
                <w:sz w:val="20"/>
                <w:szCs w:val="20"/>
                <w:lang w:eastAsia="en-AU"/>
              </w:rPr>
              <w:t>Average performance against the measures under the KPI</w:t>
            </w:r>
          </w:p>
        </w:tc>
        <w:tc>
          <w:tcPr>
            <w:tcW w:w="1701" w:type="dxa"/>
          </w:tcPr>
          <w:p w14:paraId="48B898C6"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t>Fair</w:t>
            </w:r>
          </w:p>
          <w:p w14:paraId="6CC9B42D" w14:textId="77777777" w:rsidR="00546F70" w:rsidRPr="00951ED1" w:rsidRDefault="00546F70" w:rsidP="00546F70">
            <w:pPr>
              <w:autoSpaceDE w:val="0"/>
              <w:autoSpaceDN w:val="0"/>
              <w:adjustRightInd w:val="0"/>
              <w:spacing w:before="120" w:after="120"/>
              <w:jc w:val="center"/>
              <w:rPr>
                <w:rFonts w:cs="Times New Roman"/>
                <w:bCs/>
                <w:sz w:val="20"/>
                <w:szCs w:val="20"/>
                <w:lang w:eastAsia="en-AU"/>
              </w:rPr>
            </w:pPr>
            <w:r w:rsidRPr="00951ED1">
              <w:rPr>
                <w:rFonts w:cs="Times New Roman"/>
                <w:bCs/>
                <w:sz w:val="20"/>
                <w:szCs w:val="20"/>
                <w:lang w:eastAsia="en-AU"/>
              </w:rPr>
              <w:t>Poor performance against some measures under the KPI</w:t>
            </w:r>
          </w:p>
        </w:tc>
        <w:tc>
          <w:tcPr>
            <w:tcW w:w="1701" w:type="dxa"/>
          </w:tcPr>
          <w:p w14:paraId="111210CC" w14:textId="77777777" w:rsidR="00546F70" w:rsidRPr="006D47B2" w:rsidRDefault="00546F70" w:rsidP="00546F70">
            <w:pPr>
              <w:autoSpaceDE w:val="0"/>
              <w:autoSpaceDN w:val="0"/>
              <w:adjustRightInd w:val="0"/>
              <w:spacing w:before="120" w:after="120"/>
              <w:jc w:val="center"/>
              <w:rPr>
                <w:rStyle w:val="Strong"/>
              </w:rPr>
            </w:pPr>
            <w:r w:rsidRPr="006D47B2">
              <w:rPr>
                <w:rStyle w:val="Strong"/>
              </w:rPr>
              <w:t>Poor</w:t>
            </w:r>
          </w:p>
          <w:p w14:paraId="7D1B0BB1" w14:textId="77777777" w:rsidR="00546F70" w:rsidRPr="00951ED1" w:rsidRDefault="00546F70" w:rsidP="00546F70">
            <w:pPr>
              <w:autoSpaceDE w:val="0"/>
              <w:autoSpaceDN w:val="0"/>
              <w:adjustRightInd w:val="0"/>
              <w:spacing w:before="120" w:after="120"/>
              <w:jc w:val="center"/>
              <w:rPr>
                <w:rFonts w:cs="Times New Roman"/>
                <w:b/>
                <w:bCs/>
                <w:sz w:val="20"/>
                <w:szCs w:val="20"/>
                <w:lang w:eastAsia="en-AU"/>
              </w:rPr>
            </w:pPr>
            <w:r w:rsidRPr="00951ED1">
              <w:rPr>
                <w:rFonts w:cs="Times New Roman"/>
                <w:bCs/>
                <w:sz w:val="20"/>
                <w:szCs w:val="20"/>
                <w:lang w:eastAsia="en-AU"/>
              </w:rPr>
              <w:t>Poor performance against most of the measures under the KPI</w:t>
            </w:r>
          </w:p>
        </w:tc>
      </w:tr>
    </w:tbl>
    <w:p w14:paraId="3BA3A43B" w14:textId="7C5A3767" w:rsidR="00546F70" w:rsidRPr="00A9092B" w:rsidRDefault="00546F70" w:rsidP="00546F70">
      <w:pPr>
        <w:pStyle w:val="Heading2"/>
        <w:keepLines w:val="0"/>
        <w:spacing w:before="200" w:after="120" w:line="240" w:lineRule="auto"/>
        <w:ind w:left="578" w:hanging="578"/>
        <w:jc w:val="both"/>
        <w:rPr>
          <w:lang w:eastAsia="en-AU"/>
        </w:rPr>
      </w:pPr>
      <w:bookmarkStart w:id="61" w:name="_Toc470173181"/>
      <w:bookmarkStart w:id="62" w:name="_Toc492467959"/>
      <w:r w:rsidRPr="00A9092B">
        <w:rPr>
          <w:lang w:eastAsia="en-AU"/>
        </w:rPr>
        <w:t>Performance improvement actions identified</w:t>
      </w:r>
      <w:bookmarkEnd w:id="61"/>
      <w:bookmarkEnd w:id="62"/>
    </w:p>
    <w:p w14:paraId="3E5373F7" w14:textId="0DFB70E2" w:rsidR="006722B1" w:rsidRDefault="006722B1" w:rsidP="00546F70">
      <w:pPr>
        <w:spacing w:after="120"/>
      </w:pPr>
      <w:r>
        <w:t xml:space="preserve">The assessment team identified the following broad areas for improvement.  These </w:t>
      </w:r>
      <w:r w:rsidR="008C43DD">
        <w:t xml:space="preserve">should </w:t>
      </w:r>
      <w:r>
        <w:t>be read in conjunction with the actions for improving performance previously identified throughout Section 2 of this report.</w:t>
      </w:r>
    </w:p>
    <w:p w14:paraId="5B50C3B7" w14:textId="5715CCE8" w:rsidR="006722B1" w:rsidRPr="00C16B84" w:rsidRDefault="00C16B84" w:rsidP="00C16B84">
      <w:pPr>
        <w:spacing w:after="120"/>
        <w:ind w:left="360" w:hanging="360"/>
        <w:rPr>
          <w:rFonts w:eastAsiaTheme="majorEastAsia" w:cstheme="majorBidi"/>
          <w:b/>
          <w:bCs/>
          <w:i/>
          <w:color w:val="4E1A74"/>
          <w:sz w:val="24"/>
          <w:lang w:eastAsia="en-AU"/>
        </w:rPr>
      </w:pPr>
      <w:r>
        <w:rPr>
          <w:rFonts w:cstheme="minorHAnsi"/>
          <w:lang w:eastAsia="en-AU"/>
        </w:rPr>
        <w:t>●</w:t>
      </w:r>
      <w:r>
        <w:rPr>
          <w:lang w:eastAsia="en-AU"/>
        </w:rPr>
        <w:t xml:space="preserve"> </w:t>
      </w:r>
      <w:r w:rsidR="006722B1" w:rsidRPr="00C16B84">
        <w:rPr>
          <w:rFonts w:eastAsiaTheme="majorEastAsia" w:cstheme="majorBidi"/>
          <w:b/>
          <w:bCs/>
          <w:i/>
          <w:color w:val="4E1A74"/>
          <w:sz w:val="24"/>
          <w:lang w:eastAsia="en-AU"/>
        </w:rPr>
        <w:t>Feedback Systems</w:t>
      </w:r>
    </w:p>
    <w:p w14:paraId="0FE03C82" w14:textId="3B4A8458" w:rsidR="00546F70" w:rsidRDefault="000D6329" w:rsidP="00546F70">
      <w:pPr>
        <w:spacing w:after="120"/>
      </w:pPr>
      <w:r>
        <w:t>F</w:t>
      </w:r>
      <w:r w:rsidR="00A518B4">
        <w:t>eedback mechanisms are sometimes limited in their reach and are not always effective in promoting a uniform service or maximising learning and improvement.  For example</w:t>
      </w:r>
      <w:r w:rsidR="00DD1AC7">
        <w:t>,</w:t>
      </w:r>
      <w:r w:rsidR="00A518B4">
        <w:t xml:space="preserve"> there is no mechanism to capture conversations or feedback delivered directly to inspectors to </w:t>
      </w:r>
      <w:r w:rsidR="00F91E27">
        <w:t xml:space="preserve">be shared with </w:t>
      </w:r>
      <w:r w:rsidR="00A518B4">
        <w:t xml:space="preserve">the </w:t>
      </w:r>
      <w:r w:rsidR="00D75769">
        <w:t xml:space="preserve">branch, through the </w:t>
      </w:r>
      <w:r w:rsidR="00A518B4">
        <w:t>Continuous Improvement Section</w:t>
      </w:r>
      <w:r w:rsidR="00D75769">
        <w:t xml:space="preserve"> of other formal systems</w:t>
      </w:r>
      <w:r w:rsidR="00A518B4">
        <w:t xml:space="preserve">. </w:t>
      </w:r>
      <w:r w:rsidR="004D7787">
        <w:t>The effectiveness of i</w:t>
      </w:r>
      <w:r w:rsidR="00A518B4">
        <w:t xml:space="preserve">nternal communication </w:t>
      </w:r>
      <w:r w:rsidR="00A518B4">
        <w:lastRenderedPageBreak/>
        <w:t>and transfer of information, particularly in regard to inspection findings, may also be improved through more regular</w:t>
      </w:r>
      <w:r w:rsidR="004D7787">
        <w:t xml:space="preserve"> meetings of the whole inspection team</w:t>
      </w:r>
      <w:r w:rsidR="00DD1AC7">
        <w:t>’s</w:t>
      </w:r>
      <w:r w:rsidR="008C43DD">
        <w:t xml:space="preserve"> cohort</w:t>
      </w:r>
      <w:r w:rsidR="004D7787">
        <w:t>.</w:t>
      </w:r>
    </w:p>
    <w:p w14:paraId="3418C6B7" w14:textId="77777777" w:rsidR="00E817FE" w:rsidRDefault="00E817FE" w:rsidP="00546F70">
      <w:pPr>
        <w:spacing w:after="120"/>
      </w:pPr>
    </w:p>
    <w:p w14:paraId="2B90F509" w14:textId="429FD501" w:rsidR="004D7787" w:rsidRPr="004D7787" w:rsidRDefault="004D7787" w:rsidP="00546F70">
      <w:pPr>
        <w:spacing w:after="120"/>
        <w:rPr>
          <w:rFonts w:eastAsiaTheme="majorEastAsia" w:cstheme="majorBidi"/>
          <w:b/>
          <w:bCs/>
          <w:i/>
          <w:color w:val="4E1A74"/>
          <w:sz w:val="24"/>
          <w:lang w:eastAsia="en-AU"/>
        </w:rPr>
      </w:pPr>
      <w:r w:rsidRPr="004D7787">
        <w:rPr>
          <w:rFonts w:eastAsiaTheme="majorEastAsia" w:cstheme="majorBidi"/>
          <w:b/>
          <w:bCs/>
          <w:i/>
          <w:color w:val="4E1A74"/>
          <w:sz w:val="24"/>
          <w:lang w:eastAsia="en-AU"/>
        </w:rPr>
        <w:t>● Consistency</w:t>
      </w:r>
    </w:p>
    <w:p w14:paraId="37D674E2" w14:textId="5FFCE21D" w:rsidR="00C67FF2" w:rsidRDefault="00C67FF2" w:rsidP="007E66FA">
      <w:pPr>
        <w:spacing w:after="120"/>
      </w:pPr>
      <w:r>
        <w:t xml:space="preserve">There is a fundamental question regarding the equivalency of risk between source and facility licences, each of which </w:t>
      </w:r>
      <w:r w:rsidR="001E7CA3">
        <w:t xml:space="preserve">is </w:t>
      </w:r>
      <w:r>
        <w:t xml:space="preserve">prioritised under different systems.  This would benefit from </w:t>
      </w:r>
      <w:r w:rsidR="00F91E27">
        <w:t xml:space="preserve">a detailed review </w:t>
      </w:r>
      <w:r>
        <w:t xml:space="preserve">to establish a </w:t>
      </w:r>
      <w:r w:rsidR="00A91F78">
        <w:t xml:space="preserve">clearer </w:t>
      </w:r>
      <w:r>
        <w:t xml:space="preserve">relationship between the two areas </w:t>
      </w:r>
      <w:r w:rsidR="00C209C2">
        <w:t>that</w:t>
      </w:r>
      <w:r>
        <w:t xml:space="preserve"> in turn can be used to focus appropriate resources</w:t>
      </w:r>
    </w:p>
    <w:p w14:paraId="2F18E32B" w14:textId="1EA0EC98" w:rsidR="00C67FF2" w:rsidRDefault="004D7787" w:rsidP="007E66FA">
      <w:pPr>
        <w:spacing w:after="120"/>
      </w:pPr>
      <w:r>
        <w:t>The approach to inspections is on the path to consistency but there is further room for improvement</w:t>
      </w:r>
      <w:r w:rsidR="007E66FA">
        <w:t xml:space="preserve">. The PO&amp;C are </w:t>
      </w:r>
      <w:r w:rsidR="008C43DD">
        <w:t xml:space="preserve">consistently and extensively </w:t>
      </w:r>
      <w:r w:rsidR="007E66FA">
        <w:t xml:space="preserve">used for facilities but their use is </w:t>
      </w:r>
      <w:r w:rsidR="008C43DD">
        <w:t xml:space="preserve">not always </w:t>
      </w:r>
      <w:r w:rsidR="007E66FA">
        <w:t>apparent to licence holders during source inspections. The concept of PO&amp;Cs has been successful</w:t>
      </w:r>
      <w:r w:rsidR="00617A0C">
        <w:t>,</w:t>
      </w:r>
      <w:r w:rsidR="007E66FA">
        <w:t xml:space="preserve"> </w:t>
      </w:r>
      <w:r w:rsidR="00F91E27">
        <w:t>however</w:t>
      </w:r>
      <w:r w:rsidR="007E66FA">
        <w:t xml:space="preserve"> while </w:t>
      </w:r>
      <w:r w:rsidR="007E66FA">
        <w:lastRenderedPageBreak/>
        <w:t xml:space="preserve">they are important for all inspections, the applicability of the current set for low hazard sources should be reviewed. </w:t>
      </w:r>
    </w:p>
    <w:p w14:paraId="709C130F" w14:textId="2C963B7D" w:rsidR="006722B1" w:rsidRDefault="007E66FA" w:rsidP="007E66FA">
      <w:pPr>
        <w:spacing w:after="120"/>
      </w:pPr>
      <w:r>
        <w:t xml:space="preserve">Some variation was also reported in the </w:t>
      </w:r>
      <w:r w:rsidR="00DD1DD9">
        <w:t xml:space="preserve">depth and thoroughness of inspections. While, some variation is accepted due to different levels of licence holder performance, the </w:t>
      </w:r>
      <w:r w:rsidR="00743661">
        <w:t xml:space="preserve">rationale for </w:t>
      </w:r>
      <w:r w:rsidR="00DD1DD9">
        <w:t xml:space="preserve">degree of variation was not always clear. This had an impact on the </w:t>
      </w:r>
      <w:r w:rsidR="00A91F78">
        <w:t xml:space="preserve">licence holder expectations, and their </w:t>
      </w:r>
      <w:r w:rsidR="00DD1DD9">
        <w:t xml:space="preserve">efficient allocation of resources </w:t>
      </w:r>
      <w:r w:rsidR="00A91F78">
        <w:t xml:space="preserve">for </w:t>
      </w:r>
      <w:r w:rsidR="00DD1DD9">
        <w:t>inspections.</w:t>
      </w:r>
    </w:p>
    <w:p w14:paraId="36529BFA" w14:textId="5272AE17" w:rsidR="006722B1" w:rsidRPr="002C12F2" w:rsidRDefault="002C12F2" w:rsidP="00546F70">
      <w:pPr>
        <w:spacing w:after="120"/>
        <w:rPr>
          <w:rFonts w:eastAsiaTheme="majorEastAsia" w:cstheme="majorBidi"/>
          <w:b/>
          <w:bCs/>
          <w:i/>
          <w:color w:val="4E1A74"/>
          <w:sz w:val="24"/>
          <w:lang w:eastAsia="en-AU"/>
        </w:rPr>
      </w:pPr>
      <w:r w:rsidRPr="002C12F2">
        <w:rPr>
          <w:rFonts w:eastAsiaTheme="majorEastAsia" w:cstheme="majorBidi"/>
          <w:b/>
          <w:bCs/>
          <w:i/>
          <w:color w:val="4E1A74"/>
          <w:sz w:val="24"/>
          <w:lang w:eastAsia="en-AU"/>
        </w:rPr>
        <w:t>● Information Management</w:t>
      </w:r>
    </w:p>
    <w:p w14:paraId="190C22F7" w14:textId="2856FE18" w:rsidR="002C12F2" w:rsidRDefault="00C11C9F" w:rsidP="00546F70">
      <w:pPr>
        <w:spacing w:after="120"/>
      </w:pPr>
      <w:r>
        <w:t>The RSB had a range of information management needs that are currently being met through a collage of</w:t>
      </w:r>
      <w:r w:rsidR="00F91E27">
        <w:t>, at times,</w:t>
      </w:r>
      <w:r>
        <w:t xml:space="preserve"> overlapping tools. Over the past year some improvements have been made to knit some tools together but this can best be described as</w:t>
      </w:r>
      <w:r w:rsidR="001E7CA3">
        <w:t xml:space="preserve"> a</w:t>
      </w:r>
      <w:r>
        <w:t xml:space="preserve"> </w:t>
      </w:r>
      <w:r w:rsidR="003A64C1" w:rsidRPr="003A64C1">
        <w:t>B</w:t>
      </w:r>
      <w:r>
        <w:t>and-</w:t>
      </w:r>
      <w:r w:rsidR="003A64C1">
        <w:t>A</w:t>
      </w:r>
      <w:r>
        <w:t xml:space="preserve">id approach. ARPANSA and its licence holders </w:t>
      </w:r>
      <w:r w:rsidR="00743661">
        <w:t xml:space="preserve">are likely to benefit </w:t>
      </w:r>
      <w:r w:rsidR="00A54A6E">
        <w:t>from a</w:t>
      </w:r>
      <w:r w:rsidR="00AA6DB0">
        <w:t xml:space="preserve"> holistic review of its information management needs leading to an integrated and improved system that reduces duplication and ‘red-tape’.</w:t>
      </w:r>
    </w:p>
    <w:p w14:paraId="63F96F93" w14:textId="069FA655" w:rsidR="002C12F2" w:rsidRPr="002C12F2" w:rsidRDefault="007C0C76" w:rsidP="00546F70">
      <w:pPr>
        <w:spacing w:after="120"/>
        <w:rPr>
          <w:rFonts w:eastAsiaTheme="majorEastAsia" w:cstheme="majorBidi"/>
          <w:b/>
          <w:bCs/>
          <w:i/>
          <w:color w:val="4E1A74"/>
          <w:sz w:val="24"/>
          <w:lang w:eastAsia="en-AU"/>
        </w:rPr>
      </w:pPr>
      <w:r>
        <w:rPr>
          <w:rFonts w:eastAsiaTheme="majorEastAsia" w:cstheme="majorBidi"/>
          <w:b/>
          <w:bCs/>
          <w:i/>
          <w:color w:val="4E1A74"/>
          <w:sz w:val="24"/>
          <w:lang w:eastAsia="en-AU"/>
        </w:rPr>
        <w:lastRenderedPageBreak/>
        <w:t>● P</w:t>
      </w:r>
      <w:r w:rsidR="002C12F2" w:rsidRPr="002C12F2">
        <w:rPr>
          <w:rFonts w:eastAsiaTheme="majorEastAsia" w:cstheme="majorBidi"/>
          <w:b/>
          <w:bCs/>
          <w:i/>
          <w:color w:val="4E1A74"/>
          <w:sz w:val="24"/>
          <w:lang w:eastAsia="en-AU"/>
        </w:rPr>
        <w:t>lanning</w:t>
      </w:r>
    </w:p>
    <w:p w14:paraId="443A7601" w14:textId="5BEB3086" w:rsidR="006722B1" w:rsidRDefault="002C12F2" w:rsidP="00546F70">
      <w:pPr>
        <w:spacing w:after="120"/>
      </w:pPr>
      <w:r>
        <w:t xml:space="preserve">RSB </w:t>
      </w:r>
      <w:r w:rsidR="00501DA0">
        <w:t>was found to</w:t>
      </w:r>
      <w:r w:rsidR="00F91E27">
        <w:t xml:space="preserve"> work</w:t>
      </w:r>
      <w:r>
        <w:t xml:space="preserve"> in a demanding, service driven, environment where performance has been measured against a range of </w:t>
      </w:r>
      <w:r w:rsidR="00B96C2B">
        <w:t>quantitat</w:t>
      </w:r>
      <w:r w:rsidR="005152DD">
        <w:t>ive</w:t>
      </w:r>
      <w:r w:rsidR="00501DA0">
        <w:t xml:space="preserve"> measures, effectively setting priorities around direct regulatory work. </w:t>
      </w:r>
      <w:r w:rsidR="00F91E27">
        <w:t xml:space="preserve">A number of </w:t>
      </w:r>
      <w:r w:rsidR="00501DA0">
        <w:t xml:space="preserve">tasks are </w:t>
      </w:r>
      <w:r w:rsidR="00F91E27">
        <w:t xml:space="preserve">therefore </w:t>
      </w:r>
      <w:r w:rsidR="00501DA0">
        <w:t>not</w:t>
      </w:r>
      <w:r w:rsidR="00B96C2B">
        <w:t xml:space="preserve"> always undertaken on time as a consequence. A review of </w:t>
      </w:r>
      <w:r w:rsidR="008E0D4E">
        <w:t xml:space="preserve">tasks and how they are allocated </w:t>
      </w:r>
      <w:r w:rsidR="00B96C2B">
        <w:t>may be useful to assist in the setting of appropriate performance targets.  In addition, workloads were seen to be variable between staff with an especially high demand on those working in specialist areas</w:t>
      </w:r>
      <w:r w:rsidR="00C11C9F">
        <w:t xml:space="preserve"> or where there is a lack of redundancy of skills.  It is recommended that improved workforce planning including succession planning at a strategic level is undertaken. The assessment team noted that some projects have been initiated </w:t>
      </w:r>
      <w:r w:rsidR="00F91E27">
        <w:t>that</w:t>
      </w:r>
      <w:r w:rsidR="00C11C9F">
        <w:t xml:space="preserve"> may help to alleviate this issue.</w:t>
      </w:r>
      <w:r w:rsidR="00B96C2B">
        <w:t xml:space="preserve"> </w:t>
      </w:r>
    </w:p>
    <w:p w14:paraId="287E0F3C" w14:textId="77777777" w:rsidR="00546F70" w:rsidRPr="008B045E" w:rsidRDefault="00546F70" w:rsidP="00546F70">
      <w:pPr>
        <w:pStyle w:val="Heading1"/>
        <w:keepNext w:val="0"/>
        <w:keepLines w:val="0"/>
        <w:spacing w:after="120" w:line="240" w:lineRule="auto"/>
      </w:pPr>
      <w:bookmarkStart w:id="63" w:name="_Toc470173182"/>
      <w:bookmarkStart w:id="64" w:name="_Toc492467960"/>
      <w:r w:rsidRPr="008B045E">
        <w:t>Concluding remarks</w:t>
      </w:r>
      <w:bookmarkEnd w:id="63"/>
      <w:bookmarkEnd w:id="64"/>
    </w:p>
    <w:p w14:paraId="071B39A2" w14:textId="64B03825" w:rsidR="00B75491" w:rsidRDefault="00546F70" w:rsidP="00AA6DB0">
      <w:pPr>
        <w:autoSpaceDE w:val="0"/>
        <w:autoSpaceDN w:val="0"/>
        <w:adjustRightInd w:val="0"/>
        <w:spacing w:after="120"/>
      </w:pPr>
      <w:r w:rsidRPr="00170EBF">
        <w:rPr>
          <w:rFonts w:cs="Times New Roman"/>
          <w:bCs/>
          <w:szCs w:val="24"/>
          <w:lang w:eastAsia="en-AU"/>
        </w:rPr>
        <w:lastRenderedPageBreak/>
        <w:t xml:space="preserve">This </w:t>
      </w:r>
      <w:r>
        <w:rPr>
          <w:rFonts w:cs="Times New Roman"/>
          <w:bCs/>
          <w:szCs w:val="24"/>
          <w:lang w:eastAsia="en-AU"/>
        </w:rPr>
        <w:t xml:space="preserve">was the </w:t>
      </w:r>
      <w:r w:rsidR="006E60C9">
        <w:rPr>
          <w:rFonts w:cs="Times New Roman"/>
          <w:bCs/>
          <w:szCs w:val="24"/>
          <w:lang w:eastAsia="en-AU"/>
        </w:rPr>
        <w:t>second</w:t>
      </w:r>
      <w:r>
        <w:rPr>
          <w:rFonts w:cs="Times New Roman"/>
          <w:bCs/>
          <w:szCs w:val="24"/>
          <w:lang w:eastAsia="en-AU"/>
        </w:rPr>
        <w:t xml:space="preserve"> </w:t>
      </w:r>
      <w:r w:rsidRPr="00170EBF">
        <w:rPr>
          <w:rFonts w:cs="Times New Roman"/>
          <w:bCs/>
          <w:szCs w:val="24"/>
          <w:lang w:eastAsia="en-AU"/>
        </w:rPr>
        <w:t xml:space="preserve">self-assessment </w:t>
      </w:r>
      <w:r>
        <w:rPr>
          <w:rFonts w:cs="Times New Roman"/>
          <w:bCs/>
          <w:szCs w:val="24"/>
          <w:lang w:eastAsia="en-AU"/>
        </w:rPr>
        <w:t xml:space="preserve">performed </w:t>
      </w:r>
      <w:r w:rsidRPr="00170EBF">
        <w:rPr>
          <w:rFonts w:cs="Times New Roman"/>
          <w:bCs/>
          <w:szCs w:val="24"/>
          <w:lang w:eastAsia="en-AU"/>
        </w:rPr>
        <w:t>under the Government Reg</w:t>
      </w:r>
      <w:r>
        <w:rPr>
          <w:rFonts w:cs="Times New Roman"/>
          <w:bCs/>
          <w:szCs w:val="24"/>
          <w:lang w:eastAsia="en-AU"/>
        </w:rPr>
        <w:t xml:space="preserve">ulatory Performance Framework. </w:t>
      </w:r>
      <w:r w:rsidR="00AA6DB0">
        <w:rPr>
          <w:rFonts w:cs="Times New Roman"/>
          <w:bCs/>
          <w:szCs w:val="24"/>
          <w:lang w:eastAsia="en-AU"/>
        </w:rPr>
        <w:t xml:space="preserve">It was undertaken at a time </w:t>
      </w:r>
      <w:r w:rsidR="00F91E27">
        <w:rPr>
          <w:rFonts w:cs="Times New Roman"/>
          <w:bCs/>
          <w:szCs w:val="24"/>
          <w:lang w:eastAsia="en-AU"/>
        </w:rPr>
        <w:t>prior to</w:t>
      </w:r>
      <w:r w:rsidR="00AA6DB0">
        <w:rPr>
          <w:rFonts w:cs="Times New Roman"/>
          <w:bCs/>
          <w:szCs w:val="24"/>
          <w:lang w:eastAsia="en-AU"/>
        </w:rPr>
        <w:t xml:space="preserve"> a number of improvements identified during the first self-assessment </w:t>
      </w:r>
      <w:r w:rsidR="00617A0C">
        <w:rPr>
          <w:rFonts w:cs="Times New Roman"/>
          <w:bCs/>
          <w:szCs w:val="24"/>
          <w:lang w:eastAsia="en-AU"/>
        </w:rPr>
        <w:t>being</w:t>
      </w:r>
      <w:r w:rsidR="00AA6DB0">
        <w:rPr>
          <w:rFonts w:cs="Times New Roman"/>
          <w:bCs/>
          <w:szCs w:val="24"/>
          <w:lang w:eastAsia="en-AU"/>
        </w:rPr>
        <w:t xml:space="preserve"> implemented. Despite that it was clear that ARPANSA </w:t>
      </w:r>
      <w:r w:rsidR="00AA6DB0">
        <w:t>has a deep</w:t>
      </w:r>
      <w:r w:rsidR="00617A0C">
        <w:t>-</w:t>
      </w:r>
      <w:r w:rsidR="00AA6DB0">
        <w:t xml:space="preserve">seated culture to improve the effectiveness and efficiency of its regulatory service and is </w:t>
      </w:r>
      <w:r w:rsidR="00F91E27">
        <w:t xml:space="preserve">always </w:t>
      </w:r>
      <w:r w:rsidR="00AA6DB0">
        <w:t xml:space="preserve">striving for continuous improvement. </w:t>
      </w:r>
    </w:p>
    <w:p w14:paraId="57A7F0A6" w14:textId="080B3E8E" w:rsidR="00AA6DB0" w:rsidRDefault="00AA6DB0" w:rsidP="00AA6DB0">
      <w:pPr>
        <w:autoSpaceDE w:val="0"/>
        <w:autoSpaceDN w:val="0"/>
        <w:adjustRightInd w:val="0"/>
        <w:spacing w:after="120"/>
      </w:pPr>
      <w:r>
        <w:t>This self-assessment followed a similar approach to the first self-assessment and provided a consistent, thorough and robust examination of regulatory performance for the period 1 July 2016 to 30 June 2017. In the interests of openness and transparency, the self-assessment team included a senior manager from one of ARPANSA’s largest licence holders (CSIRO).</w:t>
      </w:r>
      <w:r w:rsidR="00D42670">
        <w:t xml:space="preserve"> This year the team also included a management consultant that previously headed two Federal Government regulators (</w:t>
      </w:r>
      <w:r w:rsidR="005152DD">
        <w:t xml:space="preserve">Office of </w:t>
      </w:r>
      <w:r w:rsidR="000E3A3F">
        <w:t xml:space="preserve">the </w:t>
      </w:r>
      <w:r w:rsidR="00D42670">
        <w:t xml:space="preserve">Gene Technology </w:t>
      </w:r>
      <w:r w:rsidR="005152DD">
        <w:t xml:space="preserve">Regulator </w:t>
      </w:r>
      <w:r w:rsidR="00D42670">
        <w:t>and the Australian Pesticides and Veterinary Medicines Authority).</w:t>
      </w:r>
    </w:p>
    <w:p w14:paraId="2D2D42B8" w14:textId="3AA6A813" w:rsidR="00D42670" w:rsidRPr="00093209" w:rsidRDefault="00D42670" w:rsidP="00D42670">
      <w:pPr>
        <w:autoSpaceDE w:val="0"/>
        <w:autoSpaceDN w:val="0"/>
        <w:adjustRightInd w:val="0"/>
        <w:spacing w:after="120"/>
        <w:rPr>
          <w:rFonts w:cs="Times New Roman"/>
          <w:bCs/>
          <w:szCs w:val="24"/>
          <w:lang w:eastAsia="en-AU"/>
        </w:rPr>
      </w:pPr>
      <w:r w:rsidRPr="00093209">
        <w:rPr>
          <w:rFonts w:cs="Times New Roman"/>
          <w:bCs/>
          <w:szCs w:val="24"/>
          <w:lang w:eastAsia="en-AU"/>
        </w:rPr>
        <w:lastRenderedPageBreak/>
        <w:t>The team set out to review current regulatory performance against previously agreed metrics</w:t>
      </w:r>
      <w:r>
        <w:rPr>
          <w:rFonts w:cs="Times New Roman"/>
          <w:bCs/>
          <w:szCs w:val="24"/>
          <w:lang w:eastAsia="en-AU"/>
        </w:rPr>
        <w:t>.</w:t>
      </w:r>
      <w:r w:rsidRPr="00093209">
        <w:rPr>
          <w:rFonts w:cs="Times New Roman"/>
          <w:bCs/>
          <w:szCs w:val="24"/>
          <w:lang w:eastAsia="en-AU"/>
        </w:rPr>
        <w:t xml:space="preserve"> </w:t>
      </w:r>
      <w:r>
        <w:rPr>
          <w:rFonts w:cs="Times New Roman"/>
          <w:bCs/>
          <w:szCs w:val="24"/>
          <w:lang w:eastAsia="en-AU"/>
        </w:rPr>
        <w:t xml:space="preserve">They </w:t>
      </w:r>
      <w:r w:rsidRPr="00093209">
        <w:rPr>
          <w:rFonts w:cs="Times New Roman"/>
          <w:bCs/>
          <w:szCs w:val="24"/>
          <w:lang w:eastAsia="en-AU"/>
        </w:rPr>
        <w:t>undert</w:t>
      </w:r>
      <w:r>
        <w:rPr>
          <w:rFonts w:cs="Times New Roman"/>
          <w:bCs/>
          <w:szCs w:val="24"/>
          <w:lang w:eastAsia="en-AU"/>
        </w:rPr>
        <w:t>ook</w:t>
      </w:r>
      <w:r w:rsidRPr="00093209">
        <w:rPr>
          <w:rFonts w:cs="Times New Roman"/>
          <w:bCs/>
          <w:szCs w:val="24"/>
          <w:lang w:eastAsia="en-AU"/>
        </w:rPr>
        <w:t xml:space="preserve"> a qualitative review based on established processes, procedures, </w:t>
      </w:r>
      <w:r>
        <w:rPr>
          <w:rFonts w:cs="Times New Roman"/>
          <w:bCs/>
          <w:szCs w:val="24"/>
          <w:lang w:eastAsia="en-AU"/>
        </w:rPr>
        <w:t xml:space="preserve">and </w:t>
      </w:r>
      <w:r w:rsidRPr="00093209">
        <w:rPr>
          <w:rFonts w:cs="Times New Roman"/>
          <w:bCs/>
          <w:szCs w:val="24"/>
          <w:lang w:eastAsia="en-AU"/>
        </w:rPr>
        <w:t xml:space="preserve">data. Interviews and discussions were held with more than half </w:t>
      </w:r>
      <w:r w:rsidR="00F046F9">
        <w:rPr>
          <w:rFonts w:cs="Times New Roman"/>
          <w:bCs/>
          <w:szCs w:val="24"/>
          <w:lang w:eastAsia="en-AU"/>
        </w:rPr>
        <w:t xml:space="preserve">of </w:t>
      </w:r>
      <w:r w:rsidRPr="00093209">
        <w:rPr>
          <w:rFonts w:cs="Times New Roman"/>
          <w:bCs/>
          <w:szCs w:val="24"/>
          <w:lang w:eastAsia="en-AU"/>
        </w:rPr>
        <w:t xml:space="preserve">the </w:t>
      </w:r>
      <w:r>
        <w:rPr>
          <w:rFonts w:cs="Times New Roman"/>
          <w:bCs/>
          <w:szCs w:val="24"/>
          <w:lang w:eastAsia="en-AU"/>
        </w:rPr>
        <w:t xml:space="preserve">RSB </w:t>
      </w:r>
      <w:r w:rsidRPr="00093209">
        <w:rPr>
          <w:rFonts w:cs="Times New Roman"/>
          <w:bCs/>
          <w:szCs w:val="24"/>
          <w:lang w:eastAsia="en-AU"/>
        </w:rPr>
        <w:t xml:space="preserve">staff and managers, and </w:t>
      </w:r>
      <w:r>
        <w:rPr>
          <w:rFonts w:cs="Times New Roman"/>
          <w:bCs/>
          <w:szCs w:val="24"/>
          <w:lang w:eastAsia="en-AU"/>
        </w:rPr>
        <w:t>five</w:t>
      </w:r>
      <w:r w:rsidRPr="00093209">
        <w:rPr>
          <w:rFonts w:cs="Times New Roman"/>
          <w:bCs/>
          <w:szCs w:val="24"/>
          <w:lang w:eastAsia="en-AU"/>
        </w:rPr>
        <w:t xml:space="preserve"> staff and managers from two major </w:t>
      </w:r>
      <w:r>
        <w:rPr>
          <w:rFonts w:cs="Times New Roman"/>
          <w:bCs/>
          <w:szCs w:val="24"/>
          <w:lang w:eastAsia="en-AU"/>
        </w:rPr>
        <w:t>licence holder</w:t>
      </w:r>
      <w:r w:rsidRPr="00093209">
        <w:rPr>
          <w:rFonts w:cs="Times New Roman"/>
          <w:bCs/>
          <w:szCs w:val="24"/>
          <w:lang w:eastAsia="en-AU"/>
        </w:rPr>
        <w:t>s.</w:t>
      </w:r>
    </w:p>
    <w:p w14:paraId="145E5015" w14:textId="4FA79A9E" w:rsidR="00D42670" w:rsidRPr="00CE7333" w:rsidRDefault="00D42670" w:rsidP="00D42670">
      <w:pPr>
        <w:autoSpaceDE w:val="0"/>
        <w:autoSpaceDN w:val="0"/>
        <w:adjustRightInd w:val="0"/>
        <w:spacing w:after="120"/>
        <w:rPr>
          <w:rFonts w:cs="Times New Roman"/>
          <w:bCs/>
          <w:szCs w:val="24"/>
          <w:lang w:eastAsia="en-AU"/>
        </w:rPr>
      </w:pPr>
      <w:r w:rsidRPr="00093209">
        <w:rPr>
          <w:rFonts w:cs="Times New Roman"/>
          <w:bCs/>
          <w:szCs w:val="24"/>
          <w:lang w:eastAsia="en-AU"/>
        </w:rPr>
        <w:t xml:space="preserve">The assessment team concluded that </w:t>
      </w:r>
      <w:r w:rsidRPr="004C4E05">
        <w:rPr>
          <w:rFonts w:cs="Times New Roman"/>
          <w:bCs/>
          <w:szCs w:val="24"/>
          <w:lang w:eastAsia="en-AU"/>
        </w:rPr>
        <w:t>ARPANSA</w:t>
      </w:r>
      <w:r w:rsidRPr="00093209">
        <w:rPr>
          <w:rFonts w:cs="Times New Roman"/>
          <w:bCs/>
          <w:szCs w:val="24"/>
          <w:lang w:eastAsia="en-AU"/>
        </w:rPr>
        <w:t xml:space="preserve"> has been an effective </w:t>
      </w:r>
      <w:r>
        <w:rPr>
          <w:rFonts w:cs="Times New Roman"/>
          <w:bCs/>
          <w:szCs w:val="24"/>
          <w:lang w:eastAsia="en-AU"/>
        </w:rPr>
        <w:t>regulator during</w:t>
      </w:r>
      <w:r w:rsidRPr="00093209">
        <w:rPr>
          <w:rFonts w:cs="Times New Roman"/>
          <w:bCs/>
          <w:szCs w:val="24"/>
          <w:lang w:eastAsia="en-AU"/>
        </w:rPr>
        <w:t xml:space="preserve"> the </w:t>
      </w:r>
      <w:r>
        <w:rPr>
          <w:rFonts w:cs="Times New Roman"/>
          <w:bCs/>
          <w:szCs w:val="24"/>
          <w:lang w:eastAsia="en-AU"/>
        </w:rPr>
        <w:t xml:space="preserve">reporting </w:t>
      </w:r>
      <w:r w:rsidRPr="00093209">
        <w:rPr>
          <w:rFonts w:cs="Times New Roman"/>
          <w:bCs/>
          <w:szCs w:val="24"/>
          <w:lang w:eastAsia="en-AU"/>
        </w:rPr>
        <w:t>period and that the structure and consistency of its service</w:t>
      </w:r>
      <w:r>
        <w:rPr>
          <w:rFonts w:cs="Times New Roman"/>
          <w:bCs/>
          <w:szCs w:val="24"/>
          <w:lang w:eastAsia="en-AU"/>
        </w:rPr>
        <w:t>s</w:t>
      </w:r>
      <w:r w:rsidRPr="00093209">
        <w:rPr>
          <w:rFonts w:cs="Times New Roman"/>
          <w:bCs/>
          <w:szCs w:val="24"/>
          <w:lang w:eastAsia="en-AU"/>
        </w:rPr>
        <w:t xml:space="preserve"> </w:t>
      </w:r>
      <w:r>
        <w:rPr>
          <w:rFonts w:cs="Times New Roman"/>
          <w:bCs/>
          <w:szCs w:val="24"/>
          <w:lang w:eastAsia="en-AU"/>
        </w:rPr>
        <w:t>is overall very good</w:t>
      </w:r>
      <w:r w:rsidRPr="00093209">
        <w:rPr>
          <w:rFonts w:cs="Times New Roman"/>
          <w:bCs/>
          <w:szCs w:val="24"/>
          <w:lang w:eastAsia="en-AU"/>
        </w:rPr>
        <w:t xml:space="preserve">. The team found that ARPANSA has a good regulatory culture </w:t>
      </w:r>
      <w:r>
        <w:rPr>
          <w:rFonts w:cs="Times New Roman"/>
          <w:bCs/>
          <w:szCs w:val="24"/>
          <w:lang w:eastAsia="en-AU"/>
        </w:rPr>
        <w:t xml:space="preserve">with </w:t>
      </w:r>
      <w:r w:rsidRPr="00093209">
        <w:rPr>
          <w:rFonts w:cs="Times New Roman"/>
          <w:bCs/>
          <w:szCs w:val="24"/>
          <w:lang w:eastAsia="en-AU"/>
        </w:rPr>
        <w:t>appropriate responsibilities and accountabilities</w:t>
      </w:r>
      <w:r w:rsidR="00743661">
        <w:rPr>
          <w:rFonts w:cs="Times New Roman"/>
          <w:bCs/>
          <w:szCs w:val="24"/>
          <w:lang w:eastAsia="en-AU"/>
        </w:rPr>
        <w:t>,</w:t>
      </w:r>
      <w:r>
        <w:rPr>
          <w:rFonts w:cs="Times New Roman"/>
          <w:bCs/>
          <w:szCs w:val="24"/>
          <w:lang w:eastAsia="en-AU"/>
        </w:rPr>
        <w:t xml:space="preserve"> with </w:t>
      </w:r>
      <w:r w:rsidR="00743661">
        <w:rPr>
          <w:rFonts w:cs="Times New Roman"/>
          <w:bCs/>
          <w:szCs w:val="24"/>
          <w:lang w:eastAsia="en-AU"/>
        </w:rPr>
        <w:t xml:space="preserve">a need to clarify some </w:t>
      </w:r>
      <w:r>
        <w:rPr>
          <w:rFonts w:cs="Times New Roman"/>
          <w:bCs/>
          <w:szCs w:val="24"/>
          <w:lang w:eastAsia="en-AU"/>
        </w:rPr>
        <w:t>internal accountabilities</w:t>
      </w:r>
      <w:r w:rsidRPr="00093209">
        <w:rPr>
          <w:rFonts w:cs="Times New Roman"/>
          <w:bCs/>
          <w:szCs w:val="24"/>
          <w:lang w:eastAsia="en-AU"/>
        </w:rPr>
        <w:t xml:space="preserve">. </w:t>
      </w:r>
      <w:r>
        <w:rPr>
          <w:rFonts w:cs="Times New Roman"/>
          <w:bCs/>
          <w:szCs w:val="24"/>
          <w:lang w:eastAsia="en-AU"/>
        </w:rPr>
        <w:t>T</w:t>
      </w:r>
      <w:r w:rsidRPr="00CE7333">
        <w:rPr>
          <w:rFonts w:cs="Times New Roman"/>
          <w:bCs/>
          <w:szCs w:val="24"/>
          <w:lang w:eastAsia="en-AU"/>
        </w:rPr>
        <w:t xml:space="preserve">he team noted that without exception, </w:t>
      </w:r>
      <w:r>
        <w:rPr>
          <w:rFonts w:cs="Times New Roman"/>
          <w:bCs/>
          <w:szCs w:val="24"/>
          <w:lang w:eastAsia="en-AU"/>
        </w:rPr>
        <w:t>l</w:t>
      </w:r>
      <w:r w:rsidRPr="00126004">
        <w:rPr>
          <w:rFonts w:cs="Times New Roman"/>
          <w:bCs/>
          <w:szCs w:val="24"/>
          <w:lang w:eastAsia="en-AU"/>
        </w:rPr>
        <w:t>icence holder</w:t>
      </w:r>
      <w:r w:rsidRPr="00CE7333">
        <w:rPr>
          <w:rFonts w:cs="Times New Roman"/>
          <w:bCs/>
          <w:szCs w:val="24"/>
          <w:lang w:eastAsia="en-AU"/>
        </w:rPr>
        <w:t xml:space="preserve"> representatives also consider that A</w:t>
      </w:r>
      <w:r>
        <w:rPr>
          <w:rFonts w:cs="Times New Roman"/>
          <w:bCs/>
          <w:szCs w:val="24"/>
          <w:lang w:eastAsia="en-AU"/>
        </w:rPr>
        <w:t>RPANSA is open and transparent in dealing with them and has an effective</w:t>
      </w:r>
      <w:r w:rsidRPr="00CE7333">
        <w:rPr>
          <w:rFonts w:cs="Times New Roman"/>
          <w:bCs/>
          <w:szCs w:val="24"/>
          <w:lang w:eastAsia="en-AU"/>
        </w:rPr>
        <w:t xml:space="preserve"> graded approach to regulation.</w:t>
      </w:r>
    </w:p>
    <w:p w14:paraId="0132FDA4" w14:textId="41B0C0B6" w:rsidR="00D42670" w:rsidRDefault="00D42670" w:rsidP="00D42670">
      <w:pPr>
        <w:autoSpaceDE w:val="0"/>
        <w:autoSpaceDN w:val="0"/>
        <w:adjustRightInd w:val="0"/>
        <w:spacing w:after="120"/>
        <w:rPr>
          <w:rFonts w:cs="Times New Roman"/>
          <w:bCs/>
          <w:szCs w:val="24"/>
          <w:lang w:eastAsia="en-AU"/>
        </w:rPr>
      </w:pPr>
      <w:r>
        <w:rPr>
          <w:rFonts w:cs="Times New Roman"/>
          <w:bCs/>
          <w:szCs w:val="24"/>
          <w:lang w:eastAsia="en-AU"/>
        </w:rPr>
        <w:t xml:space="preserve">Several </w:t>
      </w:r>
      <w:r w:rsidRPr="00CE7333">
        <w:rPr>
          <w:rFonts w:cs="Times New Roman"/>
          <w:bCs/>
          <w:szCs w:val="24"/>
          <w:lang w:eastAsia="en-AU"/>
        </w:rPr>
        <w:t>areas for improvement</w:t>
      </w:r>
      <w:r>
        <w:rPr>
          <w:rFonts w:cs="Times New Roman"/>
          <w:bCs/>
          <w:szCs w:val="24"/>
          <w:lang w:eastAsia="en-AU"/>
        </w:rPr>
        <w:t xml:space="preserve"> were identified and some suggestions are given for consideration. </w:t>
      </w:r>
      <w:r w:rsidRPr="001939E1">
        <w:rPr>
          <w:rFonts w:cs="Arial"/>
          <w:szCs w:val="24"/>
        </w:rPr>
        <w:t xml:space="preserve">Addressing the issues </w:t>
      </w:r>
      <w:r w:rsidRPr="001939E1">
        <w:rPr>
          <w:rFonts w:cs="Arial"/>
          <w:szCs w:val="24"/>
        </w:rPr>
        <w:lastRenderedPageBreak/>
        <w:t xml:space="preserve">will improve </w:t>
      </w:r>
      <w:r w:rsidR="00743661">
        <w:rPr>
          <w:rFonts w:cs="Arial"/>
          <w:szCs w:val="24"/>
        </w:rPr>
        <w:t>ARPANSA</w:t>
      </w:r>
      <w:r w:rsidR="000E3A3F">
        <w:rPr>
          <w:rFonts w:cs="Arial"/>
          <w:szCs w:val="24"/>
        </w:rPr>
        <w:t>’s</w:t>
      </w:r>
      <w:r w:rsidR="00743661" w:rsidRPr="001939E1">
        <w:rPr>
          <w:rFonts w:cs="Arial"/>
          <w:szCs w:val="24"/>
        </w:rPr>
        <w:t xml:space="preserve"> </w:t>
      </w:r>
      <w:r w:rsidRPr="001939E1">
        <w:rPr>
          <w:rFonts w:cs="Arial"/>
          <w:szCs w:val="24"/>
        </w:rPr>
        <w:t>performance</w:t>
      </w:r>
      <w:r>
        <w:rPr>
          <w:rFonts w:cs="Arial"/>
          <w:szCs w:val="24"/>
        </w:rPr>
        <w:t xml:space="preserve">. The team </w:t>
      </w:r>
      <w:r w:rsidRPr="00CE7333">
        <w:rPr>
          <w:rFonts w:cs="Times New Roman"/>
          <w:bCs/>
          <w:szCs w:val="24"/>
          <w:lang w:eastAsia="en-AU"/>
        </w:rPr>
        <w:t>recommend</w:t>
      </w:r>
      <w:r>
        <w:rPr>
          <w:rFonts w:cs="Times New Roman"/>
          <w:bCs/>
          <w:szCs w:val="24"/>
          <w:lang w:eastAsia="en-AU"/>
        </w:rPr>
        <w:t xml:space="preserve">s </w:t>
      </w:r>
      <w:r w:rsidRPr="00CE7333">
        <w:rPr>
          <w:rFonts w:cs="Times New Roman"/>
          <w:bCs/>
          <w:szCs w:val="24"/>
          <w:lang w:eastAsia="en-AU"/>
        </w:rPr>
        <w:t xml:space="preserve">that a corrective action </w:t>
      </w:r>
      <w:r>
        <w:rPr>
          <w:rFonts w:cs="Times New Roman"/>
          <w:bCs/>
          <w:szCs w:val="24"/>
          <w:lang w:eastAsia="en-AU"/>
        </w:rPr>
        <w:t>program</w:t>
      </w:r>
      <w:r w:rsidRPr="00CE7333">
        <w:rPr>
          <w:rFonts w:cs="Times New Roman"/>
          <w:bCs/>
          <w:szCs w:val="24"/>
          <w:lang w:eastAsia="en-AU"/>
        </w:rPr>
        <w:t xml:space="preserve"> </w:t>
      </w:r>
      <w:r>
        <w:rPr>
          <w:rFonts w:cs="Times New Roman"/>
          <w:bCs/>
          <w:szCs w:val="24"/>
          <w:lang w:eastAsia="en-AU"/>
        </w:rPr>
        <w:t xml:space="preserve">be </w:t>
      </w:r>
      <w:r w:rsidRPr="00CE7333">
        <w:rPr>
          <w:rFonts w:cs="Times New Roman"/>
          <w:bCs/>
          <w:szCs w:val="24"/>
          <w:lang w:eastAsia="en-AU"/>
        </w:rPr>
        <w:t xml:space="preserve">established for this purpose. </w:t>
      </w:r>
    </w:p>
    <w:p w14:paraId="24FDBF82" w14:textId="38712340" w:rsidR="00D42670" w:rsidRDefault="00D42670" w:rsidP="00D42670">
      <w:pPr>
        <w:autoSpaceDE w:val="0"/>
        <w:autoSpaceDN w:val="0"/>
        <w:adjustRightInd w:val="0"/>
        <w:spacing w:after="120"/>
        <w:rPr>
          <w:rFonts w:cs="Times New Roman"/>
          <w:bCs/>
          <w:szCs w:val="24"/>
          <w:lang w:eastAsia="en-AU"/>
        </w:rPr>
      </w:pPr>
      <w:r>
        <w:rPr>
          <w:rFonts w:cs="Times New Roman"/>
          <w:bCs/>
          <w:szCs w:val="24"/>
          <w:lang w:eastAsia="en-AU"/>
        </w:rPr>
        <w:t>T</w:t>
      </w:r>
      <w:r w:rsidRPr="00CE7333">
        <w:rPr>
          <w:rFonts w:cs="Times New Roman"/>
          <w:bCs/>
          <w:szCs w:val="24"/>
          <w:lang w:eastAsia="en-AU"/>
        </w:rPr>
        <w:t>hroughout the self-assessment, the team found RSB staff to be op</w:t>
      </w:r>
      <w:r w:rsidRPr="000367DF">
        <w:rPr>
          <w:rFonts w:cs="Times New Roman"/>
          <w:bCs/>
          <w:szCs w:val="24"/>
          <w:lang w:eastAsia="en-AU"/>
        </w:rPr>
        <w:t xml:space="preserve">en and responsive. This was an indication that staff are engaged in the process of continuous improvement </w:t>
      </w:r>
      <w:r w:rsidR="00617A0C">
        <w:rPr>
          <w:rFonts w:cs="Times New Roman"/>
          <w:bCs/>
          <w:szCs w:val="24"/>
          <w:lang w:eastAsia="en-AU"/>
        </w:rPr>
        <w:t>which</w:t>
      </w:r>
      <w:r w:rsidR="00617A0C" w:rsidRPr="000367DF">
        <w:rPr>
          <w:rFonts w:cs="Times New Roman"/>
          <w:bCs/>
          <w:szCs w:val="24"/>
          <w:lang w:eastAsia="en-AU"/>
        </w:rPr>
        <w:t xml:space="preserve"> </w:t>
      </w:r>
      <w:r w:rsidRPr="000367DF">
        <w:rPr>
          <w:rFonts w:cs="Times New Roman"/>
          <w:bCs/>
          <w:szCs w:val="24"/>
          <w:lang w:eastAsia="en-AU"/>
        </w:rPr>
        <w:t>is commendable.</w:t>
      </w:r>
    </w:p>
    <w:p w14:paraId="379F298C" w14:textId="77777777" w:rsidR="00B75491" w:rsidRDefault="00B75491">
      <w:pPr>
        <w:rPr>
          <w:rFonts w:cs="Times New Roman"/>
          <w:bCs/>
          <w:szCs w:val="24"/>
          <w:lang w:eastAsia="en-AU"/>
        </w:rPr>
      </w:pPr>
      <w:r>
        <w:rPr>
          <w:rFonts w:cs="Times New Roman"/>
          <w:bCs/>
          <w:szCs w:val="24"/>
          <w:lang w:eastAsia="en-AU"/>
        </w:rPr>
        <w:br w:type="page"/>
      </w:r>
    </w:p>
    <w:p w14:paraId="1599B5D7" w14:textId="5C76A21B" w:rsidR="00B75491" w:rsidRPr="008B045E" w:rsidRDefault="00B75491" w:rsidP="00DD1DF2">
      <w:pPr>
        <w:pStyle w:val="Heading1"/>
        <w:keepNext w:val="0"/>
        <w:keepLines w:val="0"/>
        <w:numPr>
          <w:ilvl w:val="0"/>
          <w:numId w:val="0"/>
        </w:numPr>
        <w:spacing w:after="120" w:line="240" w:lineRule="auto"/>
        <w:jc w:val="center"/>
      </w:pPr>
      <w:bookmarkStart w:id="65" w:name="_Toc492467961"/>
      <w:r>
        <w:lastRenderedPageBreak/>
        <w:t>Appendix A</w:t>
      </w:r>
      <w:r w:rsidR="00DD1DF2">
        <w:br/>
      </w:r>
      <w:r>
        <w:t>ARPANSA Licenced Entities as at 30 June 2017</w:t>
      </w:r>
      <w:bookmarkEnd w:id="65"/>
    </w:p>
    <w:p w14:paraId="11525057" w14:textId="77777777" w:rsidR="00B75491" w:rsidRPr="004C4773" w:rsidRDefault="00B75491" w:rsidP="00B75491">
      <w:pPr>
        <w:pStyle w:val="Heading2"/>
        <w:numPr>
          <w:ilvl w:val="0"/>
          <w:numId w:val="0"/>
        </w:numPr>
        <w:rPr>
          <w:rStyle w:val="Strong"/>
          <w:rFonts w:asciiTheme="minorHAnsi" w:hAnsiTheme="minorHAnsi"/>
        </w:rPr>
      </w:pPr>
      <w:bookmarkStart w:id="66" w:name="_Toc470173184"/>
      <w:bookmarkStart w:id="67" w:name="_Toc492467962"/>
      <w:r w:rsidRPr="004C4773">
        <w:rPr>
          <w:rStyle w:val="Strong"/>
          <w:rFonts w:asciiTheme="minorHAnsi" w:hAnsiTheme="minorHAnsi"/>
        </w:rPr>
        <w:t>Facility licence holders:</w:t>
      </w:r>
      <w:bookmarkEnd w:id="66"/>
      <w:bookmarkEnd w:id="67"/>
    </w:p>
    <w:p w14:paraId="1DE0C597" w14:textId="77777777" w:rsidR="00B75491" w:rsidRPr="004C4773" w:rsidRDefault="00B75491" w:rsidP="00B75491">
      <w:pPr>
        <w:contextualSpacing/>
      </w:pPr>
      <w:r w:rsidRPr="004C4773">
        <w:t>Australian Defence Force /Department of Defence</w:t>
      </w:r>
    </w:p>
    <w:p w14:paraId="5308FD3C" w14:textId="77777777" w:rsidR="00B75491" w:rsidRPr="004C4773" w:rsidRDefault="00B75491" w:rsidP="00B75491">
      <w:pPr>
        <w:contextualSpacing/>
      </w:pPr>
      <w:r w:rsidRPr="004C4773">
        <w:t>Australian National University</w:t>
      </w:r>
    </w:p>
    <w:p w14:paraId="1AE7B64C" w14:textId="77777777" w:rsidR="00B75491" w:rsidRPr="004C4773" w:rsidRDefault="00B75491" w:rsidP="00B75491">
      <w:pPr>
        <w:contextualSpacing/>
      </w:pPr>
      <w:r w:rsidRPr="004C4773">
        <w:t>Australian Nuclear Science and Technology Organisation (ANSTO)</w:t>
      </w:r>
    </w:p>
    <w:p w14:paraId="464950BC" w14:textId="77777777" w:rsidR="00B75491" w:rsidRPr="004C4773" w:rsidRDefault="00B75491" w:rsidP="00B75491">
      <w:pPr>
        <w:contextualSpacing/>
      </w:pPr>
      <w:r w:rsidRPr="004C4773">
        <w:t>Australian Radiation Protection and Nuclear Safety Agency (ARPANSA)</w:t>
      </w:r>
    </w:p>
    <w:p w14:paraId="05AB0EF2" w14:textId="77777777" w:rsidR="00B75491" w:rsidRPr="004C4773" w:rsidRDefault="00B75491" w:rsidP="00B75491">
      <w:pPr>
        <w:contextualSpacing/>
      </w:pPr>
      <w:r w:rsidRPr="004C4773">
        <w:t>Department of Immigration and Border Protection</w:t>
      </w:r>
    </w:p>
    <w:p w14:paraId="0E691ACE" w14:textId="77777777" w:rsidR="00B75491" w:rsidRPr="004C4773" w:rsidRDefault="00B75491" w:rsidP="00B75491">
      <w:pPr>
        <w:contextualSpacing/>
      </w:pPr>
      <w:r w:rsidRPr="004C4773">
        <w:t>Department of the Environment – Parks Australia</w:t>
      </w:r>
    </w:p>
    <w:p w14:paraId="71360FD9" w14:textId="77777777" w:rsidR="00B75491" w:rsidRPr="004C4773" w:rsidRDefault="00B75491" w:rsidP="00B75491">
      <w:pPr>
        <w:pStyle w:val="Heading2"/>
        <w:numPr>
          <w:ilvl w:val="0"/>
          <w:numId w:val="0"/>
        </w:numPr>
        <w:rPr>
          <w:rStyle w:val="Strong"/>
          <w:rFonts w:asciiTheme="minorHAnsi" w:hAnsiTheme="minorHAnsi"/>
        </w:rPr>
      </w:pPr>
      <w:bookmarkStart w:id="68" w:name="_Toc492467963"/>
      <w:r w:rsidRPr="004C4773">
        <w:rPr>
          <w:rStyle w:val="Strong"/>
          <w:rFonts w:asciiTheme="minorHAnsi" w:hAnsiTheme="minorHAnsi"/>
        </w:rPr>
        <w:t>Source licence holders:</w:t>
      </w:r>
      <w:bookmarkEnd w:id="68"/>
    </w:p>
    <w:p w14:paraId="420AEED1" w14:textId="77777777" w:rsidR="00B75491" w:rsidRPr="009C508C" w:rsidRDefault="00B75491" w:rsidP="00B75491">
      <w:pPr>
        <w:contextualSpacing/>
      </w:pPr>
      <w:r w:rsidRPr="009C508C">
        <w:t>ASC Pty Ltd and ASC AWD Shipbuilder Pty Ltd</w:t>
      </w:r>
    </w:p>
    <w:p w14:paraId="3878B2D9" w14:textId="77777777" w:rsidR="00B75491" w:rsidRPr="009C508C" w:rsidRDefault="00B75491" w:rsidP="00B75491">
      <w:pPr>
        <w:contextualSpacing/>
      </w:pPr>
      <w:r w:rsidRPr="009C508C">
        <w:t>Attorney-General's Department</w:t>
      </w:r>
    </w:p>
    <w:p w14:paraId="09721064" w14:textId="77777777" w:rsidR="00B75491" w:rsidRPr="009C508C" w:rsidRDefault="00B75491" w:rsidP="00B75491">
      <w:pPr>
        <w:contextualSpacing/>
      </w:pPr>
      <w:r w:rsidRPr="009C508C">
        <w:t>Australian Criminal Intelligence Commission</w:t>
      </w:r>
    </w:p>
    <w:p w14:paraId="77EB92D5" w14:textId="77777777" w:rsidR="00B75491" w:rsidRPr="009C508C" w:rsidRDefault="00B75491" w:rsidP="00B75491">
      <w:pPr>
        <w:contextualSpacing/>
      </w:pPr>
      <w:r w:rsidRPr="009C508C">
        <w:lastRenderedPageBreak/>
        <w:t>Australian Defence Force/Department of Defence</w:t>
      </w:r>
    </w:p>
    <w:p w14:paraId="236CF2A9" w14:textId="77777777" w:rsidR="00B75491" w:rsidRPr="009C508C" w:rsidRDefault="00B75491" w:rsidP="00B75491">
      <w:pPr>
        <w:contextualSpacing/>
      </w:pPr>
      <w:r w:rsidRPr="009C508C">
        <w:t>Australian Federal Police</w:t>
      </w:r>
    </w:p>
    <w:p w14:paraId="25A60BD9" w14:textId="77777777" w:rsidR="00B75491" w:rsidRPr="009C508C" w:rsidRDefault="00B75491" w:rsidP="00B75491">
      <w:pPr>
        <w:contextualSpacing/>
      </w:pPr>
      <w:r w:rsidRPr="009C508C">
        <w:t>Australian Institute of Marine Science</w:t>
      </w:r>
    </w:p>
    <w:p w14:paraId="6E213E20" w14:textId="77777777" w:rsidR="00B75491" w:rsidRPr="009C508C" w:rsidRDefault="00B75491" w:rsidP="00B75491">
      <w:pPr>
        <w:contextualSpacing/>
      </w:pPr>
      <w:r w:rsidRPr="009C508C">
        <w:t>Australian National University</w:t>
      </w:r>
    </w:p>
    <w:p w14:paraId="0C59379B" w14:textId="77777777" w:rsidR="00B75491" w:rsidRPr="009C508C" w:rsidRDefault="00B75491" w:rsidP="00B75491">
      <w:pPr>
        <w:contextualSpacing/>
      </w:pPr>
      <w:r w:rsidRPr="009C508C">
        <w:t>Australian National University Enterprise Pty Ltd</w:t>
      </w:r>
    </w:p>
    <w:p w14:paraId="55B6F107" w14:textId="77777777" w:rsidR="00B75491" w:rsidRPr="009C508C" w:rsidRDefault="00B75491" w:rsidP="00B75491">
      <w:pPr>
        <w:contextualSpacing/>
      </w:pPr>
      <w:r w:rsidRPr="009C508C">
        <w:t>Australian Nuclear Science and Technology Organisation</w:t>
      </w:r>
    </w:p>
    <w:p w14:paraId="66496A77" w14:textId="77777777" w:rsidR="00B75491" w:rsidRPr="009C508C" w:rsidRDefault="00B75491" w:rsidP="00B75491">
      <w:pPr>
        <w:contextualSpacing/>
      </w:pPr>
      <w:r w:rsidRPr="009C508C">
        <w:t>Australian Postal Corporation</w:t>
      </w:r>
    </w:p>
    <w:p w14:paraId="298637AA" w14:textId="77777777" w:rsidR="00B75491" w:rsidRPr="009C508C" w:rsidRDefault="00B75491" w:rsidP="00B75491">
      <w:pPr>
        <w:contextualSpacing/>
      </w:pPr>
      <w:r w:rsidRPr="009C508C">
        <w:t>Australian Radiation Protection and Nuclear Safety Agency</w:t>
      </w:r>
    </w:p>
    <w:p w14:paraId="1D1245D5" w14:textId="77777777" w:rsidR="00B75491" w:rsidRPr="009C508C" w:rsidRDefault="00B75491" w:rsidP="00B75491">
      <w:pPr>
        <w:contextualSpacing/>
      </w:pPr>
      <w:r w:rsidRPr="009C508C">
        <w:t>Australian Securities and Investments Commission</w:t>
      </w:r>
    </w:p>
    <w:p w14:paraId="610DC462" w14:textId="77777777" w:rsidR="00B75491" w:rsidRPr="009C508C" w:rsidRDefault="00B75491" w:rsidP="00B75491">
      <w:pPr>
        <w:contextualSpacing/>
      </w:pPr>
      <w:r w:rsidRPr="009C508C">
        <w:t>Australian Sports Commission</w:t>
      </w:r>
    </w:p>
    <w:p w14:paraId="6833D2CB" w14:textId="77777777" w:rsidR="00B75491" w:rsidRPr="009C508C" w:rsidRDefault="00B75491" w:rsidP="00B75491">
      <w:pPr>
        <w:contextualSpacing/>
      </w:pPr>
      <w:r w:rsidRPr="009C508C">
        <w:t>Australian Trade Commission</w:t>
      </w:r>
    </w:p>
    <w:p w14:paraId="272AA4DE" w14:textId="77777777" w:rsidR="00B75491" w:rsidRPr="009C508C" w:rsidRDefault="00B75491" w:rsidP="00B75491">
      <w:pPr>
        <w:contextualSpacing/>
      </w:pPr>
      <w:r w:rsidRPr="009C508C">
        <w:t>Australian Transaction Reports and Analysis Centre</w:t>
      </w:r>
    </w:p>
    <w:p w14:paraId="2A039A70" w14:textId="77777777" w:rsidR="00B75491" w:rsidRPr="009C508C" w:rsidRDefault="00B75491" w:rsidP="00B75491">
      <w:pPr>
        <w:contextualSpacing/>
      </w:pPr>
      <w:r w:rsidRPr="009C508C">
        <w:t>Australian War Memorial</w:t>
      </w:r>
    </w:p>
    <w:p w14:paraId="67488098" w14:textId="77777777" w:rsidR="00B75491" w:rsidRPr="009C508C" w:rsidRDefault="00B75491" w:rsidP="00B75491">
      <w:pPr>
        <w:contextualSpacing/>
      </w:pPr>
      <w:r w:rsidRPr="009C508C">
        <w:t>Bureau of Meteorology – Cape Grim</w:t>
      </w:r>
    </w:p>
    <w:p w14:paraId="637A331D" w14:textId="77777777" w:rsidR="00B75491" w:rsidRPr="009C508C" w:rsidRDefault="00B75491" w:rsidP="00B75491">
      <w:pPr>
        <w:contextualSpacing/>
      </w:pPr>
      <w:r w:rsidRPr="009C508C">
        <w:t>Commonwealth Scientific and Industrial Research Organisation</w:t>
      </w:r>
    </w:p>
    <w:p w14:paraId="6207CEF4" w14:textId="77777777" w:rsidR="00B75491" w:rsidRPr="009C508C" w:rsidRDefault="00B75491" w:rsidP="00B75491">
      <w:pPr>
        <w:contextualSpacing/>
      </w:pPr>
      <w:r w:rsidRPr="009C508C">
        <w:t>Decipha Pty Ltd</w:t>
      </w:r>
    </w:p>
    <w:p w14:paraId="609B444D" w14:textId="77777777" w:rsidR="00B75491" w:rsidRPr="009C508C" w:rsidRDefault="00B75491" w:rsidP="00B75491">
      <w:pPr>
        <w:contextualSpacing/>
      </w:pPr>
      <w:r w:rsidRPr="009C508C">
        <w:t>Department of Agriculture and Water Resources</w:t>
      </w:r>
    </w:p>
    <w:p w14:paraId="3F9819C3" w14:textId="77777777" w:rsidR="00B75491" w:rsidRPr="009C508C" w:rsidRDefault="00B75491" w:rsidP="00B75491">
      <w:pPr>
        <w:contextualSpacing/>
      </w:pPr>
      <w:r w:rsidRPr="009C508C">
        <w:t>Department of Foreign Affairs and Trade</w:t>
      </w:r>
    </w:p>
    <w:p w14:paraId="492114DF" w14:textId="77777777" w:rsidR="00B75491" w:rsidRPr="009C508C" w:rsidRDefault="00B75491" w:rsidP="00B75491">
      <w:pPr>
        <w:contextualSpacing/>
      </w:pPr>
      <w:r w:rsidRPr="009C508C">
        <w:lastRenderedPageBreak/>
        <w:t>Department of Immigration and Border Protection</w:t>
      </w:r>
    </w:p>
    <w:p w14:paraId="152A9059" w14:textId="77777777" w:rsidR="00B75491" w:rsidRPr="009C508C" w:rsidRDefault="00B75491" w:rsidP="00B75491">
      <w:pPr>
        <w:contextualSpacing/>
      </w:pPr>
      <w:r w:rsidRPr="009C508C">
        <w:t>Department of Industry, Innovation and Science</w:t>
      </w:r>
    </w:p>
    <w:p w14:paraId="1CF057F0" w14:textId="77777777" w:rsidR="00B75491" w:rsidRPr="009C508C" w:rsidRDefault="00B75491" w:rsidP="00B75491">
      <w:pPr>
        <w:contextualSpacing/>
      </w:pPr>
      <w:r w:rsidRPr="009C508C">
        <w:t>Department of Industry, Innovation and Science - Geodesy and Seismic Monitoring Branch, Geoscience Australia</w:t>
      </w:r>
    </w:p>
    <w:p w14:paraId="4B6A4F1B" w14:textId="77777777" w:rsidR="00B75491" w:rsidRPr="009C508C" w:rsidRDefault="00B75491" w:rsidP="00B75491">
      <w:pPr>
        <w:contextualSpacing/>
      </w:pPr>
      <w:r w:rsidRPr="009C508C">
        <w:t>Department of Industry, Innovation and Science – Geoscience Australia</w:t>
      </w:r>
    </w:p>
    <w:p w14:paraId="48698C22" w14:textId="77777777" w:rsidR="00B75491" w:rsidRPr="009C508C" w:rsidRDefault="00B75491" w:rsidP="00B75491">
      <w:pPr>
        <w:contextualSpacing/>
      </w:pPr>
      <w:r w:rsidRPr="009C508C">
        <w:t>Department of Industry, Innovation and Science – National Measurement Institute</w:t>
      </w:r>
    </w:p>
    <w:p w14:paraId="1431DF94" w14:textId="77777777" w:rsidR="00B75491" w:rsidRPr="009C508C" w:rsidRDefault="00B75491" w:rsidP="00B75491">
      <w:pPr>
        <w:contextualSpacing/>
      </w:pPr>
      <w:r w:rsidRPr="009C508C">
        <w:t>Department of Infrastructure and Regional Development</w:t>
      </w:r>
    </w:p>
    <w:p w14:paraId="585AE178" w14:textId="77777777" w:rsidR="00B75491" w:rsidRPr="009C508C" w:rsidRDefault="00B75491" w:rsidP="00B75491">
      <w:pPr>
        <w:contextualSpacing/>
      </w:pPr>
      <w:r w:rsidRPr="009C508C">
        <w:t>Department of Infrastructure and Regional Development - Indian Ocean Territories Health Service</w:t>
      </w:r>
    </w:p>
    <w:p w14:paraId="318894FB" w14:textId="77777777" w:rsidR="00B75491" w:rsidRPr="009C508C" w:rsidRDefault="00B75491" w:rsidP="00B75491">
      <w:pPr>
        <w:contextualSpacing/>
      </w:pPr>
      <w:r w:rsidRPr="009C508C">
        <w:t>Department of Parliamentary Services</w:t>
      </w:r>
    </w:p>
    <w:p w14:paraId="5FC83999" w14:textId="77777777" w:rsidR="00B75491" w:rsidRPr="009C508C" w:rsidRDefault="00B75491" w:rsidP="00B75491">
      <w:pPr>
        <w:contextualSpacing/>
      </w:pPr>
      <w:r w:rsidRPr="009C508C">
        <w:t>Department of the Environment and Energy – Australian Antarctic Division</w:t>
      </w:r>
    </w:p>
    <w:p w14:paraId="1F568950" w14:textId="77777777" w:rsidR="00B75491" w:rsidRPr="009C508C" w:rsidRDefault="00B75491" w:rsidP="00B75491">
      <w:pPr>
        <w:contextualSpacing/>
      </w:pPr>
      <w:r w:rsidRPr="009C508C">
        <w:t>Department of the Environment and Energy – Australian Antarctic Division, Polar Medicine</w:t>
      </w:r>
    </w:p>
    <w:p w14:paraId="55DE76A9" w14:textId="77777777" w:rsidR="00B75491" w:rsidRPr="009C508C" w:rsidRDefault="00B75491" w:rsidP="00B75491">
      <w:pPr>
        <w:contextualSpacing/>
      </w:pPr>
      <w:r w:rsidRPr="009C508C">
        <w:t>Department of the Environment and Energy – Supervising Scientist</w:t>
      </w:r>
    </w:p>
    <w:p w14:paraId="527B1EDD" w14:textId="77777777" w:rsidR="00B75491" w:rsidRPr="009C508C" w:rsidRDefault="00B75491" w:rsidP="00B75491">
      <w:pPr>
        <w:contextualSpacing/>
      </w:pPr>
      <w:r w:rsidRPr="009C508C">
        <w:t>Department of the Prime Minister and Cabinet</w:t>
      </w:r>
    </w:p>
    <w:p w14:paraId="585BEC96" w14:textId="77777777" w:rsidR="00B75491" w:rsidRPr="009C508C" w:rsidRDefault="00B75491" w:rsidP="00B75491">
      <w:pPr>
        <w:contextualSpacing/>
      </w:pPr>
      <w:r w:rsidRPr="009C508C">
        <w:lastRenderedPageBreak/>
        <w:t>Federal Court of Australia</w:t>
      </w:r>
    </w:p>
    <w:p w14:paraId="59900A56" w14:textId="77777777" w:rsidR="00B75491" w:rsidRPr="009C508C" w:rsidRDefault="00B75491" w:rsidP="00B75491">
      <w:pPr>
        <w:contextualSpacing/>
      </w:pPr>
      <w:r w:rsidRPr="009C508C">
        <w:t>High Court of Australia</w:t>
      </w:r>
    </w:p>
    <w:p w14:paraId="05E968E7" w14:textId="77777777" w:rsidR="00B75491" w:rsidRPr="009C508C" w:rsidRDefault="00B75491" w:rsidP="00B75491">
      <w:pPr>
        <w:contextualSpacing/>
      </w:pPr>
      <w:r w:rsidRPr="009C508C">
        <w:t>Law Courts Limited</w:t>
      </w:r>
    </w:p>
    <w:p w14:paraId="666A095B" w14:textId="77777777" w:rsidR="00B75491" w:rsidRPr="009C508C" w:rsidRDefault="00B75491" w:rsidP="00B75491">
      <w:pPr>
        <w:contextualSpacing/>
      </w:pPr>
      <w:r w:rsidRPr="009C508C">
        <w:t>National Archives of Australia</w:t>
      </w:r>
    </w:p>
    <w:p w14:paraId="0CF5E50B" w14:textId="77777777" w:rsidR="00B75491" w:rsidRPr="009C508C" w:rsidRDefault="00B75491" w:rsidP="00B75491">
      <w:pPr>
        <w:contextualSpacing/>
      </w:pPr>
      <w:r w:rsidRPr="009C508C">
        <w:t>National Gallery of Australia</w:t>
      </w:r>
    </w:p>
    <w:p w14:paraId="50608992" w14:textId="77777777" w:rsidR="00B75491" w:rsidRPr="009C508C" w:rsidRDefault="00B75491" w:rsidP="00B75491">
      <w:pPr>
        <w:contextualSpacing/>
      </w:pPr>
      <w:r w:rsidRPr="009C508C">
        <w:t>National Museum of Australia</w:t>
      </w:r>
    </w:p>
    <w:p w14:paraId="228A972F" w14:textId="77777777" w:rsidR="00B75491" w:rsidRPr="009C508C" w:rsidRDefault="00B75491" w:rsidP="00B75491">
      <w:pPr>
        <w:contextualSpacing/>
      </w:pPr>
      <w:r w:rsidRPr="009C508C">
        <w:t>Note Printing Australia</w:t>
      </w:r>
    </w:p>
    <w:p w14:paraId="39D6A431" w14:textId="77777777" w:rsidR="00B75491" w:rsidRPr="009C508C" w:rsidRDefault="00B75491" w:rsidP="00B75491">
      <w:pPr>
        <w:contextualSpacing/>
      </w:pPr>
      <w:r w:rsidRPr="009C508C">
        <w:t>Reserve Bank of Australia</w:t>
      </w:r>
    </w:p>
    <w:p w14:paraId="451A6577" w14:textId="77777777" w:rsidR="00B75491" w:rsidRDefault="00B75491" w:rsidP="00B75491">
      <w:pPr>
        <w:contextualSpacing/>
      </w:pPr>
      <w:r w:rsidRPr="009C508C">
        <w:t>Royal Australian Mint</w:t>
      </w:r>
    </w:p>
    <w:p w14:paraId="268998AD" w14:textId="26170C86" w:rsidR="00DD1DF2" w:rsidRDefault="00B75491" w:rsidP="00B75491">
      <w:pPr>
        <w:contextualSpacing/>
      </w:pPr>
      <w:r w:rsidRPr="009C508C">
        <w:t>Silex Systems Limited</w:t>
      </w:r>
    </w:p>
    <w:p w14:paraId="5D483EC1" w14:textId="77777777" w:rsidR="00DD1DF2" w:rsidRDefault="00DD1DF2">
      <w:r>
        <w:br w:type="page"/>
      </w:r>
    </w:p>
    <w:p w14:paraId="0F7567AD" w14:textId="1DC804A3" w:rsidR="00644012" w:rsidRPr="00644012" w:rsidRDefault="00DD1DF2" w:rsidP="00DD1DF2">
      <w:pPr>
        <w:pStyle w:val="Heading1"/>
        <w:keepNext w:val="0"/>
        <w:keepLines w:val="0"/>
        <w:numPr>
          <w:ilvl w:val="0"/>
          <w:numId w:val="0"/>
        </w:numPr>
        <w:spacing w:after="120" w:line="240" w:lineRule="auto"/>
        <w:jc w:val="center"/>
      </w:pPr>
      <w:bookmarkStart w:id="69" w:name="_Toc492467964"/>
      <w:r>
        <w:lastRenderedPageBreak/>
        <w:t>Appendix B</w:t>
      </w:r>
      <w:r>
        <w:br/>
        <w:t>Information sources and documents provided to the assessment team</w:t>
      </w:r>
      <w:bookmarkEnd w:id="69"/>
    </w:p>
    <w:p w14:paraId="07B2EAC2" w14:textId="77777777" w:rsidR="00644012" w:rsidRPr="00644012" w:rsidRDefault="00644012" w:rsidP="00644012"/>
    <w:p w14:paraId="2778913B" w14:textId="0DDD977B" w:rsidR="0026445D" w:rsidRDefault="00017917">
      <w:pPr>
        <w:pStyle w:val="ListParagraph"/>
        <w:numPr>
          <w:ilvl w:val="0"/>
          <w:numId w:val="65"/>
        </w:numPr>
        <w:ind w:left="567" w:hanging="567"/>
      </w:pPr>
      <w:hyperlink r:id="rId31" w:history="1">
        <w:r w:rsidR="00D44240">
          <w:rPr>
            <w:rStyle w:val="Hyperlink"/>
          </w:rPr>
          <w:t>Australian Government - Regulator Performance Framework</w:t>
        </w:r>
      </w:hyperlink>
      <w:r w:rsidR="00D44240">
        <w:t xml:space="preserve"> </w:t>
      </w:r>
      <w:r w:rsidR="0026445D">
        <w:t>– ISBN 978-1-925237-07-8</w:t>
      </w:r>
    </w:p>
    <w:p w14:paraId="51F9FB37" w14:textId="48ACC7C4" w:rsidR="0026445D" w:rsidRDefault="00017917">
      <w:pPr>
        <w:pStyle w:val="ListParagraph"/>
        <w:numPr>
          <w:ilvl w:val="0"/>
          <w:numId w:val="65"/>
        </w:numPr>
        <w:ind w:left="567" w:hanging="567"/>
      </w:pPr>
      <w:hyperlink r:id="rId32" w:history="1">
        <w:r w:rsidR="0026445D" w:rsidRPr="0026445D">
          <w:rPr>
            <w:rStyle w:val="Hyperlink"/>
          </w:rPr>
          <w:t>ARPANSA Regulator Performance Framework – Self-Assessment Report 2015-2016</w:t>
        </w:r>
      </w:hyperlink>
      <w:r w:rsidR="0026445D">
        <w:t xml:space="preserve"> (HPE document R16/09670)</w:t>
      </w:r>
    </w:p>
    <w:p w14:paraId="644E749A" w14:textId="0AAE0B73" w:rsidR="00661696" w:rsidRDefault="00B76773" w:rsidP="00661696">
      <w:pPr>
        <w:pStyle w:val="ListParagraph"/>
        <w:numPr>
          <w:ilvl w:val="0"/>
          <w:numId w:val="65"/>
        </w:numPr>
        <w:ind w:left="567" w:hanging="567"/>
      </w:pPr>
      <w:r>
        <w:t xml:space="preserve">ARPANSA Regulatory Services Branch - </w:t>
      </w:r>
      <w:r w:rsidR="00661696">
        <w:t xml:space="preserve">Focus Self-Assessment Report </w:t>
      </w:r>
      <w:r>
        <w:t xml:space="preserve">- </w:t>
      </w:r>
      <w:r w:rsidR="00661696">
        <w:t>July 2016 v1 (HPE document R16/04</w:t>
      </w:r>
      <w:r>
        <w:t>0</w:t>
      </w:r>
      <w:r w:rsidR="00661696">
        <w:t>90)</w:t>
      </w:r>
    </w:p>
    <w:p w14:paraId="4706D754" w14:textId="1BF74AA3" w:rsidR="00BF0A69" w:rsidRPr="00BF0A69" w:rsidRDefault="00BF0A69" w:rsidP="00661696">
      <w:pPr>
        <w:pStyle w:val="ListParagraph"/>
        <w:numPr>
          <w:ilvl w:val="0"/>
          <w:numId w:val="65"/>
        </w:numPr>
        <w:ind w:left="567" w:hanging="567"/>
      </w:pPr>
      <w:r>
        <w:t>Regulatory Services Performance Indicators  - 2015-2016 (HPE document R16/01258)</w:t>
      </w:r>
    </w:p>
    <w:p w14:paraId="30DC29D6" w14:textId="67BC89AD" w:rsidR="00661696" w:rsidRDefault="00BF0A69" w:rsidP="00661696">
      <w:pPr>
        <w:pStyle w:val="ListParagraph"/>
        <w:numPr>
          <w:ilvl w:val="0"/>
          <w:numId w:val="65"/>
        </w:numPr>
        <w:ind w:left="567" w:hanging="567"/>
      </w:pPr>
      <w:r>
        <w:rPr>
          <w:rFonts w:cs="Arial"/>
        </w:rPr>
        <w:t xml:space="preserve">Reporting on Performance Indicators – 2016/17 </w:t>
      </w:r>
      <w:r w:rsidR="00661696">
        <w:rPr>
          <w:rFonts w:cs="Arial"/>
        </w:rPr>
        <w:t xml:space="preserve">(HPE </w:t>
      </w:r>
      <w:r w:rsidR="00661696" w:rsidRPr="000B2BF9">
        <w:rPr>
          <w:rFonts w:cs="Arial"/>
        </w:rPr>
        <w:t xml:space="preserve">document </w:t>
      </w:r>
      <w:r>
        <w:rPr>
          <w:rFonts w:cs="Arial"/>
        </w:rPr>
        <w:t>R17/06380</w:t>
      </w:r>
      <w:r w:rsidDel="00BF0A69">
        <w:rPr>
          <w:rFonts w:cs="Arial"/>
        </w:rPr>
        <w:t xml:space="preserve"> </w:t>
      </w:r>
      <w:r w:rsidR="00661696">
        <w:rPr>
          <w:rFonts w:cs="Arial"/>
        </w:rPr>
        <w:t>)</w:t>
      </w:r>
    </w:p>
    <w:p w14:paraId="093DD42E" w14:textId="46FA9D12" w:rsidR="00661696" w:rsidRDefault="00661696" w:rsidP="00661696">
      <w:pPr>
        <w:pStyle w:val="ListParagraph"/>
        <w:numPr>
          <w:ilvl w:val="0"/>
          <w:numId w:val="65"/>
        </w:numPr>
        <w:ind w:left="567" w:hanging="567"/>
      </w:pPr>
      <w:r>
        <w:t xml:space="preserve">Nuclear Safety Committee </w:t>
      </w:r>
      <w:r w:rsidR="00BF0A69">
        <w:t xml:space="preserve">Validation </w:t>
      </w:r>
      <w:r>
        <w:t xml:space="preserve">of </w:t>
      </w:r>
      <w:r w:rsidR="00BF0A69">
        <w:t xml:space="preserve">the Regulator Performance Framework </w:t>
      </w:r>
      <w:r>
        <w:t>Self-Assessment 20</w:t>
      </w:r>
      <w:r w:rsidR="00BF0A69">
        <w:t>15-</w:t>
      </w:r>
      <w:r>
        <w:t>16 (HPE document R16/13735)</w:t>
      </w:r>
    </w:p>
    <w:p w14:paraId="2401AF98" w14:textId="090C8A6A" w:rsidR="00661696" w:rsidRDefault="00017917" w:rsidP="00661696">
      <w:pPr>
        <w:pStyle w:val="ListParagraph"/>
        <w:numPr>
          <w:ilvl w:val="0"/>
          <w:numId w:val="65"/>
        </w:numPr>
        <w:ind w:left="567" w:hanging="567"/>
      </w:pPr>
      <w:hyperlink r:id="rId33" w:history="1">
        <w:r w:rsidR="00661696" w:rsidRPr="00EC43B6">
          <w:rPr>
            <w:rStyle w:val="Hyperlink"/>
          </w:rPr>
          <w:t>ARPANSA Performance Objectives and Criteria</w:t>
        </w:r>
        <w:r w:rsidR="00F046B9" w:rsidRPr="00EC43B6">
          <w:rPr>
            <w:rStyle w:val="Hyperlink"/>
          </w:rPr>
          <w:t xml:space="preserve"> (PO&amp;C)</w:t>
        </w:r>
      </w:hyperlink>
    </w:p>
    <w:p w14:paraId="6FBA2D9D" w14:textId="1768929C" w:rsidR="00661696" w:rsidRPr="008A1D18" w:rsidRDefault="00661696" w:rsidP="00661696">
      <w:pPr>
        <w:pStyle w:val="ListParagraph"/>
        <w:numPr>
          <w:ilvl w:val="0"/>
          <w:numId w:val="65"/>
        </w:numPr>
        <w:ind w:left="567" w:hanging="567"/>
      </w:pPr>
      <w:r w:rsidRPr="008A1D18">
        <w:rPr>
          <w:rFonts w:cs="Arial"/>
        </w:rPr>
        <w:t xml:space="preserve">The Auditor-General Audit Report No.29 2013–14 </w:t>
      </w:r>
      <w:hyperlink r:id="rId34" w:history="1">
        <w:r w:rsidRPr="008A1D18">
          <w:rPr>
            <w:rStyle w:val="Hyperlink"/>
            <w:rFonts w:cs="Arial"/>
          </w:rPr>
          <w:t>Performance Report No.29 2013–14</w:t>
        </w:r>
      </w:hyperlink>
      <w:r w:rsidRPr="008A1D18">
        <w:rPr>
          <w:rFonts w:cs="Arial"/>
        </w:rPr>
        <w:t xml:space="preserve"> </w:t>
      </w:r>
    </w:p>
    <w:p w14:paraId="5474C03E" w14:textId="5031293C" w:rsidR="00661696" w:rsidRDefault="00B14A28" w:rsidP="00661696">
      <w:pPr>
        <w:pStyle w:val="ListParagraph"/>
        <w:numPr>
          <w:ilvl w:val="0"/>
          <w:numId w:val="65"/>
        </w:numPr>
        <w:ind w:left="567" w:hanging="567"/>
      </w:pPr>
      <w:r>
        <w:t xml:space="preserve">ARPANSA </w:t>
      </w:r>
      <w:r w:rsidR="00661696">
        <w:t>Internal Audit Report –</w:t>
      </w:r>
      <w:r w:rsidR="0026445D">
        <w:t xml:space="preserve"> </w:t>
      </w:r>
      <w:r w:rsidR="00661696">
        <w:t xml:space="preserve">Follow up </w:t>
      </w:r>
      <w:r>
        <w:t xml:space="preserve">of ANAO </w:t>
      </w:r>
      <w:r w:rsidR="00BF0A69">
        <w:t>Recommendations – June 2015</w:t>
      </w:r>
      <w:r w:rsidR="00661696">
        <w:t xml:space="preserve"> (HPE document D175071)</w:t>
      </w:r>
    </w:p>
    <w:p w14:paraId="1DFFED0E" w14:textId="77777777" w:rsidR="00661696" w:rsidRDefault="00661696" w:rsidP="00661696">
      <w:pPr>
        <w:pStyle w:val="ListParagraph"/>
        <w:numPr>
          <w:ilvl w:val="0"/>
          <w:numId w:val="65"/>
        </w:numPr>
        <w:ind w:left="567" w:hanging="567"/>
      </w:pPr>
      <w:r w:rsidRPr="008A1D18">
        <w:rPr>
          <w:rFonts w:cs="Arial"/>
        </w:rPr>
        <w:t xml:space="preserve">ARPANSA Closure Report of </w:t>
      </w:r>
      <w:hyperlink r:id="rId35" w:history="1">
        <w:r w:rsidRPr="008A1D18">
          <w:rPr>
            <w:rStyle w:val="Hyperlink"/>
            <w:rFonts w:cs="Arial"/>
          </w:rPr>
          <w:t>ANAO Audit No.29 2013–14</w:t>
        </w:r>
      </w:hyperlink>
      <w:r w:rsidRPr="008A1D18">
        <w:rPr>
          <w:rFonts w:cs="Arial"/>
        </w:rPr>
        <w:t xml:space="preserve">, February 2015 </w:t>
      </w:r>
    </w:p>
    <w:p w14:paraId="7E360674" w14:textId="1E88A40E" w:rsidR="00661696" w:rsidRDefault="00661696" w:rsidP="00661696">
      <w:pPr>
        <w:pStyle w:val="ListParagraph"/>
        <w:numPr>
          <w:ilvl w:val="0"/>
          <w:numId w:val="65"/>
        </w:numPr>
        <w:ind w:left="567" w:hanging="567"/>
      </w:pPr>
      <w:r>
        <w:t xml:space="preserve">Proposed Performance Indicators for 2017-18 </w:t>
      </w:r>
      <w:r w:rsidR="00AB22BA">
        <w:t xml:space="preserve">(Document describing evolution from 2015-17 indicators to 2017-18 indications) </w:t>
      </w:r>
      <w:r>
        <w:t>(HPE document R17/02037)</w:t>
      </w:r>
    </w:p>
    <w:p w14:paraId="1FCC4603" w14:textId="7111CCB4" w:rsidR="00661696" w:rsidRDefault="00017917" w:rsidP="00661696">
      <w:pPr>
        <w:pStyle w:val="ListParagraph"/>
        <w:numPr>
          <w:ilvl w:val="0"/>
          <w:numId w:val="65"/>
        </w:numPr>
        <w:ind w:left="567" w:hanging="567"/>
      </w:pPr>
      <w:hyperlink r:id="rId36" w:history="1">
        <w:r w:rsidR="00661696" w:rsidRPr="001B587A">
          <w:rPr>
            <w:rStyle w:val="Hyperlink"/>
          </w:rPr>
          <w:t>Regulatory Delivery Model</w:t>
        </w:r>
      </w:hyperlink>
      <w:r w:rsidR="00661696">
        <w:t xml:space="preserve"> (HPE document R16/04048)</w:t>
      </w:r>
    </w:p>
    <w:p w14:paraId="7AA6B156" w14:textId="237B45EB" w:rsidR="00661696" w:rsidRDefault="00AB22BA" w:rsidP="00661696">
      <w:pPr>
        <w:pStyle w:val="ListParagraph"/>
        <w:numPr>
          <w:ilvl w:val="0"/>
          <w:numId w:val="65"/>
        </w:numPr>
        <w:ind w:left="567" w:hanging="567"/>
      </w:pPr>
      <w:r>
        <w:t xml:space="preserve">ARPANSA </w:t>
      </w:r>
      <w:r w:rsidR="00661696">
        <w:t>Regulatory Services Branch Plan (HPE document R16/03641)</w:t>
      </w:r>
    </w:p>
    <w:p w14:paraId="67EE1EAF" w14:textId="77777777" w:rsidR="00661696" w:rsidRDefault="00661696" w:rsidP="00661696">
      <w:pPr>
        <w:pStyle w:val="ListParagraph"/>
        <w:numPr>
          <w:ilvl w:val="0"/>
          <w:numId w:val="65"/>
        </w:numPr>
        <w:ind w:left="567" w:hanging="567"/>
      </w:pPr>
      <w:r>
        <w:t>Source Licences for CSIRO &amp; ANSTO (HPE document S0025 and S0202)</w:t>
      </w:r>
    </w:p>
    <w:p w14:paraId="1180780A" w14:textId="0C53DACD" w:rsidR="00661696" w:rsidRDefault="00017917" w:rsidP="00661696">
      <w:pPr>
        <w:pStyle w:val="ListParagraph"/>
        <w:numPr>
          <w:ilvl w:val="0"/>
          <w:numId w:val="65"/>
        </w:numPr>
        <w:ind w:left="567" w:hanging="567"/>
      </w:pPr>
      <w:hyperlink r:id="rId37" w:history="1">
        <w:r w:rsidR="00661696" w:rsidRPr="001B587A">
          <w:rPr>
            <w:rStyle w:val="Hyperlink"/>
          </w:rPr>
          <w:t>Inspection Reports from 1 July 2016</w:t>
        </w:r>
      </w:hyperlink>
    </w:p>
    <w:p w14:paraId="0889D18E" w14:textId="77777777" w:rsidR="00661696" w:rsidRDefault="00661696" w:rsidP="00661696">
      <w:pPr>
        <w:pStyle w:val="ListParagraph"/>
        <w:numPr>
          <w:ilvl w:val="0"/>
          <w:numId w:val="65"/>
        </w:numPr>
        <w:ind w:left="567" w:hanging="567"/>
      </w:pPr>
      <w:r>
        <w:t>Post Inspection Survey Results 2016-2017</w:t>
      </w:r>
    </w:p>
    <w:p w14:paraId="2A38F7B9" w14:textId="34B2282D" w:rsidR="00661696" w:rsidRDefault="00661696" w:rsidP="00661696">
      <w:pPr>
        <w:pStyle w:val="ListParagraph"/>
        <w:numPr>
          <w:ilvl w:val="0"/>
          <w:numId w:val="65"/>
        </w:numPr>
        <w:ind w:left="567" w:hanging="567"/>
      </w:pPr>
      <w:r>
        <w:lastRenderedPageBreak/>
        <w:t>Performance Indicators/Inspection Outcomes – Quarterly Reports from July 2016 to June 2017</w:t>
      </w:r>
      <w:r w:rsidR="000A1839">
        <w:t xml:space="preserve"> (HPE documents R17/07943, R17/07942, R17/03959, R17/03958, R17/03956)</w:t>
      </w:r>
    </w:p>
    <w:p w14:paraId="66844474" w14:textId="77777777" w:rsidR="00661696" w:rsidRDefault="00661696" w:rsidP="00661696">
      <w:pPr>
        <w:pStyle w:val="ListParagraph"/>
        <w:numPr>
          <w:ilvl w:val="0"/>
          <w:numId w:val="65"/>
        </w:numPr>
        <w:ind w:left="567" w:hanging="567"/>
      </w:pPr>
      <w:r>
        <w:t>Source Inspection Programme 2016 (HPE document R15/16394).</w:t>
      </w:r>
    </w:p>
    <w:p w14:paraId="7B430495" w14:textId="4B8CAA5F" w:rsidR="00661696" w:rsidRDefault="000A1839" w:rsidP="00661696">
      <w:pPr>
        <w:pStyle w:val="ListParagraph"/>
        <w:numPr>
          <w:ilvl w:val="0"/>
          <w:numId w:val="65"/>
        </w:numPr>
        <w:ind w:left="567" w:hanging="567"/>
      </w:pPr>
      <w:r>
        <w:t xml:space="preserve">ARPANSA Regulatory Services - </w:t>
      </w:r>
      <w:hyperlink r:id="rId38" w:history="1">
        <w:r w:rsidR="00661696" w:rsidRPr="00EC43B6">
          <w:rPr>
            <w:rStyle w:val="Hyperlink"/>
          </w:rPr>
          <w:t>Inspection Manual</w:t>
        </w:r>
      </w:hyperlink>
      <w:r w:rsidR="00661696">
        <w:t xml:space="preserve"> (HPE document R15/08057)</w:t>
      </w:r>
    </w:p>
    <w:p w14:paraId="5513BE4A" w14:textId="52E702A3" w:rsidR="00661696" w:rsidRDefault="00661696" w:rsidP="00661696">
      <w:pPr>
        <w:pStyle w:val="ListParagraph"/>
        <w:numPr>
          <w:ilvl w:val="0"/>
          <w:numId w:val="65"/>
        </w:numPr>
        <w:ind w:left="567" w:hanging="567"/>
      </w:pPr>
      <w:r>
        <w:t xml:space="preserve">Three </w:t>
      </w:r>
      <w:r w:rsidR="000A1839">
        <w:t xml:space="preserve">Year </w:t>
      </w:r>
      <w:r>
        <w:t>Facility and five year Source inspection schedules</w:t>
      </w:r>
    </w:p>
    <w:p w14:paraId="24D60B23" w14:textId="408E91C8" w:rsidR="00661696" w:rsidRDefault="00661696" w:rsidP="00661696">
      <w:pPr>
        <w:pStyle w:val="ListParagraph"/>
        <w:numPr>
          <w:ilvl w:val="0"/>
          <w:numId w:val="65"/>
        </w:numPr>
        <w:ind w:left="567" w:hanging="567"/>
      </w:pPr>
      <w:r>
        <w:t xml:space="preserve">Regulatory Services Annual </w:t>
      </w:r>
      <w:r w:rsidR="001B587A">
        <w:t>T</w:t>
      </w:r>
      <w:r>
        <w:t>raining Programme 13-16 February 2017</w:t>
      </w:r>
      <w:r w:rsidR="001B587A">
        <w:t xml:space="preserve"> (HPE document R17/00347)</w:t>
      </w:r>
    </w:p>
    <w:p w14:paraId="4350A3DA" w14:textId="56F9CB45" w:rsidR="00661696" w:rsidRDefault="00EC43B6" w:rsidP="00661696">
      <w:pPr>
        <w:pStyle w:val="ListParagraph"/>
        <w:numPr>
          <w:ilvl w:val="0"/>
          <w:numId w:val="65"/>
        </w:numPr>
        <w:ind w:left="567" w:hanging="567"/>
      </w:pPr>
      <w:r>
        <w:t xml:space="preserve">ARPANSA </w:t>
      </w:r>
      <w:r w:rsidR="00661696">
        <w:t>Organisational Charts</w:t>
      </w:r>
    </w:p>
    <w:p w14:paraId="1B7FDDE6" w14:textId="210CD2A0" w:rsidR="00661696" w:rsidRDefault="0026445D" w:rsidP="00661696">
      <w:pPr>
        <w:pStyle w:val="ListParagraph"/>
        <w:numPr>
          <w:ilvl w:val="0"/>
          <w:numId w:val="65"/>
        </w:numPr>
        <w:ind w:left="567" w:hanging="567"/>
      </w:pPr>
      <w:r>
        <w:t>Information on i</w:t>
      </w:r>
      <w:r w:rsidR="00661696">
        <w:t>n-house IT systems including the Licence Administration Database (LAD)</w:t>
      </w:r>
    </w:p>
    <w:p w14:paraId="13707C47" w14:textId="77777777" w:rsidR="00661696" w:rsidRPr="003E7F1C" w:rsidRDefault="00017917" w:rsidP="00661696">
      <w:pPr>
        <w:pStyle w:val="ListParagraph"/>
        <w:numPr>
          <w:ilvl w:val="0"/>
          <w:numId w:val="65"/>
        </w:numPr>
        <w:ind w:left="567" w:hanging="567"/>
      </w:pPr>
      <w:hyperlink r:id="rId39" w:history="1">
        <w:r w:rsidR="00661696" w:rsidRPr="003E7F1C">
          <w:rPr>
            <w:rFonts w:cs="Arial"/>
          </w:rPr>
          <w:t>NEA/CNRA/R(2014)3</w:t>
        </w:r>
      </w:hyperlink>
      <w:r w:rsidR="00661696" w:rsidRPr="003E7F1C">
        <w:rPr>
          <w:rFonts w:cs="Arial"/>
        </w:rPr>
        <w:t xml:space="preserve"> - </w:t>
      </w:r>
      <w:hyperlink r:id="rId40" w:history="1">
        <w:r w:rsidR="00661696" w:rsidRPr="003E7F1C">
          <w:rPr>
            <w:rStyle w:val="Hyperlink"/>
            <w:rFonts w:cs="Arial"/>
          </w:rPr>
          <w:t>The Characteristics of an Effective Nuclear Regulator OECD 2014</w:t>
        </w:r>
      </w:hyperlink>
    </w:p>
    <w:p w14:paraId="116A5F2E" w14:textId="16A82222" w:rsidR="003D2646" w:rsidRPr="00B31B13" w:rsidRDefault="00661696" w:rsidP="00A54A6E">
      <w:pPr>
        <w:pStyle w:val="ListParagraph"/>
        <w:numPr>
          <w:ilvl w:val="0"/>
          <w:numId w:val="65"/>
        </w:numPr>
        <w:ind w:left="567" w:hanging="567"/>
      </w:pPr>
      <w:r w:rsidRPr="003E7F1C">
        <w:rPr>
          <w:rFonts w:cs="Arial"/>
        </w:rPr>
        <w:lastRenderedPageBreak/>
        <w:t xml:space="preserve">Report to the </w:t>
      </w:r>
      <w:hyperlink r:id="rId41" w:history="1">
        <w:r w:rsidRPr="003E7F1C">
          <w:rPr>
            <w:rStyle w:val="Hyperlink"/>
            <w:rFonts w:cs="Arial"/>
          </w:rPr>
          <w:t>Australian Communications and Media Authority on the Regulatory Performance Framework (RPF)</w:t>
        </w:r>
      </w:hyperlink>
      <w:r w:rsidRPr="003E7F1C">
        <w:rPr>
          <w:rFonts w:cs="Arial"/>
        </w:rPr>
        <w:t xml:space="preserve">  June 2015 </w:t>
      </w:r>
    </w:p>
    <w:sectPr w:rsidR="003D2646" w:rsidRPr="00B31B13" w:rsidSect="002356D6">
      <w:headerReference w:type="even" r:id="rId42"/>
      <w:headerReference w:type="default" r:id="rId43"/>
      <w:headerReference w:type="first" r:id="rId44"/>
      <w:footerReference w:type="first" r:id="rId45"/>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4E425" w14:textId="77777777" w:rsidR="00315CEA" w:rsidRDefault="00315CEA" w:rsidP="00037687">
      <w:r>
        <w:separator/>
      </w:r>
    </w:p>
  </w:endnote>
  <w:endnote w:type="continuationSeparator" w:id="0">
    <w:p w14:paraId="2EA6C7EC" w14:textId="77777777" w:rsidR="00315CEA" w:rsidRDefault="00315CEA"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981C0" w14:textId="7610A151" w:rsidR="003D22E9" w:rsidRPr="00FF6AB9" w:rsidRDefault="003D22E9" w:rsidP="003C23B9">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10C89EF9" wp14:editId="7B876330">
          <wp:simplePos x="0" y="0"/>
          <wp:positionH relativeFrom="column">
            <wp:posOffset>0</wp:posOffset>
          </wp:positionH>
          <wp:positionV relativeFrom="paragraph">
            <wp:posOffset>175895</wp:posOffset>
          </wp:positionV>
          <wp:extent cx="6120000" cy="54000"/>
          <wp:effectExtent l="0" t="0" r="0" b="3175"/>
          <wp:wrapTopAndBottom/>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9F3703">
      <w:rPr>
        <w:noProof/>
        <w:sz w:val="18"/>
        <w:lang w:eastAsia="en-AU"/>
      </w:rPr>
      <w:t>Regulator Performance Framework</w:t>
    </w:r>
    <w:r>
      <w:rPr>
        <w:noProof/>
        <w:sz w:val="18"/>
        <w:lang w:eastAsia="en-AU"/>
      </w:rPr>
      <w:t xml:space="preserve"> Annual Self-Assement Report 2016-2017 </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017917">
      <w:rPr>
        <w:noProof/>
        <w:sz w:val="18"/>
      </w:rPr>
      <w:t>38</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017917">
      <w:rPr>
        <w:noProof/>
        <w:sz w:val="18"/>
      </w:rPr>
      <w:t>38</w:t>
    </w:r>
    <w:r w:rsidRPr="00FF6AB9">
      <w:rPr>
        <w:sz w:val="18"/>
      </w:rPr>
      <w:fldChar w:fldCharType="end"/>
    </w:r>
    <w:r>
      <w:rPr>
        <w:sz w:val="18"/>
      </w:rPr>
      <w:br/>
      <w:t>ARPANSA Record No R17/09687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F3001" w14:textId="16FBFAFB" w:rsidR="003D22E9" w:rsidRPr="00E47D18" w:rsidRDefault="003D22E9" w:rsidP="00E47D18">
    <w:pPr>
      <w:pStyle w:val="Footer"/>
      <w:tabs>
        <w:tab w:val="clear" w:pos="4513"/>
        <w:tab w:val="clear" w:pos="9026"/>
        <w:tab w:val="center" w:pos="4820"/>
        <w:tab w:val="right" w:pos="9639"/>
      </w:tabs>
      <w:spacing w:before="120" w:line="264" w:lineRule="auto"/>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CB3EC" w14:textId="29DBFE9E" w:rsidR="003D22E9" w:rsidRPr="00E47D18" w:rsidRDefault="003D22E9" w:rsidP="00E47D18">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75648" behindDoc="0" locked="0" layoutInCell="1" allowOverlap="1" wp14:anchorId="245F251A" wp14:editId="711F0B0B">
          <wp:simplePos x="0" y="0"/>
          <wp:positionH relativeFrom="column">
            <wp:posOffset>0</wp:posOffset>
          </wp:positionH>
          <wp:positionV relativeFrom="paragraph">
            <wp:posOffset>175895</wp:posOffset>
          </wp:positionV>
          <wp:extent cx="6120000" cy="54000"/>
          <wp:effectExtent l="0" t="0" r="0" b="3175"/>
          <wp:wrapTopAndBottom/>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9F3703">
      <w:rPr>
        <w:noProof/>
        <w:sz w:val="18"/>
        <w:lang w:eastAsia="en-AU"/>
      </w:rPr>
      <w:t>Regulator Performance Framework</w:t>
    </w:r>
    <w:r>
      <w:rPr>
        <w:noProof/>
        <w:sz w:val="18"/>
        <w:lang w:eastAsia="en-AU"/>
      </w:rPr>
      <w:t xml:space="preserve"> Annual Self-Assement Report 2016-2017 </w:t>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017917">
      <w:rPr>
        <w:noProof/>
        <w:sz w:val="18"/>
      </w:rPr>
      <w:t>2</w:t>
    </w:r>
    <w:r w:rsidRPr="00FF6AB9">
      <w:rPr>
        <w:sz w:val="18"/>
      </w:rPr>
      <w:fldChar w:fldCharType="end"/>
    </w:r>
    <w:r w:rsidRPr="00FF6AB9">
      <w:rPr>
        <w:sz w:val="18"/>
      </w:rPr>
      <w:t xml:space="preserve"> of </w:t>
    </w:r>
    <w:r w:rsidRPr="00FF6AB9">
      <w:rPr>
        <w:sz w:val="18"/>
      </w:rPr>
      <w:fldChar w:fldCharType="begin"/>
    </w:r>
    <w:r w:rsidRPr="00FF6AB9">
      <w:rPr>
        <w:sz w:val="18"/>
      </w:rPr>
      <w:instrText xml:space="preserve"> NUMPAGES  \* Arabic  \* MERGEFORMAT </w:instrText>
    </w:r>
    <w:r w:rsidRPr="00FF6AB9">
      <w:rPr>
        <w:sz w:val="18"/>
      </w:rPr>
      <w:fldChar w:fldCharType="separate"/>
    </w:r>
    <w:r w:rsidR="00017917">
      <w:rPr>
        <w:noProof/>
        <w:sz w:val="18"/>
      </w:rPr>
      <w:t>38</w:t>
    </w:r>
    <w:r w:rsidRPr="00FF6AB9">
      <w:rPr>
        <w:sz w:val="18"/>
      </w:rPr>
      <w:fldChar w:fldCharType="end"/>
    </w:r>
    <w:r>
      <w:rPr>
        <w:sz w:val="18"/>
      </w:rPr>
      <w:br/>
      <w:t>ARPANSA Record No R17/09687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19D1A" w14:textId="77777777" w:rsidR="00315CEA" w:rsidRDefault="00315CEA" w:rsidP="00037687">
      <w:r>
        <w:separator/>
      </w:r>
    </w:p>
  </w:footnote>
  <w:footnote w:type="continuationSeparator" w:id="0">
    <w:p w14:paraId="236C1B73" w14:textId="77777777" w:rsidR="00315CEA" w:rsidRDefault="00315CEA" w:rsidP="00037687">
      <w:r>
        <w:continuationSeparator/>
      </w:r>
    </w:p>
  </w:footnote>
  <w:footnote w:id="1">
    <w:p w14:paraId="6521DCEA" w14:textId="691E2C90" w:rsidR="003D22E9" w:rsidRDefault="003D22E9" w:rsidP="007A5AD0">
      <w:pPr>
        <w:pStyle w:val="FootnoteText"/>
        <w:ind w:left="142" w:hanging="142"/>
      </w:pPr>
      <w:r>
        <w:rPr>
          <w:rStyle w:val="FootnoteReference"/>
        </w:rPr>
        <w:footnoteRef/>
      </w:r>
      <w:r>
        <w:t xml:space="preserve"> International standards are used by ARPANSA after being assessed to be appropriate and relevant in the Australian context (see ARPANSA’s website, </w:t>
      </w:r>
      <w:hyperlink r:id="rId1" w:history="1">
        <w:r w:rsidRPr="00AE49E7">
          <w:rPr>
            <w:rStyle w:val="Hyperlink"/>
          </w:rPr>
          <w:t>https://www.arpansa.gov.au/regulation-and-licensing/regulation/international-best-practice</w:t>
        </w:r>
      </w:hyperlink>
      <w:r>
        <w:t>)</w:t>
      </w:r>
      <w:r w:rsidRPr="00644012">
        <w:t>.</w:t>
      </w:r>
      <w:r>
        <w:t xml:space="preserve"> </w:t>
      </w:r>
    </w:p>
  </w:footnote>
  <w:footnote w:id="2">
    <w:p w14:paraId="73BB47BC" w14:textId="7A501A1F" w:rsidR="003D22E9" w:rsidRDefault="003D22E9" w:rsidP="00FC49D1">
      <w:pPr>
        <w:pStyle w:val="FootnoteText"/>
        <w:ind w:left="142" w:hanging="142"/>
      </w:pPr>
      <w:r>
        <w:rPr>
          <w:rStyle w:val="FootnoteReference"/>
        </w:rPr>
        <w:footnoteRef/>
      </w:r>
      <w:r>
        <w:t xml:space="preserve"> This policy has subsequently been published; </w:t>
      </w:r>
      <w:hyperlink r:id="rId2" w:history="1">
        <w:r w:rsidRPr="00837B49">
          <w:rPr>
            <w:rStyle w:val="Hyperlink"/>
          </w:rPr>
          <w:t>https://www.arpansa.gov.au/regulation-and-licensing/regulation/regulatory-integrity/policy-arpansas-regulatory-activities</w:t>
        </w:r>
      </w:hyperlink>
    </w:p>
  </w:footnote>
  <w:footnote w:id="3">
    <w:p w14:paraId="7AB5E336" w14:textId="77777777" w:rsidR="003D22E9" w:rsidRDefault="003D22E9" w:rsidP="00D555B8">
      <w:pPr>
        <w:autoSpaceDE w:val="0"/>
        <w:autoSpaceDN w:val="0"/>
        <w:adjustRightInd w:val="0"/>
        <w:spacing w:before="0" w:line="240" w:lineRule="auto"/>
      </w:pPr>
      <w:r>
        <w:rPr>
          <w:rStyle w:val="FootnoteReference"/>
        </w:rPr>
        <w:footnoteRef/>
      </w:r>
      <w:r>
        <w:t xml:space="preserve"> </w:t>
      </w:r>
      <w:r w:rsidRPr="000561F7">
        <w:rPr>
          <w:sz w:val="20"/>
          <w:szCs w:val="20"/>
        </w:rPr>
        <w:t xml:space="preserve">The </w:t>
      </w:r>
      <w:r w:rsidRPr="000561F7">
        <w:rPr>
          <w:i/>
          <w:sz w:val="20"/>
          <w:szCs w:val="20"/>
        </w:rPr>
        <w:t>Policy for ARPANSA’s Regulatory Activities</w:t>
      </w:r>
      <w:r w:rsidRPr="000561F7">
        <w:rPr>
          <w:sz w:val="20"/>
          <w:szCs w:val="20"/>
        </w:rPr>
        <w:t xml:space="preserve"> (ARPANSA-POL-002) defines </w:t>
      </w:r>
      <w:r w:rsidRPr="000561F7">
        <w:rPr>
          <w:b/>
          <w:sz w:val="20"/>
          <w:szCs w:val="20"/>
        </w:rPr>
        <w:t>radiation risk</w:t>
      </w:r>
      <w:r w:rsidRPr="000561F7">
        <w:rPr>
          <w:sz w:val="20"/>
          <w:szCs w:val="20"/>
        </w:rPr>
        <w:t xml:space="preserve"> as follows:</w:t>
      </w:r>
      <w:r>
        <w:t xml:space="preserve"> </w:t>
      </w:r>
    </w:p>
    <w:p w14:paraId="48FFF7A8" w14:textId="77777777" w:rsidR="003D22E9" w:rsidRDefault="003D22E9" w:rsidP="00D555B8">
      <w:pPr>
        <w:autoSpaceDE w:val="0"/>
        <w:autoSpaceDN w:val="0"/>
        <w:adjustRightInd w:val="0"/>
        <w:spacing w:before="0" w:line="240" w:lineRule="auto"/>
      </w:pPr>
    </w:p>
    <w:p w14:paraId="5E747A82" w14:textId="4514C615" w:rsidR="003D22E9" w:rsidRDefault="003D22E9" w:rsidP="00D555B8">
      <w:pPr>
        <w:autoSpaceDE w:val="0"/>
        <w:autoSpaceDN w:val="0"/>
        <w:adjustRightInd w:val="0"/>
        <w:spacing w:before="0" w:line="240" w:lineRule="auto"/>
        <w:rPr>
          <w:rFonts w:ascii="Calibri" w:hAnsi="Calibri" w:cs="Calibri"/>
          <w:color w:val="444448"/>
          <w:sz w:val="20"/>
          <w:szCs w:val="20"/>
        </w:rPr>
      </w:pPr>
      <w:r>
        <w:rPr>
          <w:rFonts w:ascii="Calibri" w:hAnsi="Calibri" w:cs="Calibri"/>
          <w:color w:val="444448"/>
          <w:sz w:val="20"/>
          <w:szCs w:val="20"/>
        </w:rPr>
        <w:t>Detrimental health effects of exposure to ionising radiation including the likelihood of such effects occurring, and other risks including environmental risks, that might arise from exposure to ionising radiation; the presence of radioactive material (including radioactive waste) or its release to the environment; or a loss of control over a nuclear reactor core, nuclear chain reaction, radioactive source or any other source of radiation; alone or in combination.</w:t>
      </w:r>
    </w:p>
    <w:p w14:paraId="43D19723" w14:textId="77777777" w:rsidR="003D22E9" w:rsidRDefault="003D22E9" w:rsidP="00D555B8">
      <w:pPr>
        <w:autoSpaceDE w:val="0"/>
        <w:autoSpaceDN w:val="0"/>
        <w:adjustRightInd w:val="0"/>
        <w:spacing w:before="0" w:line="240" w:lineRule="auto"/>
        <w:rPr>
          <w:rFonts w:ascii="Calibri" w:hAnsi="Calibri" w:cs="Calibri"/>
          <w:color w:val="444448"/>
          <w:sz w:val="20"/>
          <w:szCs w:val="20"/>
        </w:rPr>
      </w:pPr>
    </w:p>
    <w:p w14:paraId="74AAAC3B" w14:textId="358CB621" w:rsidR="003D22E9" w:rsidRPr="000561F7" w:rsidRDefault="003D22E9" w:rsidP="000561F7">
      <w:pPr>
        <w:autoSpaceDE w:val="0"/>
        <w:autoSpaceDN w:val="0"/>
        <w:adjustRightInd w:val="0"/>
        <w:spacing w:before="0" w:line="240" w:lineRule="auto"/>
        <w:rPr>
          <w:rFonts w:ascii="Calibri" w:hAnsi="Calibri" w:cs="Calibri"/>
          <w:color w:val="444448"/>
          <w:sz w:val="20"/>
        </w:rPr>
      </w:pPr>
      <w:r w:rsidRPr="00E96876">
        <w:rPr>
          <w:rFonts w:ascii="Calibri" w:hAnsi="Calibri" w:cs="Calibri"/>
          <w:color w:val="444448"/>
          <w:sz w:val="20"/>
          <w:szCs w:val="20"/>
        </w:rPr>
        <w:t>Health effects and health risks associated with acute or prolonged exposure to non-ionising radiation such as ultraviolet radiation, radiofrequency radiation, optical radiation and other types of non-ionising radiation; either in occupational settings or as members of the public.</w:t>
      </w:r>
    </w:p>
  </w:footnote>
  <w:footnote w:id="4">
    <w:p w14:paraId="607B059B" w14:textId="71E0F886" w:rsidR="003D22E9" w:rsidRDefault="003D22E9" w:rsidP="00516CBE">
      <w:pPr>
        <w:pStyle w:val="FootnoteText"/>
        <w:ind w:left="0" w:firstLine="0"/>
      </w:pPr>
      <w:r>
        <w:rPr>
          <w:rStyle w:val="FootnoteReference"/>
        </w:rPr>
        <w:footnoteRef/>
      </w:r>
      <w:r>
        <w:t xml:space="preserve"> </w:t>
      </w:r>
      <w:r w:rsidRPr="00516CBE">
        <w:rPr>
          <w:sz w:val="20"/>
        </w:rPr>
        <w:t xml:space="preserve">Principle 1 of the </w:t>
      </w:r>
      <w:r w:rsidRPr="00516CBE">
        <w:rPr>
          <w:i/>
          <w:sz w:val="20"/>
        </w:rPr>
        <w:t>Fundamentals: Protection against Ionising Radiation</w:t>
      </w:r>
      <w:r w:rsidRPr="00516CBE">
        <w:rPr>
          <w:sz w:val="20"/>
        </w:rPr>
        <w:t xml:space="preserve"> (RPS F-1; ARPANSA 2014) states: </w:t>
      </w:r>
      <w:r w:rsidRPr="002469BA">
        <w:rPr>
          <w:sz w:val="20"/>
        </w:rPr>
        <w:t xml:space="preserve">The prime </w:t>
      </w:r>
      <w:r w:rsidRPr="00516CBE">
        <w:rPr>
          <w:sz w:val="20"/>
        </w:rPr>
        <w:t>responsibility for management of radiation risks must rest with the person or organisation responsible for facilities and activities that give rise to radiation risks.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3277" w14:textId="198F1B48" w:rsidR="003D22E9" w:rsidRDefault="00017917">
    <w:pPr>
      <w:pStyle w:val="Header"/>
    </w:pPr>
    <w:r>
      <w:rPr>
        <w:noProof/>
        <w:lang w:eastAsia="en-AU"/>
      </w:rPr>
      <w:pict w14:anchorId="221652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207157" o:spid="_x0000_s2069" type="#_x0000_t75" style="position:absolute;margin-left:0;margin-top:0;width:595.2pt;height:841.9pt;z-index:-251638784;mso-position-horizontal:center;mso-position-horizontal-relative:margin;mso-position-vertical:center;mso-position-vertical-relative:margin" o:allowincell="f">
          <v:imagedata r:id="rId1" o:title="RPF-Self Assessment cover"/>
          <w10:wrap anchorx="margin" anchory="margin"/>
        </v:shape>
      </w:pict>
    </w:r>
    <w:r>
      <w:rPr>
        <w:noProof/>
      </w:rPr>
      <w:pict w14:anchorId="40B0A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15pt;height:107.25pt;rotation:315;z-index:-251649024;mso-position-horizontal:center;mso-position-horizontal-relative:margin;mso-position-vertical:center;mso-position-vertical-relative:margin" o:allowincell="f" fillcolor="silver" stroked="f">
          <v:fill opacity=".5"/>
          <v:textpath style="font-family:&quot;Calibri&quot;;font-size:1pt" string="Draft - 20-09-20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6E3B5" w14:textId="4D6CAA2D" w:rsidR="003D22E9" w:rsidRDefault="00017917">
    <w:pPr>
      <w:pStyle w:val="Header"/>
    </w:pPr>
    <w:r>
      <w:rPr>
        <w:noProof/>
        <w:lang w:eastAsia="en-AU"/>
      </w:rPr>
      <w:pict w14:anchorId="5CC969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207158" o:spid="_x0000_s2070" type="#_x0000_t75" style="position:absolute;margin-left:0;margin-top:0;width:595.2pt;height:841.9pt;z-index:-251637760;mso-position-horizontal:center;mso-position-horizontal-relative:margin;mso-position-vertical:center;mso-position-vertical-relative:margin" o:allowincell="f">
          <v:imagedata r:id="rId1" o:title="RPF-Self Assessment cov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F5100" w14:textId="694D1E38" w:rsidR="003D22E9" w:rsidRDefault="00017917">
    <w:pPr>
      <w:pStyle w:val="Header"/>
    </w:pPr>
    <w:r>
      <w:rPr>
        <w:noProof/>
        <w:lang w:eastAsia="en-AU"/>
      </w:rPr>
      <w:pict w14:anchorId="4E8D30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207156" o:spid="_x0000_s2068" type="#_x0000_t75" style="position:absolute;margin-left:0;margin-top:0;width:595.2pt;height:841.9pt;z-index:-251639808;mso-position-horizontal:center;mso-position-horizontal-relative:margin;mso-position-vertical:center;mso-position-vertical-relative:margin" o:allowincell="f">
          <v:imagedata r:id="rId1" o:title="RPF-Self Assessment cover"/>
          <w10:wrap anchorx="margin" anchory="margin"/>
        </v:shape>
      </w:pict>
    </w:r>
  </w:p>
  <w:p w14:paraId="693341D1" w14:textId="2E7B7997" w:rsidR="003D22E9" w:rsidRDefault="003D22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799F5" w14:textId="2458C780" w:rsidR="003D22E9" w:rsidRDefault="00017917">
    <w:pPr>
      <w:pStyle w:val="Header"/>
    </w:pPr>
    <w:r>
      <w:rPr>
        <w:noProof/>
        <w:lang w:eastAsia="en-AU"/>
      </w:rPr>
      <w:pict w14:anchorId="7CEA30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207160" o:spid="_x0000_s2072" type="#_x0000_t75" style="position:absolute;margin-left:0;margin-top:0;width:595.2pt;height:841.9pt;z-index:-251635712;mso-position-horizontal:center;mso-position-horizontal-relative:margin;mso-position-vertical:center;mso-position-vertical-relative:margin" o:allowincell="f">
          <v:imagedata r:id="rId1" o:title="RPF-Self Assessment cov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5F68A" w14:textId="54D6C0FC" w:rsidR="003D22E9" w:rsidRDefault="003D22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28448" w14:textId="4B5E2BE3" w:rsidR="003D22E9" w:rsidRDefault="003D22E9">
    <w:pPr>
      <w:pStyle w:val="Header"/>
    </w:pPr>
  </w:p>
  <w:p w14:paraId="78998A48" w14:textId="77777777" w:rsidR="003D22E9" w:rsidRDefault="003D22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B8BA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37AAA"/>
    <w:multiLevelType w:val="hybridMultilevel"/>
    <w:tmpl w:val="38B4CA44"/>
    <w:lvl w:ilvl="0" w:tplc="459E3AD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CE4244"/>
    <w:multiLevelType w:val="hybridMultilevel"/>
    <w:tmpl w:val="DE96A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ED22F8"/>
    <w:multiLevelType w:val="hybridMultilevel"/>
    <w:tmpl w:val="5770F152"/>
    <w:lvl w:ilvl="0" w:tplc="459E3AD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0961D0"/>
    <w:multiLevelType w:val="hybridMultilevel"/>
    <w:tmpl w:val="5C689A04"/>
    <w:lvl w:ilvl="0" w:tplc="0C090001">
      <w:start w:val="1"/>
      <w:numFmt w:val="bullet"/>
      <w:lvlText w:val=""/>
      <w:lvlJc w:val="left"/>
      <w:pPr>
        <w:ind w:left="786"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F47F5F"/>
    <w:multiLevelType w:val="hybridMultilevel"/>
    <w:tmpl w:val="94AE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D464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4838E5"/>
    <w:multiLevelType w:val="hybridMultilevel"/>
    <w:tmpl w:val="C6E6F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4C562D"/>
    <w:multiLevelType w:val="hybridMultilevel"/>
    <w:tmpl w:val="715C5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830123"/>
    <w:multiLevelType w:val="hybridMultilevel"/>
    <w:tmpl w:val="7966D45E"/>
    <w:lvl w:ilvl="0" w:tplc="04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A16719"/>
    <w:multiLevelType w:val="hybridMultilevel"/>
    <w:tmpl w:val="E4845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4" w15:restartNumberingAfterBreak="0">
    <w:nsid w:val="28050D96"/>
    <w:multiLevelType w:val="hybridMultilevel"/>
    <w:tmpl w:val="D9285866"/>
    <w:lvl w:ilvl="0" w:tplc="459E3AD8">
      <w:numFmt w:val="bullet"/>
      <w:lvlText w:val="•"/>
      <w:lvlJc w:val="left"/>
      <w:pPr>
        <w:ind w:left="770" w:hanging="360"/>
      </w:pPr>
      <w:rPr>
        <w:rFonts w:ascii="Calibri" w:eastAsiaTheme="minorHAnsi" w:hAnsi="Calibri" w:cstheme="minorBidi"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29EF7F63"/>
    <w:multiLevelType w:val="hybridMultilevel"/>
    <w:tmpl w:val="BFD04710"/>
    <w:lvl w:ilvl="0" w:tplc="04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F93E9A"/>
    <w:multiLevelType w:val="hybridMultilevel"/>
    <w:tmpl w:val="AA10C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7A3A55"/>
    <w:multiLevelType w:val="hybridMultilevel"/>
    <w:tmpl w:val="CC0A25A8"/>
    <w:lvl w:ilvl="0" w:tplc="F1B693BE">
      <w:start w:val="1"/>
      <w:numFmt w:val="bullet"/>
      <w:lvlText w:val=""/>
      <w:lvlJc w:val="left"/>
      <w:pPr>
        <w:ind w:left="786"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8A1FD3"/>
    <w:multiLevelType w:val="hybridMultilevel"/>
    <w:tmpl w:val="48AE90F8"/>
    <w:lvl w:ilvl="0" w:tplc="459E3AD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B143A3"/>
    <w:multiLevelType w:val="hybridMultilevel"/>
    <w:tmpl w:val="EE5C00BE"/>
    <w:lvl w:ilvl="0" w:tplc="3B6C1B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5605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025EC2"/>
    <w:multiLevelType w:val="hybridMultilevel"/>
    <w:tmpl w:val="8BCA5F20"/>
    <w:lvl w:ilvl="0" w:tplc="04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6714AA0"/>
    <w:multiLevelType w:val="hybridMultilevel"/>
    <w:tmpl w:val="EE5C00BE"/>
    <w:lvl w:ilvl="0" w:tplc="3B6C1B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7777D91"/>
    <w:multiLevelType w:val="hybridMultilevel"/>
    <w:tmpl w:val="CA92D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C7013E"/>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BDB0570"/>
    <w:multiLevelType w:val="hybridMultilevel"/>
    <w:tmpl w:val="AE52311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9" w15:restartNumberingAfterBreak="0">
    <w:nsid w:val="45FC282C"/>
    <w:multiLevelType w:val="hybridMultilevel"/>
    <w:tmpl w:val="1FB6FDE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2862FF"/>
    <w:multiLevelType w:val="hybridMultilevel"/>
    <w:tmpl w:val="452AF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4C59A0"/>
    <w:multiLevelType w:val="hybridMultilevel"/>
    <w:tmpl w:val="7B5CFBFE"/>
    <w:lvl w:ilvl="0" w:tplc="DBB2BBE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12684F"/>
    <w:multiLevelType w:val="hybridMultilevel"/>
    <w:tmpl w:val="2528FC74"/>
    <w:lvl w:ilvl="0" w:tplc="EAC66376">
      <w:start w:val="1"/>
      <w:numFmt w:val="decimal"/>
      <w:lvlText w:val="%1."/>
      <w:lvlJc w:val="left"/>
      <w:pPr>
        <w:ind w:left="720" w:hanging="360"/>
      </w:pPr>
      <w:rPr>
        <w:rFonts w:ascii="Times New Roman" w:hAnsi="Times New Roman" w:cs="Times New Roman"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C0106B4"/>
    <w:multiLevelType w:val="hybridMultilevel"/>
    <w:tmpl w:val="8BCA5F20"/>
    <w:lvl w:ilvl="0" w:tplc="04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6"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7" w15:restartNumberingAfterBreak="0">
    <w:nsid w:val="4DEB7D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2037EAC"/>
    <w:multiLevelType w:val="hybridMultilevel"/>
    <w:tmpl w:val="099E4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40" w15:restartNumberingAfterBreak="0">
    <w:nsid w:val="59240F3A"/>
    <w:multiLevelType w:val="hybridMultilevel"/>
    <w:tmpl w:val="BA5E2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96A736C"/>
    <w:multiLevelType w:val="hybridMultilevel"/>
    <w:tmpl w:val="E7240AEE"/>
    <w:lvl w:ilvl="0" w:tplc="0C090001">
      <w:start w:val="1"/>
      <w:numFmt w:val="bullet"/>
      <w:lvlText w:val=""/>
      <w:lvlJc w:val="left"/>
      <w:pPr>
        <w:ind w:left="720" w:hanging="360"/>
      </w:pPr>
      <w:rPr>
        <w:rFonts w:ascii="Symbol" w:hAnsi="Symbol" w:hint="default"/>
      </w:rPr>
    </w:lvl>
    <w:lvl w:ilvl="1" w:tplc="477CC980">
      <w:numFmt w:val="bullet"/>
      <w:lvlText w:val="•"/>
      <w:lvlJc w:val="left"/>
      <w:pPr>
        <w:ind w:left="1440" w:hanging="360"/>
      </w:pPr>
      <w:rPr>
        <w:rFonts w:ascii="Calibri" w:eastAsiaTheme="minorEastAsia" w:hAnsi="Calibri" w:cstheme="minorBidi" w:hint="default"/>
      </w:rPr>
    </w:lvl>
    <w:lvl w:ilvl="2" w:tplc="AA005718">
      <w:numFmt w:val="bullet"/>
      <w:lvlText w:val="-"/>
      <w:lvlJc w:val="left"/>
      <w:pPr>
        <w:ind w:left="2160" w:hanging="360"/>
      </w:pPr>
      <w:rPr>
        <w:rFonts w:ascii="Calibri" w:eastAsiaTheme="minorEastAsia"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A387126"/>
    <w:multiLevelType w:val="hybridMultilevel"/>
    <w:tmpl w:val="12547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63296E"/>
    <w:multiLevelType w:val="hybridMultilevel"/>
    <w:tmpl w:val="51EE8DD8"/>
    <w:lvl w:ilvl="0" w:tplc="EDC89F72">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E5C3F14"/>
    <w:multiLevelType w:val="hybridMultilevel"/>
    <w:tmpl w:val="41F252D4"/>
    <w:lvl w:ilvl="0" w:tplc="26D8B52C">
      <w:start w:val="3"/>
      <w:numFmt w:val="bullet"/>
      <w:lvlText w:val="•"/>
      <w:lvlJc w:val="left"/>
      <w:pPr>
        <w:ind w:left="1440" w:hanging="72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63365290"/>
    <w:multiLevelType w:val="hybridMultilevel"/>
    <w:tmpl w:val="3F284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768551B"/>
    <w:multiLevelType w:val="multilevel"/>
    <w:tmpl w:val="ED16042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lowerRoman"/>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7" w15:restartNumberingAfterBreak="0">
    <w:nsid w:val="6BBF530C"/>
    <w:multiLevelType w:val="hybridMultilevel"/>
    <w:tmpl w:val="82CEA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02386A"/>
    <w:multiLevelType w:val="hybridMultilevel"/>
    <w:tmpl w:val="E7569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DD12C85"/>
    <w:multiLevelType w:val="multilevel"/>
    <w:tmpl w:val="4ED80BF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FE27629"/>
    <w:multiLevelType w:val="hybridMultilevel"/>
    <w:tmpl w:val="8E3E7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52" w15:restartNumberingAfterBreak="0">
    <w:nsid w:val="71F227E3"/>
    <w:multiLevelType w:val="hybridMultilevel"/>
    <w:tmpl w:val="A8CAE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20619E6"/>
    <w:multiLevelType w:val="hybridMultilevel"/>
    <w:tmpl w:val="8C2034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3BA7015"/>
    <w:multiLevelType w:val="hybridMultilevel"/>
    <w:tmpl w:val="49BC3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5587E91"/>
    <w:multiLevelType w:val="hybridMultilevel"/>
    <w:tmpl w:val="A9F4A15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56" w15:restartNumberingAfterBreak="0">
    <w:nsid w:val="7A8649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B913840"/>
    <w:multiLevelType w:val="hybridMultilevel"/>
    <w:tmpl w:val="9ED0261A"/>
    <w:lvl w:ilvl="0" w:tplc="459E3AD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C4235E3"/>
    <w:multiLevelType w:val="hybridMultilevel"/>
    <w:tmpl w:val="1B9C842C"/>
    <w:lvl w:ilvl="0" w:tplc="459E3AD8">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C49465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CCB4B78"/>
    <w:multiLevelType w:val="hybridMultilevel"/>
    <w:tmpl w:val="DFB01168"/>
    <w:lvl w:ilvl="0" w:tplc="04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D0D386F"/>
    <w:multiLevelType w:val="hybridMultilevel"/>
    <w:tmpl w:val="4D18E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F1352A7"/>
    <w:multiLevelType w:val="hybridMultilevel"/>
    <w:tmpl w:val="4E44E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32"/>
  </w:num>
  <w:num w:numId="4">
    <w:abstractNumId w:val="25"/>
  </w:num>
  <w:num w:numId="5">
    <w:abstractNumId w:val="27"/>
  </w:num>
  <w:num w:numId="6">
    <w:abstractNumId w:val="39"/>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39"/>
  </w:num>
  <w:num w:numId="8">
    <w:abstractNumId w:val="2"/>
  </w:num>
  <w:num w:numId="9">
    <w:abstractNumId w:val="51"/>
  </w:num>
  <w:num w:numId="10">
    <w:abstractNumId w:val="13"/>
  </w:num>
  <w:num w:numId="11">
    <w:abstractNumId w:val="35"/>
  </w:num>
  <w:num w:numId="12">
    <w:abstractNumId w:val="36"/>
  </w:num>
  <w:num w:numId="13">
    <w:abstractNumId w:val="0"/>
  </w:num>
  <w:num w:numId="14">
    <w:abstractNumId w:val="45"/>
  </w:num>
  <w:num w:numId="15">
    <w:abstractNumId w:val="30"/>
  </w:num>
  <w:num w:numId="16">
    <w:abstractNumId w:val="20"/>
  </w:num>
  <w:num w:numId="17">
    <w:abstractNumId w:val="31"/>
  </w:num>
  <w:num w:numId="18">
    <w:abstractNumId w:val="38"/>
  </w:num>
  <w:num w:numId="19">
    <w:abstractNumId w:val="56"/>
  </w:num>
  <w:num w:numId="20">
    <w:abstractNumId w:val="37"/>
  </w:num>
  <w:num w:numId="21">
    <w:abstractNumId w:val="11"/>
  </w:num>
  <w:num w:numId="22">
    <w:abstractNumId w:val="16"/>
  </w:num>
  <w:num w:numId="23">
    <w:abstractNumId w:val="41"/>
  </w:num>
  <w:num w:numId="24">
    <w:abstractNumId w:val="58"/>
  </w:num>
  <w:num w:numId="25">
    <w:abstractNumId w:val="14"/>
  </w:num>
  <w:num w:numId="26">
    <w:abstractNumId w:val="3"/>
  </w:num>
  <w:num w:numId="27">
    <w:abstractNumId w:val="57"/>
  </w:num>
  <w:num w:numId="28">
    <w:abstractNumId w:val="18"/>
  </w:num>
  <w:num w:numId="29">
    <w:abstractNumId w:val="62"/>
  </w:num>
  <w:num w:numId="30">
    <w:abstractNumId w:val="46"/>
  </w:num>
  <w:num w:numId="31">
    <w:abstractNumId w:val="49"/>
  </w:num>
  <w:num w:numId="32">
    <w:abstractNumId w:val="44"/>
  </w:num>
  <w:num w:numId="33">
    <w:abstractNumId w:val="33"/>
  </w:num>
  <w:num w:numId="34">
    <w:abstractNumId w:val="19"/>
  </w:num>
  <w:num w:numId="35">
    <w:abstractNumId w:val="22"/>
  </w:num>
  <w:num w:numId="36">
    <w:abstractNumId w:val="17"/>
  </w:num>
  <w:num w:numId="37">
    <w:abstractNumId w:val="6"/>
  </w:num>
  <w:num w:numId="38">
    <w:abstractNumId w:val="29"/>
  </w:num>
  <w:num w:numId="39">
    <w:abstractNumId w:val="48"/>
  </w:num>
  <w:num w:numId="40">
    <w:abstractNumId w:val="9"/>
  </w:num>
  <w:num w:numId="41">
    <w:abstractNumId w:val="43"/>
  </w:num>
  <w:num w:numId="42">
    <w:abstractNumId w:val="54"/>
  </w:num>
  <w:num w:numId="43">
    <w:abstractNumId w:val="10"/>
  </w:num>
  <w:num w:numId="44">
    <w:abstractNumId w:val="34"/>
  </w:num>
  <w:num w:numId="45">
    <w:abstractNumId w:val="61"/>
  </w:num>
  <w:num w:numId="46">
    <w:abstractNumId w:val="60"/>
  </w:num>
  <w:num w:numId="47">
    <w:abstractNumId w:val="28"/>
  </w:num>
  <w:num w:numId="48">
    <w:abstractNumId w:val="15"/>
  </w:num>
  <w:num w:numId="49">
    <w:abstractNumId w:val="4"/>
  </w:num>
  <w:num w:numId="50">
    <w:abstractNumId w:val="1"/>
  </w:num>
  <w:num w:numId="51">
    <w:abstractNumId w:val="52"/>
  </w:num>
  <w:num w:numId="52">
    <w:abstractNumId w:val="21"/>
  </w:num>
  <w:num w:numId="53">
    <w:abstractNumId w:val="5"/>
  </w:num>
  <w:num w:numId="54">
    <w:abstractNumId w:val="8"/>
  </w:num>
  <w:num w:numId="55">
    <w:abstractNumId w:val="24"/>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55"/>
  </w:num>
  <w:num w:numId="59">
    <w:abstractNumId w:val="23"/>
  </w:num>
  <w:num w:numId="60">
    <w:abstractNumId w:val="50"/>
  </w:num>
  <w:num w:numId="61">
    <w:abstractNumId w:val="42"/>
  </w:num>
  <w:num w:numId="62">
    <w:abstractNumId w:val="47"/>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num>
  <w:num w:numId="65">
    <w:abstractNumId w:val="53"/>
  </w:num>
  <w:num w:numId="66">
    <w:abstractNumId w:val="59"/>
  </w:num>
  <w:num w:numId="67">
    <w:abstractNumId w:val="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20"/>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37"/>
    <w:rsid w:val="00005DFA"/>
    <w:rsid w:val="00010856"/>
    <w:rsid w:val="0001159E"/>
    <w:rsid w:val="00012656"/>
    <w:rsid w:val="00017917"/>
    <w:rsid w:val="00020655"/>
    <w:rsid w:val="00021BEE"/>
    <w:rsid w:val="000279EF"/>
    <w:rsid w:val="0003487B"/>
    <w:rsid w:val="00037687"/>
    <w:rsid w:val="000379D7"/>
    <w:rsid w:val="000464D9"/>
    <w:rsid w:val="00047974"/>
    <w:rsid w:val="00052A89"/>
    <w:rsid w:val="000561F7"/>
    <w:rsid w:val="00057A1A"/>
    <w:rsid w:val="00062E93"/>
    <w:rsid w:val="00066B27"/>
    <w:rsid w:val="00067984"/>
    <w:rsid w:val="00070054"/>
    <w:rsid w:val="00076296"/>
    <w:rsid w:val="00082E26"/>
    <w:rsid w:val="000871B0"/>
    <w:rsid w:val="000917AA"/>
    <w:rsid w:val="00092608"/>
    <w:rsid w:val="00092C7E"/>
    <w:rsid w:val="00096C6F"/>
    <w:rsid w:val="0009727D"/>
    <w:rsid w:val="000A1839"/>
    <w:rsid w:val="000A3821"/>
    <w:rsid w:val="000A4B1C"/>
    <w:rsid w:val="000B3A54"/>
    <w:rsid w:val="000B6651"/>
    <w:rsid w:val="000B68DB"/>
    <w:rsid w:val="000B6B24"/>
    <w:rsid w:val="000B6BCA"/>
    <w:rsid w:val="000B7E61"/>
    <w:rsid w:val="000C0137"/>
    <w:rsid w:val="000C2A50"/>
    <w:rsid w:val="000C30B8"/>
    <w:rsid w:val="000C5E33"/>
    <w:rsid w:val="000D0687"/>
    <w:rsid w:val="000D19CF"/>
    <w:rsid w:val="000D1A15"/>
    <w:rsid w:val="000D27C8"/>
    <w:rsid w:val="000D54D2"/>
    <w:rsid w:val="000D6329"/>
    <w:rsid w:val="000E3A3F"/>
    <w:rsid w:val="000E73FA"/>
    <w:rsid w:val="000F170C"/>
    <w:rsid w:val="000F3AB1"/>
    <w:rsid w:val="000F6703"/>
    <w:rsid w:val="000F73FB"/>
    <w:rsid w:val="00100B2D"/>
    <w:rsid w:val="0010189B"/>
    <w:rsid w:val="001027DB"/>
    <w:rsid w:val="0010348D"/>
    <w:rsid w:val="00107DCC"/>
    <w:rsid w:val="001139C6"/>
    <w:rsid w:val="00116711"/>
    <w:rsid w:val="0012070D"/>
    <w:rsid w:val="00131881"/>
    <w:rsid w:val="0013435A"/>
    <w:rsid w:val="00140D7D"/>
    <w:rsid w:val="00144750"/>
    <w:rsid w:val="0014506B"/>
    <w:rsid w:val="00151B13"/>
    <w:rsid w:val="00155168"/>
    <w:rsid w:val="00155B3B"/>
    <w:rsid w:val="00160943"/>
    <w:rsid w:val="00161B53"/>
    <w:rsid w:val="00162F41"/>
    <w:rsid w:val="00166052"/>
    <w:rsid w:val="001709C9"/>
    <w:rsid w:val="00172661"/>
    <w:rsid w:val="00172963"/>
    <w:rsid w:val="00176D99"/>
    <w:rsid w:val="0018037E"/>
    <w:rsid w:val="00187A7C"/>
    <w:rsid w:val="00190805"/>
    <w:rsid w:val="00192A8D"/>
    <w:rsid w:val="00195A52"/>
    <w:rsid w:val="001A11CB"/>
    <w:rsid w:val="001A47F8"/>
    <w:rsid w:val="001A4D2A"/>
    <w:rsid w:val="001B219B"/>
    <w:rsid w:val="001B587A"/>
    <w:rsid w:val="001B60FD"/>
    <w:rsid w:val="001C2C6E"/>
    <w:rsid w:val="001C7A0D"/>
    <w:rsid w:val="001D04B0"/>
    <w:rsid w:val="001D235D"/>
    <w:rsid w:val="001D3C38"/>
    <w:rsid w:val="001D3DE7"/>
    <w:rsid w:val="001E125D"/>
    <w:rsid w:val="001E5A3B"/>
    <w:rsid w:val="001E7690"/>
    <w:rsid w:val="001E7CA3"/>
    <w:rsid w:val="001F5B95"/>
    <w:rsid w:val="00201652"/>
    <w:rsid w:val="00207D88"/>
    <w:rsid w:val="00210FBB"/>
    <w:rsid w:val="00211B48"/>
    <w:rsid w:val="00222C3B"/>
    <w:rsid w:val="00225E42"/>
    <w:rsid w:val="002275A0"/>
    <w:rsid w:val="002356D6"/>
    <w:rsid w:val="002365FE"/>
    <w:rsid w:val="00242F55"/>
    <w:rsid w:val="002469BA"/>
    <w:rsid w:val="00250FE5"/>
    <w:rsid w:val="00263E57"/>
    <w:rsid w:val="0026445D"/>
    <w:rsid w:val="00265A1B"/>
    <w:rsid w:val="00280979"/>
    <w:rsid w:val="00282ED2"/>
    <w:rsid w:val="00284FB4"/>
    <w:rsid w:val="002905B2"/>
    <w:rsid w:val="002A304F"/>
    <w:rsid w:val="002B22C4"/>
    <w:rsid w:val="002C019F"/>
    <w:rsid w:val="002C12F2"/>
    <w:rsid w:val="002C338C"/>
    <w:rsid w:val="002C4C19"/>
    <w:rsid w:val="002D13FF"/>
    <w:rsid w:val="002D23E3"/>
    <w:rsid w:val="002D5D10"/>
    <w:rsid w:val="002E31C9"/>
    <w:rsid w:val="00300784"/>
    <w:rsid w:val="003014F6"/>
    <w:rsid w:val="00315CEA"/>
    <w:rsid w:val="00316767"/>
    <w:rsid w:val="003228EF"/>
    <w:rsid w:val="00322FDA"/>
    <w:rsid w:val="00327077"/>
    <w:rsid w:val="00330E99"/>
    <w:rsid w:val="0034014E"/>
    <w:rsid w:val="00341BD7"/>
    <w:rsid w:val="00342299"/>
    <w:rsid w:val="003428D1"/>
    <w:rsid w:val="00343092"/>
    <w:rsid w:val="00353FCC"/>
    <w:rsid w:val="00364DEC"/>
    <w:rsid w:val="003677E0"/>
    <w:rsid w:val="00370113"/>
    <w:rsid w:val="003773DA"/>
    <w:rsid w:val="003803F3"/>
    <w:rsid w:val="00385853"/>
    <w:rsid w:val="00391F3D"/>
    <w:rsid w:val="003939E0"/>
    <w:rsid w:val="00397B56"/>
    <w:rsid w:val="003A64C1"/>
    <w:rsid w:val="003B0414"/>
    <w:rsid w:val="003B1945"/>
    <w:rsid w:val="003B3106"/>
    <w:rsid w:val="003C23B9"/>
    <w:rsid w:val="003C26AE"/>
    <w:rsid w:val="003C65D6"/>
    <w:rsid w:val="003D22E9"/>
    <w:rsid w:val="003D2646"/>
    <w:rsid w:val="003D265D"/>
    <w:rsid w:val="003D5059"/>
    <w:rsid w:val="003E0F2C"/>
    <w:rsid w:val="003F4097"/>
    <w:rsid w:val="004009CA"/>
    <w:rsid w:val="00407B75"/>
    <w:rsid w:val="00412CF8"/>
    <w:rsid w:val="004142C3"/>
    <w:rsid w:val="00415CBE"/>
    <w:rsid w:val="00417C3B"/>
    <w:rsid w:val="00426192"/>
    <w:rsid w:val="00430F8F"/>
    <w:rsid w:val="00434381"/>
    <w:rsid w:val="00437806"/>
    <w:rsid w:val="004416FC"/>
    <w:rsid w:val="00445AFA"/>
    <w:rsid w:val="00446740"/>
    <w:rsid w:val="00447D38"/>
    <w:rsid w:val="00450B4F"/>
    <w:rsid w:val="00456E62"/>
    <w:rsid w:val="004577AE"/>
    <w:rsid w:val="00457D56"/>
    <w:rsid w:val="004619C7"/>
    <w:rsid w:val="004638B4"/>
    <w:rsid w:val="004655D6"/>
    <w:rsid w:val="00467CE0"/>
    <w:rsid w:val="00471AB0"/>
    <w:rsid w:val="004725C3"/>
    <w:rsid w:val="00476464"/>
    <w:rsid w:val="00482DB2"/>
    <w:rsid w:val="004908D9"/>
    <w:rsid w:val="00494AA7"/>
    <w:rsid w:val="004A0820"/>
    <w:rsid w:val="004A0B39"/>
    <w:rsid w:val="004A30F6"/>
    <w:rsid w:val="004A46B7"/>
    <w:rsid w:val="004A5DAA"/>
    <w:rsid w:val="004B3B74"/>
    <w:rsid w:val="004B6557"/>
    <w:rsid w:val="004B7813"/>
    <w:rsid w:val="004C0107"/>
    <w:rsid w:val="004C67B4"/>
    <w:rsid w:val="004D1594"/>
    <w:rsid w:val="004D7787"/>
    <w:rsid w:val="004E0546"/>
    <w:rsid w:val="004E4746"/>
    <w:rsid w:val="004E51EA"/>
    <w:rsid w:val="004E7819"/>
    <w:rsid w:val="004E7F42"/>
    <w:rsid w:val="004F29FC"/>
    <w:rsid w:val="004F7603"/>
    <w:rsid w:val="00501DA0"/>
    <w:rsid w:val="005024AA"/>
    <w:rsid w:val="00503350"/>
    <w:rsid w:val="0050377D"/>
    <w:rsid w:val="005152DD"/>
    <w:rsid w:val="00516CBE"/>
    <w:rsid w:val="00521563"/>
    <w:rsid w:val="005330F0"/>
    <w:rsid w:val="00534FCD"/>
    <w:rsid w:val="00537BF0"/>
    <w:rsid w:val="00541756"/>
    <w:rsid w:val="00543709"/>
    <w:rsid w:val="0054455D"/>
    <w:rsid w:val="00546F70"/>
    <w:rsid w:val="00554779"/>
    <w:rsid w:val="00556B89"/>
    <w:rsid w:val="00561136"/>
    <w:rsid w:val="00564A25"/>
    <w:rsid w:val="00570B3E"/>
    <w:rsid w:val="0057117D"/>
    <w:rsid w:val="00571286"/>
    <w:rsid w:val="00571848"/>
    <w:rsid w:val="005720FA"/>
    <w:rsid w:val="0057438F"/>
    <w:rsid w:val="00581500"/>
    <w:rsid w:val="00586DAE"/>
    <w:rsid w:val="00590B02"/>
    <w:rsid w:val="00592621"/>
    <w:rsid w:val="005A075A"/>
    <w:rsid w:val="005A4C8D"/>
    <w:rsid w:val="005B2236"/>
    <w:rsid w:val="005B28E2"/>
    <w:rsid w:val="005B3FB2"/>
    <w:rsid w:val="005C6782"/>
    <w:rsid w:val="005C6CF8"/>
    <w:rsid w:val="005C7C30"/>
    <w:rsid w:val="005D2A11"/>
    <w:rsid w:val="005E3F44"/>
    <w:rsid w:val="005E6CD5"/>
    <w:rsid w:val="005E7330"/>
    <w:rsid w:val="0060042C"/>
    <w:rsid w:val="00605082"/>
    <w:rsid w:val="006060A2"/>
    <w:rsid w:val="006066F2"/>
    <w:rsid w:val="00607D22"/>
    <w:rsid w:val="0061337F"/>
    <w:rsid w:val="00616325"/>
    <w:rsid w:val="00617A0C"/>
    <w:rsid w:val="00621F3A"/>
    <w:rsid w:val="00630087"/>
    <w:rsid w:val="00635B63"/>
    <w:rsid w:val="006406A6"/>
    <w:rsid w:val="0064305E"/>
    <w:rsid w:val="00644012"/>
    <w:rsid w:val="00645B6B"/>
    <w:rsid w:val="006545E6"/>
    <w:rsid w:val="00661696"/>
    <w:rsid w:val="006722B1"/>
    <w:rsid w:val="00675E49"/>
    <w:rsid w:val="006761C9"/>
    <w:rsid w:val="00676422"/>
    <w:rsid w:val="006765EA"/>
    <w:rsid w:val="006916E5"/>
    <w:rsid w:val="00695DDA"/>
    <w:rsid w:val="006A0D6B"/>
    <w:rsid w:val="006A1285"/>
    <w:rsid w:val="006B4BB6"/>
    <w:rsid w:val="006C1DE6"/>
    <w:rsid w:val="006C24DF"/>
    <w:rsid w:val="006C4E9F"/>
    <w:rsid w:val="006C6151"/>
    <w:rsid w:val="006C7AC9"/>
    <w:rsid w:val="006D1077"/>
    <w:rsid w:val="006D420C"/>
    <w:rsid w:val="006E59E8"/>
    <w:rsid w:val="006E60C9"/>
    <w:rsid w:val="006E680B"/>
    <w:rsid w:val="006F4DB0"/>
    <w:rsid w:val="00703125"/>
    <w:rsid w:val="00703713"/>
    <w:rsid w:val="00704595"/>
    <w:rsid w:val="00704A6C"/>
    <w:rsid w:val="00704E89"/>
    <w:rsid w:val="00707271"/>
    <w:rsid w:val="00707E83"/>
    <w:rsid w:val="00715CCE"/>
    <w:rsid w:val="00715D71"/>
    <w:rsid w:val="00723A12"/>
    <w:rsid w:val="007243AA"/>
    <w:rsid w:val="00726CC4"/>
    <w:rsid w:val="00727E67"/>
    <w:rsid w:val="007320ED"/>
    <w:rsid w:val="0073391A"/>
    <w:rsid w:val="00736FEF"/>
    <w:rsid w:val="007415A7"/>
    <w:rsid w:val="00742498"/>
    <w:rsid w:val="0074361D"/>
    <w:rsid w:val="00743661"/>
    <w:rsid w:val="0074724D"/>
    <w:rsid w:val="00751131"/>
    <w:rsid w:val="00751425"/>
    <w:rsid w:val="007530F7"/>
    <w:rsid w:val="00763C69"/>
    <w:rsid w:val="00780758"/>
    <w:rsid w:val="00783128"/>
    <w:rsid w:val="00784129"/>
    <w:rsid w:val="00787C08"/>
    <w:rsid w:val="007933BF"/>
    <w:rsid w:val="00796B1B"/>
    <w:rsid w:val="007975C4"/>
    <w:rsid w:val="007A0993"/>
    <w:rsid w:val="007A4555"/>
    <w:rsid w:val="007A5AD0"/>
    <w:rsid w:val="007A67F0"/>
    <w:rsid w:val="007B6D72"/>
    <w:rsid w:val="007C0C76"/>
    <w:rsid w:val="007C702D"/>
    <w:rsid w:val="007D07FD"/>
    <w:rsid w:val="007D25A5"/>
    <w:rsid w:val="007D264A"/>
    <w:rsid w:val="007D3CC2"/>
    <w:rsid w:val="007E2C8E"/>
    <w:rsid w:val="007E66FA"/>
    <w:rsid w:val="007E7F78"/>
    <w:rsid w:val="007F5E44"/>
    <w:rsid w:val="00806B3F"/>
    <w:rsid w:val="008075B1"/>
    <w:rsid w:val="00811D28"/>
    <w:rsid w:val="00811D9E"/>
    <w:rsid w:val="00815AED"/>
    <w:rsid w:val="0082179B"/>
    <w:rsid w:val="00825466"/>
    <w:rsid w:val="00825C34"/>
    <w:rsid w:val="00827857"/>
    <w:rsid w:val="008302A7"/>
    <w:rsid w:val="00835E3C"/>
    <w:rsid w:val="0083756C"/>
    <w:rsid w:val="00841065"/>
    <w:rsid w:val="00842A75"/>
    <w:rsid w:val="00846B1D"/>
    <w:rsid w:val="008476E0"/>
    <w:rsid w:val="00852200"/>
    <w:rsid w:val="00855D00"/>
    <w:rsid w:val="00857844"/>
    <w:rsid w:val="008930A1"/>
    <w:rsid w:val="008A52E3"/>
    <w:rsid w:val="008A7E6E"/>
    <w:rsid w:val="008B0EA6"/>
    <w:rsid w:val="008B162B"/>
    <w:rsid w:val="008B2154"/>
    <w:rsid w:val="008B4498"/>
    <w:rsid w:val="008B6746"/>
    <w:rsid w:val="008C20DF"/>
    <w:rsid w:val="008C3DE3"/>
    <w:rsid w:val="008C43DD"/>
    <w:rsid w:val="008C50A7"/>
    <w:rsid w:val="008C616F"/>
    <w:rsid w:val="008D733F"/>
    <w:rsid w:val="008E0D4E"/>
    <w:rsid w:val="008E622E"/>
    <w:rsid w:val="008E7035"/>
    <w:rsid w:val="008F3604"/>
    <w:rsid w:val="009007A9"/>
    <w:rsid w:val="00900FEE"/>
    <w:rsid w:val="00902DCD"/>
    <w:rsid w:val="00910FC1"/>
    <w:rsid w:val="00913080"/>
    <w:rsid w:val="0091776F"/>
    <w:rsid w:val="00917AAD"/>
    <w:rsid w:val="0092152E"/>
    <w:rsid w:val="0092165B"/>
    <w:rsid w:val="009412B5"/>
    <w:rsid w:val="00946F7C"/>
    <w:rsid w:val="00950CD5"/>
    <w:rsid w:val="0095474F"/>
    <w:rsid w:val="00960804"/>
    <w:rsid w:val="00960E60"/>
    <w:rsid w:val="009653D5"/>
    <w:rsid w:val="00975768"/>
    <w:rsid w:val="00981C87"/>
    <w:rsid w:val="009848C3"/>
    <w:rsid w:val="00991CF9"/>
    <w:rsid w:val="009A1B50"/>
    <w:rsid w:val="009A1C4C"/>
    <w:rsid w:val="009A37E9"/>
    <w:rsid w:val="009A4EDF"/>
    <w:rsid w:val="009B3DAE"/>
    <w:rsid w:val="009C1A83"/>
    <w:rsid w:val="009D08F6"/>
    <w:rsid w:val="009D3F04"/>
    <w:rsid w:val="009D5AB3"/>
    <w:rsid w:val="009D7383"/>
    <w:rsid w:val="009E45E1"/>
    <w:rsid w:val="009F17E7"/>
    <w:rsid w:val="009F3703"/>
    <w:rsid w:val="009F3F6D"/>
    <w:rsid w:val="009F6804"/>
    <w:rsid w:val="009F68CF"/>
    <w:rsid w:val="00A00755"/>
    <w:rsid w:val="00A04656"/>
    <w:rsid w:val="00A23814"/>
    <w:rsid w:val="00A27B75"/>
    <w:rsid w:val="00A34C3D"/>
    <w:rsid w:val="00A4250F"/>
    <w:rsid w:val="00A4307D"/>
    <w:rsid w:val="00A45872"/>
    <w:rsid w:val="00A46B74"/>
    <w:rsid w:val="00A47B12"/>
    <w:rsid w:val="00A518B4"/>
    <w:rsid w:val="00A54A6E"/>
    <w:rsid w:val="00A63980"/>
    <w:rsid w:val="00A724FC"/>
    <w:rsid w:val="00A758B9"/>
    <w:rsid w:val="00A77D47"/>
    <w:rsid w:val="00A800E6"/>
    <w:rsid w:val="00A847BC"/>
    <w:rsid w:val="00A84D5E"/>
    <w:rsid w:val="00A8520D"/>
    <w:rsid w:val="00A85CE0"/>
    <w:rsid w:val="00A90C02"/>
    <w:rsid w:val="00A91F78"/>
    <w:rsid w:val="00A92561"/>
    <w:rsid w:val="00A94A76"/>
    <w:rsid w:val="00AA6DB0"/>
    <w:rsid w:val="00AB1786"/>
    <w:rsid w:val="00AB22BA"/>
    <w:rsid w:val="00AB2995"/>
    <w:rsid w:val="00AB6DA9"/>
    <w:rsid w:val="00AC13CE"/>
    <w:rsid w:val="00AC48A4"/>
    <w:rsid w:val="00AC64D6"/>
    <w:rsid w:val="00AD14BD"/>
    <w:rsid w:val="00AD2B0F"/>
    <w:rsid w:val="00AD2C76"/>
    <w:rsid w:val="00AD2D61"/>
    <w:rsid w:val="00AD428C"/>
    <w:rsid w:val="00AD4DEA"/>
    <w:rsid w:val="00AE089F"/>
    <w:rsid w:val="00AE2F31"/>
    <w:rsid w:val="00AF2618"/>
    <w:rsid w:val="00AF664D"/>
    <w:rsid w:val="00B04022"/>
    <w:rsid w:val="00B12730"/>
    <w:rsid w:val="00B14A28"/>
    <w:rsid w:val="00B14C1F"/>
    <w:rsid w:val="00B17954"/>
    <w:rsid w:val="00B24EE5"/>
    <w:rsid w:val="00B31B13"/>
    <w:rsid w:val="00B33B2F"/>
    <w:rsid w:val="00B42701"/>
    <w:rsid w:val="00B54750"/>
    <w:rsid w:val="00B56610"/>
    <w:rsid w:val="00B57787"/>
    <w:rsid w:val="00B60A5D"/>
    <w:rsid w:val="00B64F6E"/>
    <w:rsid w:val="00B75491"/>
    <w:rsid w:val="00B76773"/>
    <w:rsid w:val="00B77D1C"/>
    <w:rsid w:val="00B81D0D"/>
    <w:rsid w:val="00B82F74"/>
    <w:rsid w:val="00B8479E"/>
    <w:rsid w:val="00B90361"/>
    <w:rsid w:val="00B93415"/>
    <w:rsid w:val="00B96C2B"/>
    <w:rsid w:val="00B978C7"/>
    <w:rsid w:val="00B97FEA"/>
    <w:rsid w:val="00BA6DDF"/>
    <w:rsid w:val="00BB00C1"/>
    <w:rsid w:val="00BB70CA"/>
    <w:rsid w:val="00BC039C"/>
    <w:rsid w:val="00BD1EAA"/>
    <w:rsid w:val="00BD1F1E"/>
    <w:rsid w:val="00BD3F4F"/>
    <w:rsid w:val="00BD5FD1"/>
    <w:rsid w:val="00BE0D08"/>
    <w:rsid w:val="00BE0E0D"/>
    <w:rsid w:val="00BE1FA5"/>
    <w:rsid w:val="00BE5591"/>
    <w:rsid w:val="00BE6683"/>
    <w:rsid w:val="00BF0A69"/>
    <w:rsid w:val="00BF7CF5"/>
    <w:rsid w:val="00C038C9"/>
    <w:rsid w:val="00C054F3"/>
    <w:rsid w:val="00C104AA"/>
    <w:rsid w:val="00C11C50"/>
    <w:rsid w:val="00C11C9F"/>
    <w:rsid w:val="00C11EA8"/>
    <w:rsid w:val="00C16B84"/>
    <w:rsid w:val="00C209C2"/>
    <w:rsid w:val="00C21524"/>
    <w:rsid w:val="00C267D9"/>
    <w:rsid w:val="00C2709D"/>
    <w:rsid w:val="00C27C64"/>
    <w:rsid w:val="00C37878"/>
    <w:rsid w:val="00C416E4"/>
    <w:rsid w:val="00C430CB"/>
    <w:rsid w:val="00C44C4C"/>
    <w:rsid w:val="00C573BC"/>
    <w:rsid w:val="00C577DD"/>
    <w:rsid w:val="00C67FF2"/>
    <w:rsid w:val="00C75EC6"/>
    <w:rsid w:val="00C765F1"/>
    <w:rsid w:val="00C7677A"/>
    <w:rsid w:val="00C823C9"/>
    <w:rsid w:val="00C847D4"/>
    <w:rsid w:val="00C90747"/>
    <w:rsid w:val="00C9174B"/>
    <w:rsid w:val="00C931EA"/>
    <w:rsid w:val="00C948BC"/>
    <w:rsid w:val="00C954B8"/>
    <w:rsid w:val="00CA5886"/>
    <w:rsid w:val="00CA5C3B"/>
    <w:rsid w:val="00CA7193"/>
    <w:rsid w:val="00CB2D9A"/>
    <w:rsid w:val="00CB4863"/>
    <w:rsid w:val="00CC1541"/>
    <w:rsid w:val="00CC4312"/>
    <w:rsid w:val="00CC5C76"/>
    <w:rsid w:val="00CD4715"/>
    <w:rsid w:val="00CD7DD2"/>
    <w:rsid w:val="00CE393E"/>
    <w:rsid w:val="00CE440D"/>
    <w:rsid w:val="00CE647A"/>
    <w:rsid w:val="00CF004D"/>
    <w:rsid w:val="00CF1406"/>
    <w:rsid w:val="00CF2775"/>
    <w:rsid w:val="00CF6B7C"/>
    <w:rsid w:val="00CF7C37"/>
    <w:rsid w:val="00D04C80"/>
    <w:rsid w:val="00D1072D"/>
    <w:rsid w:val="00D12661"/>
    <w:rsid w:val="00D13E1F"/>
    <w:rsid w:val="00D143FA"/>
    <w:rsid w:val="00D14F65"/>
    <w:rsid w:val="00D1731C"/>
    <w:rsid w:val="00D17E8D"/>
    <w:rsid w:val="00D22F8B"/>
    <w:rsid w:val="00D24A37"/>
    <w:rsid w:val="00D26383"/>
    <w:rsid w:val="00D26A91"/>
    <w:rsid w:val="00D27C4F"/>
    <w:rsid w:val="00D42670"/>
    <w:rsid w:val="00D44240"/>
    <w:rsid w:val="00D5048C"/>
    <w:rsid w:val="00D52285"/>
    <w:rsid w:val="00D54864"/>
    <w:rsid w:val="00D555B8"/>
    <w:rsid w:val="00D70D97"/>
    <w:rsid w:val="00D75769"/>
    <w:rsid w:val="00D757C8"/>
    <w:rsid w:val="00D770E7"/>
    <w:rsid w:val="00D8445D"/>
    <w:rsid w:val="00D87798"/>
    <w:rsid w:val="00D92BBE"/>
    <w:rsid w:val="00D97409"/>
    <w:rsid w:val="00D97B12"/>
    <w:rsid w:val="00DA2000"/>
    <w:rsid w:val="00DA30C4"/>
    <w:rsid w:val="00DA5922"/>
    <w:rsid w:val="00DB7E28"/>
    <w:rsid w:val="00DC08B4"/>
    <w:rsid w:val="00DC67AC"/>
    <w:rsid w:val="00DC7053"/>
    <w:rsid w:val="00DD0E94"/>
    <w:rsid w:val="00DD1AC7"/>
    <w:rsid w:val="00DD1DD9"/>
    <w:rsid w:val="00DD1DF2"/>
    <w:rsid w:val="00DD21F1"/>
    <w:rsid w:val="00DD3731"/>
    <w:rsid w:val="00DD6E14"/>
    <w:rsid w:val="00DE10D4"/>
    <w:rsid w:val="00DF0466"/>
    <w:rsid w:val="00DF1589"/>
    <w:rsid w:val="00DF394F"/>
    <w:rsid w:val="00E054EA"/>
    <w:rsid w:val="00E05F77"/>
    <w:rsid w:val="00E15BCD"/>
    <w:rsid w:val="00E230AC"/>
    <w:rsid w:val="00E25717"/>
    <w:rsid w:val="00E25BD4"/>
    <w:rsid w:val="00E278EE"/>
    <w:rsid w:val="00E3072D"/>
    <w:rsid w:val="00E32A56"/>
    <w:rsid w:val="00E3404C"/>
    <w:rsid w:val="00E3684B"/>
    <w:rsid w:val="00E41F29"/>
    <w:rsid w:val="00E43C50"/>
    <w:rsid w:val="00E47D18"/>
    <w:rsid w:val="00E47E3D"/>
    <w:rsid w:val="00E5067E"/>
    <w:rsid w:val="00E54D3A"/>
    <w:rsid w:val="00E6411C"/>
    <w:rsid w:val="00E67AEA"/>
    <w:rsid w:val="00E817FE"/>
    <w:rsid w:val="00E835ED"/>
    <w:rsid w:val="00E95BE9"/>
    <w:rsid w:val="00E96876"/>
    <w:rsid w:val="00EA542B"/>
    <w:rsid w:val="00EB4F1B"/>
    <w:rsid w:val="00EB714D"/>
    <w:rsid w:val="00EB7F9C"/>
    <w:rsid w:val="00EC16C0"/>
    <w:rsid w:val="00EC43B6"/>
    <w:rsid w:val="00EC4648"/>
    <w:rsid w:val="00EC758A"/>
    <w:rsid w:val="00EC7CEB"/>
    <w:rsid w:val="00ED0C15"/>
    <w:rsid w:val="00ED4CB2"/>
    <w:rsid w:val="00ED73A5"/>
    <w:rsid w:val="00EF015D"/>
    <w:rsid w:val="00EF45A5"/>
    <w:rsid w:val="00EF6901"/>
    <w:rsid w:val="00F046B9"/>
    <w:rsid w:val="00F046F9"/>
    <w:rsid w:val="00F053EF"/>
    <w:rsid w:val="00F06138"/>
    <w:rsid w:val="00F06FD8"/>
    <w:rsid w:val="00F128D0"/>
    <w:rsid w:val="00F15752"/>
    <w:rsid w:val="00F2065E"/>
    <w:rsid w:val="00F20ECA"/>
    <w:rsid w:val="00F21D3B"/>
    <w:rsid w:val="00F30B42"/>
    <w:rsid w:val="00F33F15"/>
    <w:rsid w:val="00F3591C"/>
    <w:rsid w:val="00F40690"/>
    <w:rsid w:val="00F42BF4"/>
    <w:rsid w:val="00F4630C"/>
    <w:rsid w:val="00F46463"/>
    <w:rsid w:val="00F46F08"/>
    <w:rsid w:val="00F5243B"/>
    <w:rsid w:val="00F5438B"/>
    <w:rsid w:val="00F5478E"/>
    <w:rsid w:val="00F57358"/>
    <w:rsid w:val="00F67488"/>
    <w:rsid w:val="00F7097C"/>
    <w:rsid w:val="00F70BAC"/>
    <w:rsid w:val="00F77911"/>
    <w:rsid w:val="00F8317E"/>
    <w:rsid w:val="00F8439F"/>
    <w:rsid w:val="00F866BF"/>
    <w:rsid w:val="00F87EA5"/>
    <w:rsid w:val="00F91E27"/>
    <w:rsid w:val="00F96882"/>
    <w:rsid w:val="00FA0F4A"/>
    <w:rsid w:val="00FA6137"/>
    <w:rsid w:val="00FB1995"/>
    <w:rsid w:val="00FC1315"/>
    <w:rsid w:val="00FC1FE3"/>
    <w:rsid w:val="00FC4526"/>
    <w:rsid w:val="00FC49D1"/>
    <w:rsid w:val="00FD12AD"/>
    <w:rsid w:val="00FD6AD3"/>
    <w:rsid w:val="00FD7F57"/>
    <w:rsid w:val="00FE1A51"/>
    <w:rsid w:val="00FE25B5"/>
    <w:rsid w:val="00FE3D1D"/>
    <w:rsid w:val="00FF044C"/>
    <w:rsid w:val="00FF45F5"/>
    <w:rsid w:val="00FF6AB9"/>
    <w:rsid w:val="00FF7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79FE02AE"/>
  <w15:docId w15:val="{4AF5B9CC-9672-413F-8AA0-3F18940C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numPr>
        <w:numId w:val="55"/>
      </w:numPr>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numPr>
        <w:ilvl w:val="1"/>
        <w:numId w:val="55"/>
      </w:numPr>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numPr>
        <w:ilvl w:val="2"/>
        <w:numId w:val="55"/>
      </w:numPr>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numPr>
        <w:ilvl w:val="3"/>
        <w:numId w:val="55"/>
      </w:numPr>
      <w:spacing w:before="200"/>
      <w:outlineLvl w:val="3"/>
    </w:pPr>
    <w:rPr>
      <w:rFonts w:ascii="Calibri" w:eastAsiaTheme="majorEastAsia" w:hAnsi="Calibri" w:cstheme="majorBidi"/>
      <w:b/>
      <w:bCs/>
      <w:i/>
      <w:iCs/>
    </w:rPr>
  </w:style>
  <w:style w:type="paragraph" w:styleId="Heading5">
    <w:name w:val="heading 5"/>
    <w:basedOn w:val="Normal"/>
    <w:next w:val="Normal"/>
    <w:link w:val="Heading5Char"/>
    <w:uiPriority w:val="9"/>
    <w:semiHidden/>
    <w:unhideWhenUsed/>
    <w:qFormat/>
    <w:rsid w:val="00644012"/>
    <w:pPr>
      <w:keepNext/>
      <w:keepLines/>
      <w:numPr>
        <w:ilvl w:val="4"/>
        <w:numId w:val="55"/>
      </w:numPr>
      <w:spacing w:before="40"/>
      <w:outlineLvl w:val="4"/>
    </w:pPr>
    <w:rPr>
      <w:rFonts w:asciiTheme="majorHAnsi" w:eastAsiaTheme="majorEastAsia" w:hAnsiTheme="majorHAnsi" w:cstheme="majorBidi"/>
      <w:color w:val="AF6FE0" w:themeColor="accent1" w:themeShade="BF"/>
    </w:rPr>
  </w:style>
  <w:style w:type="paragraph" w:styleId="Heading6">
    <w:name w:val="heading 6"/>
    <w:basedOn w:val="Normal"/>
    <w:next w:val="Normal"/>
    <w:link w:val="Heading6Char"/>
    <w:uiPriority w:val="9"/>
    <w:semiHidden/>
    <w:unhideWhenUsed/>
    <w:qFormat/>
    <w:rsid w:val="00644012"/>
    <w:pPr>
      <w:keepNext/>
      <w:keepLines/>
      <w:numPr>
        <w:ilvl w:val="5"/>
        <w:numId w:val="55"/>
      </w:numPr>
      <w:spacing w:before="40"/>
      <w:outlineLvl w:val="5"/>
    </w:pPr>
    <w:rPr>
      <w:rFonts w:asciiTheme="majorHAnsi" w:eastAsiaTheme="majorEastAsia" w:hAnsiTheme="majorHAnsi" w:cstheme="majorBidi"/>
      <w:color w:val="7927B7" w:themeColor="accent1" w:themeShade="7F"/>
    </w:rPr>
  </w:style>
  <w:style w:type="paragraph" w:styleId="Heading7">
    <w:name w:val="heading 7"/>
    <w:basedOn w:val="Normal"/>
    <w:next w:val="Normal"/>
    <w:link w:val="Heading7Char"/>
    <w:uiPriority w:val="9"/>
    <w:semiHidden/>
    <w:unhideWhenUsed/>
    <w:qFormat/>
    <w:rsid w:val="00644012"/>
    <w:pPr>
      <w:keepNext/>
      <w:keepLines/>
      <w:numPr>
        <w:ilvl w:val="6"/>
        <w:numId w:val="55"/>
      </w:numPr>
      <w:spacing w:before="40"/>
      <w:outlineLvl w:val="6"/>
    </w:pPr>
    <w:rPr>
      <w:rFonts w:asciiTheme="majorHAnsi" w:eastAsiaTheme="majorEastAsia" w:hAnsiTheme="majorHAnsi" w:cstheme="majorBidi"/>
      <w:i/>
      <w:iCs/>
      <w:color w:val="7927B7" w:themeColor="accent1" w:themeShade="7F"/>
    </w:rPr>
  </w:style>
  <w:style w:type="paragraph" w:styleId="Heading8">
    <w:name w:val="heading 8"/>
    <w:basedOn w:val="Normal"/>
    <w:next w:val="Normal"/>
    <w:link w:val="Heading8Char"/>
    <w:uiPriority w:val="9"/>
    <w:semiHidden/>
    <w:unhideWhenUsed/>
    <w:qFormat/>
    <w:rsid w:val="00644012"/>
    <w:pPr>
      <w:keepNext/>
      <w:keepLines/>
      <w:numPr>
        <w:ilvl w:val="7"/>
        <w:numId w:val="55"/>
      </w:numPr>
      <w:spacing w:before="40"/>
      <w:outlineLvl w:val="7"/>
    </w:pPr>
    <w:rPr>
      <w:rFonts w:asciiTheme="majorHAnsi" w:eastAsiaTheme="majorEastAsia" w:hAnsiTheme="majorHAnsi" w:cstheme="majorBidi"/>
      <w:color w:val="23518D" w:themeColor="text1" w:themeTint="D8"/>
      <w:sz w:val="21"/>
      <w:szCs w:val="21"/>
    </w:rPr>
  </w:style>
  <w:style w:type="paragraph" w:styleId="Heading9">
    <w:name w:val="heading 9"/>
    <w:basedOn w:val="Normal"/>
    <w:next w:val="Normal"/>
    <w:link w:val="Heading9Char"/>
    <w:uiPriority w:val="9"/>
    <w:semiHidden/>
    <w:unhideWhenUsed/>
    <w:qFormat/>
    <w:rsid w:val="00644012"/>
    <w:pPr>
      <w:keepNext/>
      <w:keepLines/>
      <w:numPr>
        <w:ilvl w:val="8"/>
        <w:numId w:val="55"/>
      </w:numPr>
      <w:spacing w:before="40"/>
      <w:outlineLvl w:val="8"/>
    </w:pPr>
    <w:rPr>
      <w:rFonts w:asciiTheme="majorHAnsi" w:eastAsiaTheme="majorEastAsia" w:hAnsiTheme="majorHAnsi" w:cstheme="majorBidi"/>
      <w:i/>
      <w:iCs/>
      <w:color w:val="23518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iPriority w:val="99"/>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customStyle="1" w:styleId="Heading5Char">
    <w:name w:val="Heading 5 Char"/>
    <w:basedOn w:val="DefaultParagraphFont"/>
    <w:link w:val="Heading5"/>
    <w:uiPriority w:val="9"/>
    <w:semiHidden/>
    <w:rsid w:val="00644012"/>
    <w:rPr>
      <w:rFonts w:asciiTheme="majorHAnsi" w:eastAsiaTheme="majorEastAsia" w:hAnsiTheme="majorHAnsi" w:cstheme="majorBidi"/>
      <w:color w:val="AF6FE0" w:themeColor="accent1" w:themeShade="BF"/>
    </w:rPr>
  </w:style>
  <w:style w:type="character" w:customStyle="1" w:styleId="Heading6Char">
    <w:name w:val="Heading 6 Char"/>
    <w:basedOn w:val="DefaultParagraphFont"/>
    <w:link w:val="Heading6"/>
    <w:uiPriority w:val="9"/>
    <w:semiHidden/>
    <w:rsid w:val="00644012"/>
    <w:rPr>
      <w:rFonts w:asciiTheme="majorHAnsi" w:eastAsiaTheme="majorEastAsia" w:hAnsiTheme="majorHAnsi" w:cstheme="majorBidi"/>
      <w:color w:val="7927B7" w:themeColor="accent1" w:themeShade="7F"/>
    </w:rPr>
  </w:style>
  <w:style w:type="character" w:customStyle="1" w:styleId="Heading7Char">
    <w:name w:val="Heading 7 Char"/>
    <w:basedOn w:val="DefaultParagraphFont"/>
    <w:link w:val="Heading7"/>
    <w:uiPriority w:val="9"/>
    <w:semiHidden/>
    <w:rsid w:val="00644012"/>
    <w:rPr>
      <w:rFonts w:asciiTheme="majorHAnsi" w:eastAsiaTheme="majorEastAsia" w:hAnsiTheme="majorHAnsi" w:cstheme="majorBidi"/>
      <w:i/>
      <w:iCs/>
      <w:color w:val="7927B7" w:themeColor="accent1" w:themeShade="7F"/>
    </w:rPr>
  </w:style>
  <w:style w:type="character" w:customStyle="1" w:styleId="Heading8Char">
    <w:name w:val="Heading 8 Char"/>
    <w:basedOn w:val="DefaultParagraphFont"/>
    <w:link w:val="Heading8"/>
    <w:uiPriority w:val="9"/>
    <w:semiHidden/>
    <w:rsid w:val="00644012"/>
    <w:rPr>
      <w:rFonts w:asciiTheme="majorHAnsi" w:eastAsiaTheme="majorEastAsia" w:hAnsiTheme="majorHAnsi" w:cstheme="majorBidi"/>
      <w:color w:val="23518D" w:themeColor="text1" w:themeTint="D8"/>
      <w:sz w:val="21"/>
      <w:szCs w:val="21"/>
    </w:rPr>
  </w:style>
  <w:style w:type="character" w:customStyle="1" w:styleId="Heading9Char">
    <w:name w:val="Heading 9 Char"/>
    <w:basedOn w:val="DefaultParagraphFont"/>
    <w:link w:val="Heading9"/>
    <w:uiPriority w:val="9"/>
    <w:semiHidden/>
    <w:rsid w:val="00644012"/>
    <w:rPr>
      <w:rFonts w:asciiTheme="majorHAnsi" w:eastAsiaTheme="majorEastAsia" w:hAnsiTheme="majorHAnsi" w:cstheme="majorBidi"/>
      <w:i/>
      <w:iCs/>
      <w:color w:val="23518D" w:themeColor="text1" w:themeTint="D8"/>
      <w:sz w:val="21"/>
      <w:szCs w:val="21"/>
    </w:rPr>
  </w:style>
  <w:style w:type="character" w:styleId="CommentReference">
    <w:name w:val="annotation reference"/>
    <w:basedOn w:val="DefaultParagraphFont"/>
    <w:uiPriority w:val="99"/>
    <w:semiHidden/>
    <w:unhideWhenUsed/>
    <w:rsid w:val="00CF1406"/>
    <w:rPr>
      <w:sz w:val="18"/>
      <w:szCs w:val="18"/>
    </w:rPr>
  </w:style>
  <w:style w:type="paragraph" w:styleId="CommentText">
    <w:name w:val="annotation text"/>
    <w:basedOn w:val="Normal"/>
    <w:link w:val="CommentTextChar"/>
    <w:uiPriority w:val="99"/>
    <w:unhideWhenUsed/>
    <w:rsid w:val="00CF1406"/>
    <w:pPr>
      <w:spacing w:line="240" w:lineRule="auto"/>
    </w:pPr>
    <w:rPr>
      <w:sz w:val="24"/>
      <w:szCs w:val="24"/>
    </w:rPr>
  </w:style>
  <w:style w:type="character" w:customStyle="1" w:styleId="CommentTextChar">
    <w:name w:val="Comment Text Char"/>
    <w:basedOn w:val="DefaultParagraphFont"/>
    <w:link w:val="CommentText"/>
    <w:uiPriority w:val="99"/>
    <w:rsid w:val="00CF1406"/>
    <w:rPr>
      <w:sz w:val="24"/>
      <w:szCs w:val="24"/>
    </w:rPr>
  </w:style>
  <w:style w:type="paragraph" w:styleId="CommentSubject">
    <w:name w:val="annotation subject"/>
    <w:basedOn w:val="CommentText"/>
    <w:next w:val="CommentText"/>
    <w:link w:val="CommentSubjectChar"/>
    <w:uiPriority w:val="99"/>
    <w:semiHidden/>
    <w:unhideWhenUsed/>
    <w:rsid w:val="00CF1406"/>
    <w:rPr>
      <w:b/>
      <w:bCs/>
      <w:sz w:val="20"/>
      <w:szCs w:val="20"/>
    </w:rPr>
  </w:style>
  <w:style w:type="character" w:customStyle="1" w:styleId="CommentSubjectChar">
    <w:name w:val="Comment Subject Char"/>
    <w:basedOn w:val="CommentTextChar"/>
    <w:link w:val="CommentSubject"/>
    <w:uiPriority w:val="99"/>
    <w:semiHidden/>
    <w:rsid w:val="00CF1406"/>
    <w:rPr>
      <w:b/>
      <w:bCs/>
      <w:sz w:val="20"/>
      <w:szCs w:val="20"/>
    </w:rPr>
  </w:style>
  <w:style w:type="character" w:styleId="Strong">
    <w:name w:val="Strong"/>
    <w:basedOn w:val="DefaultParagraphFont"/>
    <w:uiPriority w:val="22"/>
    <w:qFormat/>
    <w:rsid w:val="005720FA"/>
    <w:rPr>
      <w:b/>
      <w:bCs/>
    </w:rPr>
  </w:style>
  <w:style w:type="paragraph" w:customStyle="1" w:styleId="Default">
    <w:name w:val="Default"/>
    <w:rsid w:val="008B0EA6"/>
    <w:pPr>
      <w:autoSpaceDE w:val="0"/>
      <w:autoSpaceDN w:val="0"/>
      <w:adjustRightInd w:val="0"/>
      <w:spacing w:before="0" w:line="240" w:lineRule="auto"/>
    </w:pPr>
    <w:rPr>
      <w:rFonts w:ascii="Calibri" w:hAnsi="Calibri" w:cs="Calibri"/>
      <w:color w:val="000000"/>
      <w:sz w:val="24"/>
      <w:szCs w:val="24"/>
    </w:rPr>
  </w:style>
  <w:style w:type="paragraph" w:customStyle="1" w:styleId="Tableheading">
    <w:name w:val="Table heading"/>
    <w:basedOn w:val="Normal"/>
    <w:next w:val="Normal"/>
    <w:qFormat/>
    <w:rsid w:val="008B0EA6"/>
    <w:pPr>
      <w:spacing w:before="60" w:after="60" w:line="240" w:lineRule="auto"/>
    </w:pPr>
    <w:rPr>
      <w:rFonts w:ascii="Times New Roman" w:eastAsiaTheme="majorEastAsia" w:hAnsi="Times New Roman" w:cs="Times New Roman"/>
      <w:b/>
      <w:bCs/>
      <w:color w:val="17365D" w:themeColor="text1"/>
      <w:sz w:val="20"/>
      <w:szCs w:val="20"/>
    </w:rPr>
  </w:style>
  <w:style w:type="paragraph" w:styleId="NoSpacing">
    <w:name w:val="No Spacing"/>
    <w:link w:val="NoSpacingChar"/>
    <w:uiPriority w:val="1"/>
    <w:qFormat/>
    <w:rsid w:val="00172661"/>
    <w:pPr>
      <w:spacing w:before="0" w:line="240" w:lineRule="auto"/>
    </w:pPr>
    <w:rPr>
      <w:rFonts w:eastAsiaTheme="minorEastAsia"/>
      <w:color w:val="auto"/>
      <w:lang w:val="en-US" w:eastAsia="ja-JP"/>
    </w:rPr>
  </w:style>
  <w:style w:type="character" w:customStyle="1" w:styleId="NoSpacingChar">
    <w:name w:val="No Spacing Char"/>
    <w:basedOn w:val="DefaultParagraphFont"/>
    <w:link w:val="NoSpacing"/>
    <w:uiPriority w:val="1"/>
    <w:rsid w:val="00172661"/>
    <w:rPr>
      <w:rFonts w:eastAsiaTheme="minorEastAsia"/>
      <w:color w:val="auto"/>
      <w:lang w:val="en-US" w:eastAsia="ja-JP"/>
    </w:rPr>
  </w:style>
  <w:style w:type="paragraph" w:styleId="NormalWeb">
    <w:name w:val="Normal (Web)"/>
    <w:basedOn w:val="Normal"/>
    <w:uiPriority w:val="99"/>
    <w:semiHidden/>
    <w:unhideWhenUsed/>
    <w:rsid w:val="00546F70"/>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apple-converted-space">
    <w:name w:val="apple-converted-space"/>
    <w:basedOn w:val="DefaultParagraphFont"/>
    <w:rsid w:val="00546F70"/>
  </w:style>
  <w:style w:type="paragraph" w:styleId="BodyText3">
    <w:name w:val="Body Text 3"/>
    <w:basedOn w:val="Normal"/>
    <w:link w:val="BodyText3Char"/>
    <w:rsid w:val="00546F70"/>
    <w:pPr>
      <w:spacing w:before="0" w:line="240" w:lineRule="auto"/>
    </w:pPr>
    <w:rPr>
      <w:rFonts w:ascii="Verdana" w:eastAsia="Times New Roman" w:hAnsi="Verdana" w:cs="Arial"/>
      <w:bCs/>
      <w:color w:val="auto"/>
      <w:sz w:val="20"/>
      <w:szCs w:val="24"/>
      <w:lang w:val="en-IE"/>
    </w:rPr>
  </w:style>
  <w:style w:type="character" w:customStyle="1" w:styleId="BodyText3Char">
    <w:name w:val="Body Text 3 Char"/>
    <w:basedOn w:val="DefaultParagraphFont"/>
    <w:link w:val="BodyText3"/>
    <w:rsid w:val="00546F70"/>
    <w:rPr>
      <w:rFonts w:ascii="Verdana" w:eastAsia="Times New Roman" w:hAnsi="Verdana" w:cs="Arial"/>
      <w:bCs/>
      <w:color w:val="auto"/>
      <w:sz w:val="20"/>
      <w:szCs w:val="24"/>
      <w:lang w:val="en-IE"/>
    </w:rPr>
  </w:style>
  <w:style w:type="table" w:styleId="MediumGrid2-Accent1">
    <w:name w:val="Medium Grid 2 Accent 1"/>
    <w:basedOn w:val="TableNormal"/>
    <w:uiPriority w:val="68"/>
    <w:rsid w:val="00546F70"/>
    <w:pPr>
      <w:spacing w:before="0" w:line="240" w:lineRule="auto"/>
    </w:pPr>
    <w:rPr>
      <w:rFonts w:asciiTheme="majorHAnsi" w:eastAsiaTheme="majorEastAsia" w:hAnsiTheme="majorHAnsi" w:cstheme="majorBidi"/>
      <w:color w:val="17365D" w:themeColor="text1"/>
      <w:sz w:val="24"/>
    </w:r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insideH w:val="single" w:sz="8" w:space="0" w:color="E3CCF4" w:themeColor="accent1"/>
        <w:insideV w:val="single" w:sz="8" w:space="0" w:color="E3CCF4" w:themeColor="accent1"/>
      </w:tblBorders>
    </w:tblPr>
    <w:tcPr>
      <w:shd w:val="clear" w:color="auto" w:fill="F8F2FC" w:themeFill="accent1" w:themeFillTint="3F"/>
    </w:tcPr>
    <w:tblStylePr w:type="firstRow">
      <w:rPr>
        <w:b/>
        <w:bCs/>
        <w:color w:val="17365D" w:themeColor="text1"/>
      </w:rPr>
      <w:tblPr/>
      <w:tcPr>
        <w:shd w:val="clear" w:color="auto" w:fill="FCF9FE" w:themeFill="accent1" w:themeFillTint="19"/>
      </w:tcPr>
    </w:tblStylePr>
    <w:tblStylePr w:type="lastRow">
      <w:rPr>
        <w:b/>
        <w:bCs/>
        <w:color w:val="17365D" w:themeColor="text1"/>
      </w:rPr>
      <w:tblPr/>
      <w:tcPr>
        <w:tcBorders>
          <w:top w:val="single" w:sz="12" w:space="0" w:color="17365D" w:themeColor="text1"/>
          <w:left w:val="nil"/>
          <w:bottom w:val="nil"/>
          <w:right w:val="nil"/>
          <w:insideH w:val="nil"/>
          <w:insideV w:val="nil"/>
        </w:tcBorders>
        <w:shd w:val="clear" w:color="auto" w:fill="FFFFFF" w:themeFill="background1"/>
      </w:tcPr>
    </w:tblStylePr>
    <w:tblStylePr w:type="firstCol">
      <w:rPr>
        <w:b/>
        <w:bCs/>
        <w:color w:val="17365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7365D" w:themeColor="text1"/>
      </w:rPr>
      <w:tblPr/>
      <w:tcPr>
        <w:tcBorders>
          <w:top w:val="nil"/>
          <w:left w:val="nil"/>
          <w:bottom w:val="nil"/>
          <w:right w:val="nil"/>
          <w:insideH w:val="nil"/>
          <w:insideV w:val="nil"/>
        </w:tcBorders>
        <w:shd w:val="clear" w:color="auto" w:fill="F9F4FC" w:themeFill="accent1" w:themeFillTint="33"/>
      </w:tcPr>
    </w:tblStylePr>
    <w:tblStylePr w:type="band1Vert">
      <w:tblPr/>
      <w:tcPr>
        <w:shd w:val="clear" w:color="auto" w:fill="F0E5F9" w:themeFill="accent1" w:themeFillTint="7F"/>
      </w:tcPr>
    </w:tblStylePr>
    <w:tblStylePr w:type="band1Horz">
      <w:tblPr/>
      <w:tcPr>
        <w:tcBorders>
          <w:insideH w:val="single" w:sz="6" w:space="0" w:color="E3CCF4" w:themeColor="accent1"/>
          <w:insideV w:val="single" w:sz="6" w:space="0" w:color="E3CCF4" w:themeColor="accent1"/>
        </w:tcBorders>
        <w:shd w:val="clear" w:color="auto" w:fill="F0E5F9"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546F70"/>
    <w:pPr>
      <w:spacing w:before="0" w:line="240" w:lineRule="auto"/>
    </w:pPr>
    <w:rPr>
      <w:rFonts w:asciiTheme="majorHAnsi" w:eastAsiaTheme="majorEastAsia" w:hAnsiTheme="majorHAnsi" w:cstheme="majorBidi"/>
      <w:color w:val="17365D" w:themeColor="text1"/>
      <w:sz w:val="24"/>
    </w:r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insideH w:val="single" w:sz="8" w:space="0" w:color="17365D" w:themeColor="text1"/>
        <w:insideV w:val="single" w:sz="8" w:space="0" w:color="17365D" w:themeColor="text1"/>
      </w:tblBorders>
    </w:tblPr>
    <w:tcPr>
      <w:shd w:val="clear" w:color="auto" w:fill="B0CAEB" w:themeFill="text1" w:themeFillTint="3F"/>
    </w:tcPr>
    <w:tblStylePr w:type="firstRow">
      <w:rPr>
        <w:b/>
        <w:bCs/>
        <w:color w:val="17365D" w:themeColor="text1"/>
      </w:rPr>
      <w:tblPr/>
      <w:tcPr>
        <w:shd w:val="clear" w:color="auto" w:fill="E0EAF7" w:themeFill="text1" w:themeFillTint="19"/>
      </w:tcPr>
    </w:tblStylePr>
    <w:tblStylePr w:type="lastRow">
      <w:rPr>
        <w:b/>
        <w:bCs/>
        <w:color w:val="17365D" w:themeColor="text1"/>
      </w:rPr>
      <w:tblPr/>
      <w:tcPr>
        <w:tcBorders>
          <w:top w:val="single" w:sz="12" w:space="0" w:color="17365D" w:themeColor="text1"/>
          <w:left w:val="nil"/>
          <w:bottom w:val="nil"/>
          <w:right w:val="nil"/>
          <w:insideH w:val="nil"/>
          <w:insideV w:val="nil"/>
        </w:tcBorders>
        <w:shd w:val="clear" w:color="auto" w:fill="FFFFFF" w:themeFill="background1"/>
      </w:tcPr>
    </w:tblStylePr>
    <w:tblStylePr w:type="firstCol">
      <w:rPr>
        <w:b/>
        <w:bCs/>
        <w:color w:val="17365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7365D" w:themeColor="text1"/>
      </w:rPr>
      <w:tblPr/>
      <w:tcPr>
        <w:tcBorders>
          <w:top w:val="nil"/>
          <w:left w:val="nil"/>
          <w:bottom w:val="nil"/>
          <w:right w:val="nil"/>
          <w:insideH w:val="nil"/>
          <w:insideV w:val="nil"/>
        </w:tcBorders>
        <w:shd w:val="clear" w:color="auto" w:fill="BFD4EF" w:themeFill="text1" w:themeFillTint="33"/>
      </w:tcPr>
    </w:tblStylePr>
    <w:tblStylePr w:type="band1Vert">
      <w:tblPr/>
      <w:tcPr>
        <w:shd w:val="clear" w:color="auto" w:fill="6195D8" w:themeFill="text1" w:themeFillTint="7F"/>
      </w:tcPr>
    </w:tblStylePr>
    <w:tblStylePr w:type="band1Horz">
      <w:tblPr/>
      <w:tcPr>
        <w:tcBorders>
          <w:insideH w:val="single" w:sz="6" w:space="0" w:color="17365D" w:themeColor="text1"/>
          <w:insideV w:val="single" w:sz="6" w:space="0" w:color="17365D" w:themeColor="text1"/>
        </w:tcBorders>
        <w:shd w:val="clear" w:color="auto" w:fill="6195D8" w:themeFill="text1" w:themeFillTint="7F"/>
      </w:tcPr>
    </w:tblStylePr>
    <w:tblStylePr w:type="nwCell">
      <w:tblPr/>
      <w:tcPr>
        <w:shd w:val="clear" w:color="auto" w:fill="FFFFFF" w:themeFill="background1"/>
      </w:tcPr>
    </w:tblStylePr>
  </w:style>
  <w:style w:type="paragraph" w:styleId="Revision">
    <w:name w:val="Revision"/>
    <w:hidden/>
    <w:uiPriority w:val="99"/>
    <w:semiHidden/>
    <w:rsid w:val="00546F70"/>
    <w:pPr>
      <w:spacing w:before="0" w:line="240" w:lineRule="auto"/>
    </w:pPr>
    <w:rPr>
      <w:rFonts w:ascii="Times New Roman" w:hAnsi="Times New Roman"/>
      <w:color w:val="auto"/>
      <w:sz w:val="24"/>
    </w:rPr>
  </w:style>
  <w:style w:type="character" w:styleId="IntenseEmphasis">
    <w:name w:val="Intense Emphasis"/>
    <w:uiPriority w:val="21"/>
    <w:qFormat/>
    <w:rsid w:val="00546F70"/>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841920">
      <w:bodyDiv w:val="1"/>
      <w:marLeft w:val="0"/>
      <w:marRight w:val="0"/>
      <w:marTop w:val="0"/>
      <w:marBottom w:val="0"/>
      <w:divBdr>
        <w:top w:val="none" w:sz="0" w:space="0" w:color="auto"/>
        <w:left w:val="none" w:sz="0" w:space="0" w:color="auto"/>
        <w:bottom w:val="none" w:sz="0" w:space="0" w:color="auto"/>
        <w:right w:val="none" w:sz="0" w:space="0" w:color="auto"/>
      </w:divBdr>
    </w:div>
    <w:div w:id="941038100">
      <w:bodyDiv w:val="1"/>
      <w:marLeft w:val="0"/>
      <w:marRight w:val="0"/>
      <w:marTop w:val="0"/>
      <w:marBottom w:val="0"/>
      <w:divBdr>
        <w:top w:val="none" w:sz="0" w:space="0" w:color="auto"/>
        <w:left w:val="none" w:sz="0" w:space="0" w:color="auto"/>
        <w:bottom w:val="none" w:sz="0" w:space="0" w:color="auto"/>
        <w:right w:val="none" w:sz="0" w:space="0" w:color="auto"/>
      </w:divBdr>
    </w:div>
    <w:div w:id="1721393015">
      <w:bodyDiv w:val="1"/>
      <w:marLeft w:val="0"/>
      <w:marRight w:val="0"/>
      <w:marTop w:val="0"/>
      <w:marBottom w:val="0"/>
      <w:divBdr>
        <w:top w:val="none" w:sz="0" w:space="0" w:color="auto"/>
        <w:left w:val="none" w:sz="0" w:space="0" w:color="auto"/>
        <w:bottom w:val="none" w:sz="0" w:space="0" w:color="auto"/>
        <w:right w:val="none" w:sz="0" w:space="0" w:color="auto"/>
      </w:divBdr>
    </w:div>
    <w:div w:id="195979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rpansa.gov.au/regulation-and-licensing/regulation/our-regulatory-services/regulatory-intersection-other-functions" TargetMode="External"/><Relationship Id="rId18" Type="http://schemas.openxmlformats.org/officeDocument/2006/relationships/hyperlink" Target="http://www.arpansa.gov.au/pubs/regulatory/inspections/RegulatorDeliveryModel.pdf" TargetMode="External"/><Relationship Id="rId26" Type="http://schemas.openxmlformats.org/officeDocument/2006/relationships/hyperlink" Target="http://www.arpansa.gov.au/Regulation/Holistic/index.cfm" TargetMode="External"/><Relationship Id="rId39" Type="http://schemas.openxmlformats.org/officeDocument/2006/relationships/hyperlink" Target="https://www.oecd-nea.org/nsd/docs/2014/cnra-r2014-3.pdf" TargetMode="External"/><Relationship Id="rId3" Type="http://schemas.openxmlformats.org/officeDocument/2006/relationships/styles" Target="styles.xml"/><Relationship Id="rId21" Type="http://schemas.openxmlformats.org/officeDocument/2006/relationships/hyperlink" Target="https://www.arpansa.gov.au/regulation-and-licensing/licensing/information-for-licence-holders/regulatory-guides" TargetMode="External"/><Relationship Id="rId34" Type="http://schemas.openxmlformats.org/officeDocument/2006/relationships/hyperlink" Target="https://www.anao.gov.au/sites/g/files/net616/f/AuditReport_2013-2014_29.pdf"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hyperlink" Target="http://www.arpansa.gov.au/Regulation/Inspections/index.cfm" TargetMode="External"/><Relationship Id="rId33" Type="http://schemas.openxmlformats.org/officeDocument/2006/relationships/hyperlink" Target="https://www.arpansa.gov.au/regulation-and-licensing/licensing/information-for-licence-holders/inspections/performance-objectives-and-criteria" TargetMode="External"/><Relationship Id="rId38" Type="http://schemas.openxmlformats.org/officeDocument/2006/relationships/hyperlink" Target="https://www.arpansa.gov.au/sites/g/files/net3086/f/legacy/pubs/regulatory/licenceholders/REG-INS-MAN-280.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rpansa.gov.au/Regulation/index.cfm" TargetMode="External"/><Relationship Id="rId20" Type="http://schemas.openxmlformats.org/officeDocument/2006/relationships/hyperlink" Target="https://www.arpansa.gov.au/regulation-and-licensing/licensing/information-for-licence-holders/inspections/inspection-outcomes" TargetMode="External"/><Relationship Id="rId29" Type="http://schemas.openxmlformats.org/officeDocument/2006/relationships/hyperlink" Target="http://www.arpansa.gov.au/Regulation/Inspections/index.cfm" TargetMode="External"/><Relationship Id="rId41" Type="http://schemas.openxmlformats.org/officeDocument/2006/relationships/hyperlink" Target="http://www.acma.gov.au/~/media/mediacomms/Information/pdf/Report%20to%20the%20ACMA%20on%20the%20Regulatory%20Performance%20Framework%20pd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arpansa.gov.au/Regulation/Holistic/index.cfm" TargetMode="External"/><Relationship Id="rId32" Type="http://schemas.openxmlformats.org/officeDocument/2006/relationships/hyperlink" Target="https://www.arpansa.gov.au/about-us/corporate-publications/regulator-performance-framework" TargetMode="External"/><Relationship Id="rId37" Type="http://schemas.openxmlformats.org/officeDocument/2006/relationships/hyperlink" Target="https://www.arpansa.gov.au/regulation-and-licensing/licensing/information-for-licence-holders/inspections/inspection-reports" TargetMode="External"/><Relationship Id="rId40" Type="http://schemas.openxmlformats.org/officeDocument/2006/relationships/hyperlink" Target="https://www.oecd-nea.org/nsd/docs/2014/cnra-r2014-3.pdf"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arpansa.gov.au/regulation-and-licensing/licensing/information-for-licence-holders" TargetMode="External"/><Relationship Id="rId23" Type="http://schemas.openxmlformats.org/officeDocument/2006/relationships/hyperlink" Target="http://www.arpansa.gov.au/pubs/regulatory/guides/REG-COM-SUP-270F.pdf" TargetMode="External"/><Relationship Id="rId28" Type="http://schemas.openxmlformats.org/officeDocument/2006/relationships/hyperlink" Target="http://www.arpansa.gov.au/Regulation/index.cfm" TargetMode="External"/><Relationship Id="rId36" Type="http://schemas.openxmlformats.org/officeDocument/2006/relationships/hyperlink" Target="https://www.arpansa.gov.au/sites/g/files/net3086/f/legacy/pubs/regulatory/inspections/RegulatorDeliveryModel.pdf" TargetMode="External"/><Relationship Id="rId10" Type="http://schemas.openxmlformats.org/officeDocument/2006/relationships/footer" Target="footer1.xml"/><Relationship Id="rId19" Type="http://schemas.openxmlformats.org/officeDocument/2006/relationships/hyperlink" Target="http://www.arpansa.gov.au/Regulation/inspections/POandC.cfm" TargetMode="External"/><Relationship Id="rId31" Type="http://schemas.openxmlformats.org/officeDocument/2006/relationships/hyperlink" Target="https://www.cuttingredtape.gov.au/handbook/australian-government-guide-regulation" TargetMode="Externa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hyperlink" Target="http://www.arpansa.gov.au/Regulation/Holistic/index.cfm" TargetMode="External"/><Relationship Id="rId27" Type="http://schemas.openxmlformats.org/officeDocument/2006/relationships/hyperlink" Target="http://www.arpansa.gov.au/pubs/regulatory/guides/REG-COM-SUP-270F.pdf" TargetMode="External"/><Relationship Id="rId30" Type="http://schemas.openxmlformats.org/officeDocument/2006/relationships/hyperlink" Target="http://www.arpansa.gov.au/Regulation/index.cfm" TargetMode="External"/><Relationship Id="rId35" Type="http://schemas.openxmlformats.org/officeDocument/2006/relationships/hyperlink" Target="https://www.anao.gov.au/sites/g/files/net1336/f/AuditReport_2013-2014_29.pdf" TargetMode="External"/><Relationship Id="rId43"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arpansa.gov.au/regulation-and-licensing/regulation/regulatory-integrity/policy-arpansas-regulatory-activities" TargetMode="External"/><Relationship Id="rId1" Type="http://schemas.openxmlformats.org/officeDocument/2006/relationships/hyperlink" Target="https://www.arpansa.gov.au/regulation-and-licensing/regulation/international-best-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djo\AppData\Local\Hewlett-Packard\HP%20TRIM\TEMP\HPTRIM.9868\D177332%20%20Generic%20Word%20doc.DOTX" TargetMode="External"/></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7EDA14C-D844-470F-B4BE-D043D612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D177332  Generic Word doc.DOTX</Template>
  <TotalTime>0</TotalTime>
  <Pages>38</Pages>
  <Words>16735</Words>
  <Characters>95395</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111907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ARPANSA</dc:creator>
  <cp:lastModifiedBy>Thomas Sammut</cp:lastModifiedBy>
  <cp:revision>3</cp:revision>
  <cp:lastPrinted>2017-11-15T03:47:00Z</cp:lastPrinted>
  <dcterms:created xsi:type="dcterms:W3CDTF">2017-12-03T23:25:00Z</dcterms:created>
  <dcterms:modified xsi:type="dcterms:W3CDTF">2017-12-03T23:25:00Z</dcterms:modified>
</cp:coreProperties>
</file>