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BE2FD" w14:textId="61C09576" w:rsidR="006A107F" w:rsidRPr="006A107F" w:rsidRDefault="003E3F63" w:rsidP="006A107F">
      <w:r>
        <w:rPr>
          <w:noProof/>
          <w:lang w:eastAsia="en-AU"/>
        </w:rPr>
        <w:drawing>
          <wp:anchor distT="0" distB="0" distL="114300" distR="114300" simplePos="0" relativeHeight="251659264" behindDoc="0" locked="0" layoutInCell="1" allowOverlap="1" wp14:anchorId="2D0DFA31" wp14:editId="06BAF3AE">
            <wp:simplePos x="0" y="0"/>
            <wp:positionH relativeFrom="column">
              <wp:posOffset>-616254</wp:posOffset>
            </wp:positionH>
            <wp:positionV relativeFrom="paragraph">
              <wp:posOffset>-544830</wp:posOffset>
            </wp:positionV>
            <wp:extent cx="7346990" cy="10392354"/>
            <wp:effectExtent l="0" t="0" r="635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177 - cover.jpg"/>
                    <pic:cNvPicPr/>
                  </pic:nvPicPr>
                  <pic:blipFill>
                    <a:blip r:embed="rId9">
                      <a:extLst>
                        <a:ext uri="{28A0092B-C50C-407E-A947-70E740481C1C}">
                          <a14:useLocalDpi xmlns:a14="http://schemas.microsoft.com/office/drawing/2010/main" val="0"/>
                        </a:ext>
                      </a:extLst>
                    </a:blip>
                    <a:stretch>
                      <a:fillRect/>
                    </a:stretch>
                  </pic:blipFill>
                  <pic:spPr>
                    <a:xfrm>
                      <a:off x="0" y="0"/>
                      <a:ext cx="7346990" cy="10392354"/>
                    </a:xfrm>
                    <a:prstGeom prst="rect">
                      <a:avLst/>
                    </a:prstGeom>
                  </pic:spPr>
                </pic:pic>
              </a:graphicData>
            </a:graphic>
            <wp14:sizeRelH relativeFrom="page">
              <wp14:pctWidth>0</wp14:pctWidth>
            </wp14:sizeRelH>
            <wp14:sizeRelV relativeFrom="page">
              <wp14:pctHeight>0</wp14:pctHeight>
            </wp14:sizeRelV>
          </wp:anchor>
        </w:drawing>
      </w:r>
    </w:p>
    <w:p w14:paraId="419AF945" w14:textId="77777777" w:rsidR="006A107F" w:rsidRPr="006A107F" w:rsidRDefault="006A107F" w:rsidP="006A107F"/>
    <w:p w14:paraId="600316A1" w14:textId="2CB1AB28" w:rsidR="006A107F" w:rsidRDefault="006A107F" w:rsidP="006A107F">
      <w:pPr>
        <w:sectPr w:rsidR="006A107F" w:rsidSect="00C25D42">
          <w:pgSz w:w="11906" w:h="16838" w:code="9"/>
          <w:pgMar w:top="1134" w:right="1134" w:bottom="1134" w:left="1134" w:header="567" w:footer="567" w:gutter="0"/>
          <w:cols w:space="708"/>
          <w:titlePg/>
          <w:docGrid w:linePitch="360"/>
        </w:sectPr>
      </w:pPr>
    </w:p>
    <w:p w14:paraId="51D37EED" w14:textId="2AAB54AB" w:rsidR="000B0A48" w:rsidRDefault="000B0A48" w:rsidP="001B4ED0">
      <w:pPr>
        <w:rPr>
          <w:b/>
          <w:sz w:val="40"/>
          <w:szCs w:val="40"/>
        </w:rPr>
      </w:pPr>
    </w:p>
    <w:p w14:paraId="39B92450" w14:textId="77777777" w:rsidR="00FC63EA" w:rsidRDefault="00FC63EA" w:rsidP="001B4ED0">
      <w:pPr>
        <w:rPr>
          <w:b/>
          <w:sz w:val="40"/>
          <w:szCs w:val="40"/>
        </w:rPr>
      </w:pPr>
    </w:p>
    <w:p w14:paraId="0EB2DF37" w14:textId="77777777" w:rsidR="00211C54" w:rsidRDefault="00211C54" w:rsidP="001B4ED0">
      <w:pPr>
        <w:rPr>
          <w:b/>
          <w:sz w:val="40"/>
          <w:szCs w:val="40"/>
        </w:rPr>
      </w:pPr>
    </w:p>
    <w:p w14:paraId="7F2A05C3" w14:textId="77777777" w:rsidR="00EB01F2" w:rsidRPr="0039255A" w:rsidRDefault="0007671D" w:rsidP="0039255A">
      <w:pPr>
        <w:pStyle w:val="Title"/>
      </w:pPr>
      <w:r w:rsidRPr="0039255A">
        <w:t>Analysis</w:t>
      </w:r>
      <w:r w:rsidR="00145F7A" w:rsidRPr="0039255A">
        <w:t xml:space="preserve"> of</w:t>
      </w:r>
      <w:r w:rsidR="00830195" w:rsidRPr="0039255A">
        <w:t xml:space="preserve"> Public </w:t>
      </w:r>
      <w:r w:rsidR="001B4ED0" w:rsidRPr="0039255A">
        <w:t>Submissions</w:t>
      </w:r>
    </w:p>
    <w:p w14:paraId="0A2C004E" w14:textId="77777777" w:rsidR="00EB01F2" w:rsidRPr="0039255A" w:rsidRDefault="00EB01F2" w:rsidP="0039255A">
      <w:pPr>
        <w:pStyle w:val="Title"/>
      </w:pPr>
    </w:p>
    <w:p w14:paraId="55146A8E" w14:textId="77777777" w:rsidR="00EB01F2" w:rsidRPr="0039255A" w:rsidRDefault="001B4ED0" w:rsidP="0039255A">
      <w:pPr>
        <w:pStyle w:val="Title"/>
      </w:pPr>
      <w:r w:rsidRPr="0039255A">
        <w:t xml:space="preserve">Consultation Regulatory Impact Statement in the use of Intense Pulsed Light (IPLs) </w:t>
      </w:r>
      <w:r w:rsidR="00FB249B" w:rsidRPr="0039255A">
        <w:t>S</w:t>
      </w:r>
      <w:r w:rsidR="0047477F" w:rsidRPr="0039255A">
        <w:t xml:space="preserve">ources </w:t>
      </w:r>
      <w:r w:rsidRPr="0039255A">
        <w:t>and Lasers for Cosmetic or Beauty Therapy</w:t>
      </w:r>
    </w:p>
    <w:p w14:paraId="0B48A899" w14:textId="77777777" w:rsidR="00EB01F2" w:rsidRPr="00EB01F2" w:rsidRDefault="00EB01F2" w:rsidP="00EB01F2">
      <w:pPr>
        <w:jc w:val="center"/>
        <w:rPr>
          <w:rFonts w:cs="Arial"/>
          <w:b/>
          <w:bCs/>
          <w:color w:val="4E1A74"/>
          <w:sz w:val="40"/>
          <w:szCs w:val="40"/>
        </w:rPr>
      </w:pPr>
    </w:p>
    <w:p w14:paraId="1AD1E0EA" w14:textId="77777777" w:rsidR="006B2096" w:rsidRDefault="006B2096" w:rsidP="001B4ED0"/>
    <w:p w14:paraId="00AE32B9" w14:textId="2D558E69" w:rsidR="003D5EAA" w:rsidRPr="00C25D42" w:rsidRDefault="003D5EAA" w:rsidP="00C25D42">
      <w:pPr>
        <w:pStyle w:val="Title"/>
        <w:rPr>
          <w:sz w:val="28"/>
        </w:rPr>
      </w:pPr>
      <w:r w:rsidRPr="00C25D42">
        <w:rPr>
          <w:sz w:val="28"/>
        </w:rPr>
        <w:t>David Urban</w:t>
      </w:r>
      <w:r w:rsidR="00A46643" w:rsidRPr="00EC4636">
        <w:rPr>
          <w:sz w:val="28"/>
          <w:vertAlign w:val="superscript"/>
        </w:rPr>
        <w:t>1</w:t>
      </w:r>
      <w:r w:rsidRPr="00C25D42">
        <w:rPr>
          <w:sz w:val="28"/>
        </w:rPr>
        <w:t>, Cameron Lawrence</w:t>
      </w:r>
      <w:r w:rsidR="00A46643" w:rsidRPr="00EC4636">
        <w:rPr>
          <w:sz w:val="28"/>
          <w:vertAlign w:val="superscript"/>
        </w:rPr>
        <w:t>1</w:t>
      </w:r>
      <w:r w:rsidRPr="00C25D42">
        <w:rPr>
          <w:sz w:val="28"/>
        </w:rPr>
        <w:t xml:space="preserve">, </w:t>
      </w:r>
      <w:r w:rsidR="00AB1B40" w:rsidRPr="00C25D42">
        <w:rPr>
          <w:sz w:val="28"/>
        </w:rPr>
        <w:t>John Javorniczky</w:t>
      </w:r>
      <w:r w:rsidR="00A46643" w:rsidRPr="00EC4636">
        <w:rPr>
          <w:sz w:val="28"/>
          <w:vertAlign w:val="superscript"/>
        </w:rPr>
        <w:t>1</w:t>
      </w:r>
      <w:r w:rsidR="00AB1B40" w:rsidRPr="00C25D42">
        <w:rPr>
          <w:sz w:val="28"/>
        </w:rPr>
        <w:t xml:space="preserve">, </w:t>
      </w:r>
      <w:r w:rsidRPr="00C25D42">
        <w:rPr>
          <w:sz w:val="28"/>
        </w:rPr>
        <w:t>Angela Lyn</w:t>
      </w:r>
      <w:r w:rsidR="00AB1B40" w:rsidRPr="00C25D42">
        <w:rPr>
          <w:sz w:val="28"/>
        </w:rPr>
        <w:t>am</w:t>
      </w:r>
      <w:r w:rsidR="00A46643" w:rsidRPr="00EC4636">
        <w:rPr>
          <w:sz w:val="28"/>
          <w:vertAlign w:val="superscript"/>
        </w:rPr>
        <w:t>2</w:t>
      </w:r>
      <w:r w:rsidR="00AB1B40" w:rsidRPr="00C25D42">
        <w:rPr>
          <w:sz w:val="28"/>
        </w:rPr>
        <w:t>, Simon</w:t>
      </w:r>
      <w:r w:rsidR="00EB01F2" w:rsidRPr="00C25D42">
        <w:rPr>
          <w:sz w:val="28"/>
        </w:rPr>
        <w:t> </w:t>
      </w:r>
      <w:r w:rsidR="001A6BA2" w:rsidRPr="00C25D42">
        <w:rPr>
          <w:sz w:val="28"/>
        </w:rPr>
        <w:t>Critchley</w:t>
      </w:r>
      <w:r w:rsidR="001A6BA2" w:rsidRPr="00EC4636">
        <w:rPr>
          <w:sz w:val="28"/>
          <w:vertAlign w:val="superscript"/>
        </w:rPr>
        <w:t>2</w:t>
      </w:r>
      <w:r w:rsidR="00AB1B40" w:rsidRPr="00C25D42">
        <w:rPr>
          <w:sz w:val="28"/>
        </w:rPr>
        <w:t xml:space="preserve">, </w:t>
      </w:r>
      <w:r w:rsidR="00EC4636">
        <w:rPr>
          <w:sz w:val="28"/>
        </w:rPr>
        <w:t xml:space="preserve">Brad </w:t>
      </w:r>
      <w:r w:rsidR="00172934" w:rsidRPr="00C25D42">
        <w:rPr>
          <w:sz w:val="28"/>
        </w:rPr>
        <w:t>Cassels</w:t>
      </w:r>
      <w:r w:rsidR="00172934" w:rsidRPr="00EC4636">
        <w:rPr>
          <w:sz w:val="28"/>
          <w:vertAlign w:val="superscript"/>
        </w:rPr>
        <w:t>3</w:t>
      </w:r>
      <w:r w:rsidR="00AB1B40" w:rsidRPr="00C25D42">
        <w:rPr>
          <w:sz w:val="28"/>
        </w:rPr>
        <w:t>, Stephen Newberry</w:t>
      </w:r>
      <w:r w:rsidR="00A46643" w:rsidRPr="00EC4636">
        <w:rPr>
          <w:sz w:val="28"/>
          <w:vertAlign w:val="superscript"/>
        </w:rPr>
        <w:t>4</w:t>
      </w:r>
    </w:p>
    <w:p w14:paraId="35DCA226" w14:textId="77777777" w:rsidR="001B4ED0" w:rsidRDefault="001B4ED0">
      <w:pPr>
        <w:rPr>
          <w:b/>
          <w:sz w:val="24"/>
          <w:szCs w:val="24"/>
        </w:rPr>
      </w:pPr>
    </w:p>
    <w:p w14:paraId="6C455575" w14:textId="0F28A3EE" w:rsidR="00FC63EA" w:rsidRPr="00211C54" w:rsidRDefault="00FC63EA" w:rsidP="00211C54">
      <w:pPr>
        <w:jc w:val="center"/>
        <w:rPr>
          <w:sz w:val="24"/>
          <w:szCs w:val="24"/>
        </w:rPr>
      </w:pPr>
      <w:r w:rsidRPr="00211C54">
        <w:rPr>
          <w:sz w:val="24"/>
          <w:szCs w:val="24"/>
        </w:rPr>
        <w:t>Tec</w:t>
      </w:r>
      <w:r w:rsidR="00211C54" w:rsidRPr="00211C54">
        <w:rPr>
          <w:sz w:val="24"/>
          <w:szCs w:val="24"/>
        </w:rPr>
        <w:t>h</w:t>
      </w:r>
      <w:r w:rsidRPr="00211C54">
        <w:rPr>
          <w:sz w:val="24"/>
          <w:szCs w:val="24"/>
        </w:rPr>
        <w:t xml:space="preserve">nical Report </w:t>
      </w:r>
      <w:r w:rsidR="00211C54" w:rsidRPr="00211C54">
        <w:rPr>
          <w:sz w:val="24"/>
          <w:szCs w:val="24"/>
        </w:rPr>
        <w:t>1</w:t>
      </w:r>
      <w:r w:rsidR="0039255A">
        <w:rPr>
          <w:sz w:val="24"/>
          <w:szCs w:val="24"/>
        </w:rPr>
        <w:t>77</w:t>
      </w:r>
    </w:p>
    <w:p w14:paraId="3AEC6403" w14:textId="6552F202" w:rsidR="00FC63EA" w:rsidRPr="00211C54" w:rsidRDefault="0039255A" w:rsidP="00211C54">
      <w:pPr>
        <w:jc w:val="center"/>
        <w:rPr>
          <w:sz w:val="24"/>
          <w:szCs w:val="24"/>
        </w:rPr>
      </w:pPr>
      <w:r>
        <w:rPr>
          <w:sz w:val="24"/>
          <w:szCs w:val="24"/>
        </w:rPr>
        <w:t>March</w:t>
      </w:r>
      <w:r w:rsidR="00211C54" w:rsidRPr="00211C54">
        <w:rPr>
          <w:sz w:val="24"/>
          <w:szCs w:val="24"/>
        </w:rPr>
        <w:t xml:space="preserve"> 2017</w:t>
      </w:r>
    </w:p>
    <w:p w14:paraId="19C5A055" w14:textId="77777777" w:rsidR="00FC63EA" w:rsidRDefault="00FC63EA">
      <w:pPr>
        <w:rPr>
          <w:b/>
          <w:sz w:val="24"/>
          <w:szCs w:val="24"/>
        </w:rPr>
      </w:pPr>
    </w:p>
    <w:p w14:paraId="4DA49D2B" w14:textId="77777777" w:rsidR="00211C54" w:rsidRDefault="00211C54">
      <w:pPr>
        <w:rPr>
          <w:b/>
          <w:sz w:val="24"/>
          <w:szCs w:val="24"/>
        </w:rPr>
      </w:pPr>
    </w:p>
    <w:p w14:paraId="3F2E4E9E" w14:textId="6A2D45C4" w:rsidR="00211C54" w:rsidRDefault="00103289" w:rsidP="00211C54">
      <w:pPr>
        <w:jc w:val="center"/>
        <w:rPr>
          <w:sz w:val="18"/>
        </w:rPr>
      </w:pPr>
      <w:r w:rsidRPr="00FC63EA">
        <w:rPr>
          <w:sz w:val="18"/>
          <w:vertAlign w:val="superscript"/>
        </w:rPr>
        <w:t>1</w:t>
      </w:r>
      <w:r w:rsidR="00A46643" w:rsidRPr="00FC63EA">
        <w:rPr>
          <w:sz w:val="18"/>
        </w:rPr>
        <w:t>Australian Radiation Protection and Nuclear Safety Agency</w:t>
      </w:r>
      <w:r w:rsidRPr="00FC63EA">
        <w:rPr>
          <w:sz w:val="18"/>
        </w:rPr>
        <w:t xml:space="preserve">; </w:t>
      </w:r>
      <w:r w:rsidRPr="00FC63EA">
        <w:rPr>
          <w:sz w:val="18"/>
          <w:vertAlign w:val="superscript"/>
        </w:rPr>
        <w:t>2</w:t>
      </w:r>
      <w:r w:rsidR="00A46643" w:rsidRPr="00FC63EA">
        <w:rPr>
          <w:sz w:val="18"/>
        </w:rPr>
        <w:t xml:space="preserve">Queensland </w:t>
      </w:r>
      <w:r w:rsidR="001A6BA2">
        <w:rPr>
          <w:sz w:val="18"/>
        </w:rPr>
        <w:t>D</w:t>
      </w:r>
      <w:r w:rsidR="00A46643" w:rsidRPr="00FC63EA">
        <w:rPr>
          <w:sz w:val="18"/>
        </w:rPr>
        <w:t>epartment of Health</w:t>
      </w:r>
      <w:r w:rsidRPr="00FC63EA">
        <w:rPr>
          <w:sz w:val="18"/>
        </w:rPr>
        <w:t xml:space="preserve">; </w:t>
      </w:r>
      <w:r w:rsidR="00FC63EA">
        <w:rPr>
          <w:sz w:val="18"/>
        </w:rPr>
        <w:br/>
      </w:r>
      <w:r w:rsidRPr="00FC63EA">
        <w:rPr>
          <w:sz w:val="18"/>
          <w:vertAlign w:val="superscript"/>
        </w:rPr>
        <w:t>3</w:t>
      </w:r>
      <w:r w:rsidR="00A46643" w:rsidRPr="00FC63EA">
        <w:rPr>
          <w:sz w:val="18"/>
        </w:rPr>
        <w:t>Victorian Department of Health</w:t>
      </w:r>
      <w:r w:rsidRPr="00FC63EA">
        <w:rPr>
          <w:sz w:val="18"/>
        </w:rPr>
        <w:t xml:space="preserve">; </w:t>
      </w:r>
      <w:r w:rsidRPr="00FC63EA">
        <w:rPr>
          <w:sz w:val="18"/>
          <w:vertAlign w:val="superscript"/>
        </w:rPr>
        <w:t>4</w:t>
      </w:r>
      <w:r w:rsidR="00A46643" w:rsidRPr="00FC63EA">
        <w:rPr>
          <w:sz w:val="18"/>
        </w:rPr>
        <w:t>Tasmanian Department of Health and Human Services</w:t>
      </w:r>
    </w:p>
    <w:p w14:paraId="6E8ACEA0" w14:textId="77777777" w:rsidR="00103289" w:rsidRDefault="00103289" w:rsidP="00211C54">
      <w:pPr>
        <w:jc w:val="center"/>
      </w:pPr>
      <w:r>
        <w:br w:type="page"/>
      </w:r>
    </w:p>
    <w:p w14:paraId="5E25B80D" w14:textId="77777777" w:rsidR="00D26273" w:rsidRDefault="00D26273">
      <w:r w:rsidRPr="00A10EE8">
        <w:rPr>
          <w:rFonts w:ascii="Georgia" w:eastAsia="Calibri" w:hAnsi="Georgia" w:cs="Georgia"/>
          <w:noProof/>
          <w:lang w:eastAsia="en-AU"/>
        </w:rPr>
        <w:lastRenderedPageBreak/>
        <mc:AlternateContent>
          <mc:Choice Requires="wps">
            <w:drawing>
              <wp:anchor distT="0" distB="0" distL="114300" distR="114300" simplePos="0" relativeHeight="251658240" behindDoc="0" locked="0" layoutInCell="1" allowOverlap="1" wp14:anchorId="619A9641" wp14:editId="25F77899">
                <wp:simplePos x="0" y="0"/>
                <wp:positionH relativeFrom="column">
                  <wp:posOffset>10795</wp:posOffset>
                </wp:positionH>
                <wp:positionV relativeFrom="paragraph">
                  <wp:posOffset>98425</wp:posOffset>
                </wp:positionV>
                <wp:extent cx="6074410" cy="6489065"/>
                <wp:effectExtent l="0" t="0" r="21590" b="2603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6489065"/>
                        </a:xfrm>
                        <a:prstGeom prst="rect">
                          <a:avLst/>
                        </a:prstGeom>
                        <a:solidFill>
                          <a:srgbClr val="FFFFFF"/>
                        </a:solidFill>
                        <a:ln w="9525">
                          <a:solidFill>
                            <a:srgbClr val="000000"/>
                          </a:solidFill>
                          <a:miter lim="800000"/>
                          <a:headEnd/>
                          <a:tailEnd/>
                        </a:ln>
                      </wps:spPr>
                      <wps:txbx>
                        <w:txbxContent>
                          <w:p w14:paraId="0B4C897A" w14:textId="11A01FF3" w:rsidR="00EE4ABB" w:rsidRPr="00F55D63" w:rsidRDefault="00EE4ABB" w:rsidP="00103289">
                            <w:pPr>
                              <w:pStyle w:val="Text"/>
                              <w:spacing w:before="0" w:after="0" w:line="240" w:lineRule="auto"/>
                              <w:rPr>
                                <w:sz w:val="18"/>
                                <w:szCs w:val="18"/>
                              </w:rPr>
                            </w:pPr>
                            <w:r w:rsidRPr="00F55D63">
                              <w:rPr>
                                <w:sz w:val="18"/>
                                <w:szCs w:val="18"/>
                                <w:lang w:eastAsia="en-US"/>
                              </w:rPr>
                              <w:t>© Commonwealth of Australia 201</w:t>
                            </w:r>
                            <w:r>
                              <w:rPr>
                                <w:sz w:val="18"/>
                                <w:szCs w:val="18"/>
                                <w:lang w:eastAsia="en-US"/>
                              </w:rPr>
                              <w:t>7</w:t>
                            </w:r>
                          </w:p>
                          <w:p w14:paraId="1242D328" w14:textId="77777777" w:rsidR="00EE4ABB" w:rsidRPr="00F55D63" w:rsidRDefault="00EE4ABB" w:rsidP="00103289">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8AB6419" w14:textId="77777777" w:rsidR="00EE4ABB" w:rsidRPr="00F55D63" w:rsidRDefault="00EE4ABB" w:rsidP="00103289">
                            <w:pPr>
                              <w:pStyle w:val="Text"/>
                              <w:spacing w:before="0" w:after="0" w:line="240" w:lineRule="auto"/>
                              <w:rPr>
                                <w:sz w:val="18"/>
                                <w:szCs w:val="18"/>
                              </w:rPr>
                            </w:pPr>
                          </w:p>
                          <w:p w14:paraId="522BE042" w14:textId="77777777" w:rsidR="00EE4ABB" w:rsidRPr="00F55D63" w:rsidRDefault="00EE4ABB" w:rsidP="00103289">
                            <w:pPr>
                              <w:pStyle w:val="Text"/>
                              <w:spacing w:before="0" w:after="0" w:line="240" w:lineRule="auto"/>
                              <w:rPr>
                                <w:sz w:val="18"/>
                                <w:szCs w:val="18"/>
                              </w:rPr>
                            </w:pPr>
                          </w:p>
                          <w:p w14:paraId="78472142" w14:textId="77777777" w:rsidR="00EE4ABB" w:rsidRPr="00F55D63" w:rsidRDefault="00EE4ABB" w:rsidP="00103289">
                            <w:pPr>
                              <w:pStyle w:val="Text"/>
                              <w:spacing w:before="0" w:after="0" w:line="240" w:lineRule="auto"/>
                              <w:rPr>
                                <w:sz w:val="18"/>
                                <w:szCs w:val="18"/>
                              </w:rPr>
                            </w:pPr>
                            <w:r>
                              <w:rPr>
                                <w:sz w:val="18"/>
                                <w:szCs w:val="18"/>
                              </w:rPr>
                              <w:t>ISSN 0157-1400</w:t>
                            </w:r>
                          </w:p>
                          <w:p w14:paraId="5BD3E6A6" w14:textId="77777777" w:rsidR="00EE4ABB" w:rsidRPr="00F55D63" w:rsidRDefault="00EE4ABB" w:rsidP="00103289">
                            <w:pPr>
                              <w:pStyle w:val="Text"/>
                              <w:spacing w:before="0" w:after="0" w:line="240" w:lineRule="auto"/>
                              <w:rPr>
                                <w:sz w:val="18"/>
                                <w:szCs w:val="18"/>
                              </w:rPr>
                            </w:pPr>
                          </w:p>
                          <w:p w14:paraId="6B4449F1" w14:textId="77777777" w:rsidR="00EE4ABB" w:rsidRPr="00F55D63" w:rsidRDefault="00EE4ABB" w:rsidP="00103289">
                            <w:pPr>
                              <w:pStyle w:val="Text"/>
                              <w:spacing w:before="0" w:after="0" w:line="240" w:lineRule="auto"/>
                              <w:rPr>
                                <w:sz w:val="18"/>
                                <w:szCs w:val="18"/>
                              </w:rPr>
                            </w:pPr>
                            <w:r w:rsidRPr="00F55D63">
                              <w:rPr>
                                <w:noProof/>
                                <w:sz w:val="18"/>
                                <w:szCs w:val="18"/>
                                <w:lang w:val="en-AU"/>
                              </w:rPr>
                              <w:drawing>
                                <wp:inline distT="0" distB="0" distL="0" distR="0" wp14:anchorId="7093DE8A" wp14:editId="73CD553B">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5D58203" w14:textId="77777777" w:rsidR="00EE4ABB" w:rsidRPr="00F55D63" w:rsidRDefault="00EE4ABB" w:rsidP="00103289">
                            <w:pPr>
                              <w:pStyle w:val="Text"/>
                              <w:spacing w:before="0" w:after="0" w:line="240" w:lineRule="auto"/>
                              <w:rPr>
                                <w:sz w:val="18"/>
                                <w:szCs w:val="18"/>
                              </w:rPr>
                            </w:pPr>
                          </w:p>
                          <w:p w14:paraId="5AE9704D" w14:textId="77777777" w:rsidR="00EE4ABB" w:rsidRPr="00F55D63" w:rsidRDefault="00EE4ABB" w:rsidP="00103289">
                            <w:pPr>
                              <w:pStyle w:val="Text"/>
                              <w:spacing w:before="0" w:after="0" w:line="240" w:lineRule="auto"/>
                              <w:rPr>
                                <w:b/>
                                <w:sz w:val="18"/>
                                <w:szCs w:val="18"/>
                              </w:rPr>
                            </w:pPr>
                            <w:r w:rsidRPr="00F55D63">
                              <w:rPr>
                                <w:b/>
                                <w:sz w:val="18"/>
                                <w:szCs w:val="18"/>
                              </w:rPr>
                              <w:t>Creative Commons</w:t>
                            </w:r>
                          </w:p>
                          <w:p w14:paraId="48861130" w14:textId="77777777" w:rsidR="00EE4ABB" w:rsidRPr="00F55D63" w:rsidRDefault="00EE4ABB" w:rsidP="00103289">
                            <w:pPr>
                              <w:pStyle w:val="Text"/>
                              <w:spacing w:before="0" w:after="0" w:line="240" w:lineRule="auto"/>
                              <w:rPr>
                                <w:sz w:val="18"/>
                                <w:szCs w:val="18"/>
                              </w:rPr>
                            </w:pPr>
                          </w:p>
                          <w:p w14:paraId="5A4E48C2" w14:textId="6DF18EB7" w:rsidR="00EE4ABB" w:rsidRPr="00F55D63" w:rsidRDefault="00EE4ABB" w:rsidP="0039255A">
                            <w:pPr>
                              <w:pStyle w:val="Text"/>
                              <w:spacing w:before="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Pr>
                                <w:sz w:val="18"/>
                                <w:szCs w:val="18"/>
                              </w:rPr>
                              <w:t xml:space="preserve"> </w:t>
                            </w:r>
                            <w:r w:rsidRPr="0039255A">
                              <w:rPr>
                                <w:i/>
                                <w:sz w:val="18"/>
                                <w:szCs w:val="18"/>
                              </w:rPr>
                              <w:t>Analysis of Public Submissions Consultation Regulatory Impact Statement in the use of Intense Pulsed Light (IPLs) Sources and Lasers for Cosmetic or Beauty Therapy</w:t>
                            </w:r>
                            <w:r w:rsidRPr="0039255A">
                              <w:rPr>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11" w:history="1">
                              <w:r w:rsidRPr="008D016B">
                                <w:rPr>
                                  <w:rStyle w:val="Hyperlink"/>
                                  <w:i/>
                                  <w:iCs/>
                                  <w:spacing w:val="-4"/>
                                  <w:sz w:val="18"/>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84A3104" w14:textId="77777777" w:rsidR="00EE4ABB" w:rsidRPr="00F55D63" w:rsidRDefault="00EE4ABB" w:rsidP="00103289">
                            <w:pPr>
                              <w:pStyle w:val="Text"/>
                              <w:spacing w:before="0" w:after="0" w:line="240" w:lineRule="auto"/>
                              <w:rPr>
                                <w:sz w:val="18"/>
                                <w:szCs w:val="18"/>
                              </w:rPr>
                            </w:pPr>
                          </w:p>
                          <w:p w14:paraId="21472791" w14:textId="19FC05A7" w:rsidR="00EE4ABB" w:rsidRPr="00F55D63" w:rsidRDefault="00EE4ABB" w:rsidP="00103289">
                            <w:pPr>
                              <w:pStyle w:val="TechRep"/>
                              <w:spacing w:before="0" w:after="0" w:line="240" w:lineRule="auto"/>
                              <w:rPr>
                                <w:sz w:val="18"/>
                                <w:szCs w:val="18"/>
                              </w:rPr>
                            </w:pPr>
                            <w:r w:rsidRPr="00F55D63">
                              <w:rPr>
                                <w:sz w:val="18"/>
                                <w:szCs w:val="18"/>
                              </w:rPr>
                              <w:t>In essence, you are free to copy, communicate and adapt the material as long as you attribute the work to ARPANSA and abide by the other licence terms. The works are to be attributed t</w:t>
                            </w:r>
                            <w:r>
                              <w:rPr>
                                <w:sz w:val="18"/>
                                <w:szCs w:val="18"/>
                              </w:rPr>
                              <w:t>o the Commonwealth as follows:</w:t>
                            </w:r>
                          </w:p>
                          <w:p w14:paraId="41C5B998" w14:textId="77777777" w:rsidR="00EE4ABB" w:rsidRPr="00F55D63" w:rsidRDefault="00EE4ABB" w:rsidP="00103289">
                            <w:pPr>
                              <w:pStyle w:val="TechRep"/>
                              <w:spacing w:before="0" w:after="0" w:line="240" w:lineRule="auto"/>
                              <w:rPr>
                                <w:sz w:val="18"/>
                                <w:szCs w:val="18"/>
                              </w:rPr>
                            </w:pPr>
                          </w:p>
                          <w:p w14:paraId="596DE6D7" w14:textId="0650B6F8" w:rsidR="00EE4ABB" w:rsidRPr="00F55D63" w:rsidRDefault="00EE4ABB" w:rsidP="00103289">
                            <w:pPr>
                              <w:pStyle w:val="TechRep"/>
                              <w:spacing w:before="0" w:after="0" w:line="240" w:lineRule="auto"/>
                              <w:rPr>
                                <w:sz w:val="18"/>
                                <w:szCs w:val="18"/>
                              </w:rPr>
                            </w:pPr>
                            <w:r>
                              <w:rPr>
                                <w:sz w:val="18"/>
                                <w:szCs w:val="18"/>
                              </w:rPr>
                              <w:t>‘</w:t>
                            </w:r>
                            <w:r w:rsidRPr="00F55D63">
                              <w:rPr>
                                <w:sz w:val="18"/>
                                <w:szCs w:val="18"/>
                              </w:rPr>
                              <w:t>© Commonwealth of Australia 201</w:t>
                            </w:r>
                            <w:r>
                              <w:rPr>
                                <w:sz w:val="18"/>
                                <w:szCs w:val="18"/>
                              </w:rPr>
                              <w:t>7</w:t>
                            </w:r>
                            <w:r w:rsidRPr="00F55D63">
                              <w:rPr>
                                <w:sz w:val="18"/>
                                <w:szCs w:val="18"/>
                              </w:rPr>
                              <w:t>, as represented by the Australian Radiation Protection and Nuclear Safety Agency (ARPANSA)</w:t>
                            </w:r>
                            <w:r>
                              <w:rPr>
                                <w:sz w:val="18"/>
                                <w:szCs w:val="18"/>
                              </w:rPr>
                              <w:t>’</w:t>
                            </w:r>
                          </w:p>
                          <w:p w14:paraId="683DB226" w14:textId="77777777" w:rsidR="00EE4ABB" w:rsidRPr="00F55D63" w:rsidRDefault="00EE4ABB" w:rsidP="00103289">
                            <w:pPr>
                              <w:pStyle w:val="TechRep"/>
                              <w:spacing w:before="0" w:after="0" w:line="240" w:lineRule="auto"/>
                              <w:rPr>
                                <w:sz w:val="18"/>
                                <w:szCs w:val="18"/>
                              </w:rPr>
                            </w:pPr>
                          </w:p>
                          <w:p w14:paraId="21E85929" w14:textId="23FD279E" w:rsidR="00EE4ABB" w:rsidRPr="00F55D63" w:rsidRDefault="00EE4ABB" w:rsidP="00103289">
                            <w:pPr>
                              <w:pStyle w:val="TechRep"/>
                              <w:spacing w:before="0" w:after="0" w:line="240" w:lineRule="auto"/>
                              <w:rPr>
                                <w:sz w:val="18"/>
                                <w:szCs w:val="18"/>
                              </w:rPr>
                            </w:pPr>
                            <w:r w:rsidRPr="00F55D63">
                              <w:rPr>
                                <w:sz w:val="18"/>
                                <w:szCs w:val="18"/>
                              </w:rPr>
                              <w:t>The publicati</w:t>
                            </w:r>
                            <w:r>
                              <w:rPr>
                                <w:sz w:val="18"/>
                                <w:szCs w:val="18"/>
                              </w:rPr>
                              <w:t xml:space="preserve">on should be attributed as: </w:t>
                            </w:r>
                            <w:r w:rsidRPr="0039255A">
                              <w:rPr>
                                <w:i/>
                                <w:sz w:val="18"/>
                                <w:szCs w:val="18"/>
                              </w:rPr>
                              <w:t>Analysis of Public Submissions Consultation Regulatory Impact Statement in the use of Intense Pulsed Light (IPLs) Sources and Lasers for Cosmetic or Beauty Therapy</w:t>
                            </w:r>
                            <w:r w:rsidRPr="00F55D63">
                              <w:rPr>
                                <w:sz w:val="18"/>
                                <w:szCs w:val="18"/>
                              </w:rPr>
                              <w:t>.</w:t>
                            </w:r>
                          </w:p>
                          <w:p w14:paraId="69B14F50" w14:textId="77777777" w:rsidR="00EE4ABB" w:rsidRPr="00F55D63" w:rsidRDefault="00EE4ABB" w:rsidP="00103289">
                            <w:pPr>
                              <w:pStyle w:val="TechRep"/>
                              <w:spacing w:before="0" w:after="0" w:line="240" w:lineRule="auto"/>
                              <w:rPr>
                                <w:sz w:val="18"/>
                                <w:szCs w:val="18"/>
                              </w:rPr>
                            </w:pPr>
                          </w:p>
                          <w:p w14:paraId="523C8C99" w14:textId="77777777" w:rsidR="00EE4ABB" w:rsidRPr="00F55D63" w:rsidRDefault="00EE4ABB" w:rsidP="00103289">
                            <w:pPr>
                              <w:pStyle w:val="TechRep"/>
                              <w:spacing w:before="0" w:after="0" w:line="240" w:lineRule="auto"/>
                              <w:rPr>
                                <w:b/>
                                <w:sz w:val="18"/>
                                <w:szCs w:val="18"/>
                              </w:rPr>
                            </w:pPr>
                            <w:r w:rsidRPr="00F55D63">
                              <w:rPr>
                                <w:b/>
                                <w:sz w:val="18"/>
                                <w:szCs w:val="18"/>
                              </w:rPr>
                              <w:t>Use of the Coat of Arms</w:t>
                            </w:r>
                          </w:p>
                          <w:p w14:paraId="77EAAFEE" w14:textId="77777777" w:rsidR="00EE4ABB" w:rsidRPr="00F55D63" w:rsidRDefault="00EE4ABB" w:rsidP="00103289">
                            <w:pPr>
                              <w:pStyle w:val="TechRep"/>
                              <w:spacing w:before="0" w:after="0" w:line="240" w:lineRule="auto"/>
                              <w:rPr>
                                <w:sz w:val="18"/>
                                <w:szCs w:val="18"/>
                              </w:rPr>
                            </w:pPr>
                          </w:p>
                          <w:p w14:paraId="016C4250" w14:textId="77777777" w:rsidR="00EE4ABB" w:rsidRPr="00F55D63" w:rsidRDefault="00EE4ABB" w:rsidP="00103289">
                            <w:pPr>
                              <w:pStyle w:val="TechRep"/>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 w:history="1">
                              <w:r w:rsidRPr="00D76967">
                                <w:rPr>
                                  <w:rStyle w:val="Hyperlink"/>
                                  <w:sz w:val="18"/>
                                </w:rPr>
                                <w:t>www.dpmc.gov.au/government/commonwealth-coat-arms</w:t>
                              </w:r>
                            </w:hyperlink>
                            <w:r w:rsidRPr="00F55D63">
                              <w:rPr>
                                <w:sz w:val="18"/>
                                <w:szCs w:val="18"/>
                              </w:rPr>
                              <w:t>).</w:t>
                            </w:r>
                          </w:p>
                          <w:p w14:paraId="3138AC7D" w14:textId="77777777" w:rsidR="00EE4ABB" w:rsidRPr="00F55D63" w:rsidRDefault="00EE4ABB" w:rsidP="00103289">
                            <w:pPr>
                              <w:pStyle w:val="TechRep"/>
                              <w:spacing w:before="0" w:after="0" w:line="240" w:lineRule="auto"/>
                              <w:rPr>
                                <w:sz w:val="18"/>
                              </w:rPr>
                            </w:pPr>
                          </w:p>
                          <w:p w14:paraId="663DFE71" w14:textId="77777777" w:rsidR="00EE4ABB" w:rsidRPr="00F55D63" w:rsidRDefault="00EE4ABB" w:rsidP="00103289">
                            <w:pPr>
                              <w:pStyle w:val="TechRep"/>
                              <w:spacing w:before="0" w:after="0" w:line="240" w:lineRule="auto"/>
                              <w:rPr>
                                <w:sz w:val="18"/>
                                <w:szCs w:val="18"/>
                              </w:rPr>
                            </w:pPr>
                            <w:r w:rsidRPr="00F55D63">
                              <w:rPr>
                                <w:sz w:val="18"/>
                                <w:szCs w:val="18"/>
                              </w:rPr>
                              <w:t>Enquiries regarding the licence and any use of this report are welcome.</w:t>
                            </w:r>
                          </w:p>
                          <w:p w14:paraId="735721E2" w14:textId="77777777" w:rsidR="00EE4ABB" w:rsidRPr="00F55D63" w:rsidRDefault="00EE4ABB" w:rsidP="00103289">
                            <w:pPr>
                              <w:pStyle w:val="TechRep"/>
                              <w:spacing w:before="0" w:after="0" w:line="240" w:lineRule="auto"/>
                              <w:rPr>
                                <w:sz w:val="18"/>
                                <w:szCs w:val="18"/>
                              </w:rPr>
                            </w:pPr>
                          </w:p>
                          <w:p w14:paraId="70BBC1C0" w14:textId="77777777" w:rsidR="00EE4ABB" w:rsidRPr="00F55D63" w:rsidRDefault="00EE4ABB" w:rsidP="00103289">
                            <w:pPr>
                              <w:pStyle w:val="TechRep"/>
                              <w:spacing w:before="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E04DD1B" w14:textId="77777777" w:rsidR="00EE4ABB" w:rsidRPr="00F55D63" w:rsidRDefault="00EE4ABB" w:rsidP="00103289">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13"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14"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5pt;margin-top:7.75pt;width:478.3pt;height:5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">
                <v:textbox inset="2mm,1mm,2mm,1mm">
                  <w:txbxContent>
                    <w:p w14:paraId="0B4C897A" w14:textId="11A01FF3" w:rsidR="00EE4ABB" w:rsidRPr="00F55D63" w:rsidRDefault="00EE4ABB" w:rsidP="00103289">
                      <w:pPr>
                        <w:pStyle w:val="Text"/>
                        <w:spacing w:before="0" w:after="0" w:line="240" w:lineRule="auto"/>
                        <w:rPr>
                          <w:sz w:val="18"/>
                          <w:szCs w:val="18"/>
                        </w:rPr>
                      </w:pPr>
                      <w:r w:rsidRPr="00F55D63">
                        <w:rPr>
                          <w:sz w:val="18"/>
                          <w:szCs w:val="18"/>
                          <w:lang w:eastAsia="en-US"/>
                        </w:rPr>
                        <w:t>© Commonwealth of Australia 201</w:t>
                      </w:r>
                      <w:r>
                        <w:rPr>
                          <w:sz w:val="18"/>
                          <w:szCs w:val="18"/>
                          <w:lang w:eastAsia="en-US"/>
                        </w:rPr>
                        <w:t>7</w:t>
                      </w:r>
                    </w:p>
                    <w:p w14:paraId="1242D328" w14:textId="77777777" w:rsidR="00EE4ABB" w:rsidRPr="00F55D63" w:rsidRDefault="00EE4ABB" w:rsidP="00103289">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8AB6419" w14:textId="77777777" w:rsidR="00EE4ABB" w:rsidRPr="00F55D63" w:rsidRDefault="00EE4ABB" w:rsidP="00103289">
                      <w:pPr>
                        <w:pStyle w:val="Text"/>
                        <w:spacing w:before="0" w:after="0" w:line="240" w:lineRule="auto"/>
                        <w:rPr>
                          <w:sz w:val="18"/>
                          <w:szCs w:val="18"/>
                        </w:rPr>
                      </w:pPr>
                    </w:p>
                    <w:p w14:paraId="522BE042" w14:textId="77777777" w:rsidR="00EE4ABB" w:rsidRPr="00F55D63" w:rsidRDefault="00EE4ABB" w:rsidP="00103289">
                      <w:pPr>
                        <w:pStyle w:val="Text"/>
                        <w:spacing w:before="0" w:after="0" w:line="240" w:lineRule="auto"/>
                        <w:rPr>
                          <w:sz w:val="18"/>
                          <w:szCs w:val="18"/>
                        </w:rPr>
                      </w:pPr>
                    </w:p>
                    <w:p w14:paraId="78472142" w14:textId="77777777" w:rsidR="00EE4ABB" w:rsidRPr="00F55D63" w:rsidRDefault="00EE4ABB" w:rsidP="00103289">
                      <w:pPr>
                        <w:pStyle w:val="Text"/>
                        <w:spacing w:before="0" w:after="0" w:line="240" w:lineRule="auto"/>
                        <w:rPr>
                          <w:sz w:val="18"/>
                          <w:szCs w:val="18"/>
                        </w:rPr>
                      </w:pPr>
                      <w:r>
                        <w:rPr>
                          <w:sz w:val="18"/>
                          <w:szCs w:val="18"/>
                        </w:rPr>
                        <w:t>ISSN 0157-1400</w:t>
                      </w:r>
                    </w:p>
                    <w:p w14:paraId="5BD3E6A6" w14:textId="77777777" w:rsidR="00EE4ABB" w:rsidRPr="00F55D63" w:rsidRDefault="00EE4ABB" w:rsidP="00103289">
                      <w:pPr>
                        <w:pStyle w:val="Text"/>
                        <w:spacing w:before="0" w:after="0" w:line="240" w:lineRule="auto"/>
                        <w:rPr>
                          <w:sz w:val="18"/>
                          <w:szCs w:val="18"/>
                        </w:rPr>
                      </w:pPr>
                    </w:p>
                    <w:p w14:paraId="6B4449F1" w14:textId="77777777" w:rsidR="00EE4ABB" w:rsidRPr="00F55D63" w:rsidRDefault="00EE4ABB" w:rsidP="00103289">
                      <w:pPr>
                        <w:pStyle w:val="Text"/>
                        <w:spacing w:before="0" w:after="0" w:line="240" w:lineRule="auto"/>
                        <w:rPr>
                          <w:sz w:val="18"/>
                          <w:szCs w:val="18"/>
                        </w:rPr>
                      </w:pPr>
                      <w:r w:rsidRPr="00F55D63">
                        <w:rPr>
                          <w:noProof/>
                          <w:sz w:val="18"/>
                          <w:szCs w:val="18"/>
                          <w:lang w:val="en-AU"/>
                        </w:rPr>
                        <w:drawing>
                          <wp:inline distT="0" distB="0" distL="0" distR="0" wp14:anchorId="7093DE8A" wp14:editId="73CD553B">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5D58203" w14:textId="77777777" w:rsidR="00EE4ABB" w:rsidRPr="00F55D63" w:rsidRDefault="00EE4ABB" w:rsidP="00103289">
                      <w:pPr>
                        <w:pStyle w:val="Text"/>
                        <w:spacing w:before="0" w:after="0" w:line="240" w:lineRule="auto"/>
                        <w:rPr>
                          <w:sz w:val="18"/>
                          <w:szCs w:val="18"/>
                        </w:rPr>
                      </w:pPr>
                    </w:p>
                    <w:p w14:paraId="5AE9704D" w14:textId="77777777" w:rsidR="00EE4ABB" w:rsidRPr="00F55D63" w:rsidRDefault="00EE4ABB" w:rsidP="00103289">
                      <w:pPr>
                        <w:pStyle w:val="Text"/>
                        <w:spacing w:before="0" w:after="0" w:line="240" w:lineRule="auto"/>
                        <w:rPr>
                          <w:b/>
                          <w:sz w:val="18"/>
                          <w:szCs w:val="18"/>
                        </w:rPr>
                      </w:pPr>
                      <w:r w:rsidRPr="00F55D63">
                        <w:rPr>
                          <w:b/>
                          <w:sz w:val="18"/>
                          <w:szCs w:val="18"/>
                        </w:rPr>
                        <w:t>Creative Commons</w:t>
                      </w:r>
                    </w:p>
                    <w:p w14:paraId="48861130" w14:textId="77777777" w:rsidR="00EE4ABB" w:rsidRPr="00F55D63" w:rsidRDefault="00EE4ABB" w:rsidP="00103289">
                      <w:pPr>
                        <w:pStyle w:val="Text"/>
                        <w:spacing w:before="0" w:after="0" w:line="240" w:lineRule="auto"/>
                        <w:rPr>
                          <w:sz w:val="18"/>
                          <w:szCs w:val="18"/>
                        </w:rPr>
                      </w:pPr>
                    </w:p>
                    <w:p w14:paraId="5A4E48C2" w14:textId="6DF18EB7" w:rsidR="00EE4ABB" w:rsidRPr="00F55D63" w:rsidRDefault="00EE4ABB" w:rsidP="0039255A">
                      <w:pPr>
                        <w:pStyle w:val="Text"/>
                        <w:spacing w:before="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Pr>
                          <w:sz w:val="18"/>
                          <w:szCs w:val="18"/>
                        </w:rPr>
                        <w:t xml:space="preserve"> </w:t>
                      </w:r>
                      <w:r w:rsidRPr="0039255A">
                        <w:rPr>
                          <w:i/>
                          <w:sz w:val="18"/>
                          <w:szCs w:val="18"/>
                        </w:rPr>
                        <w:t>Analysis of Public Submissions Consultation Regulatory Impact Statement in the use of Intense Pulsed Light (IPLs) Sources and Lasers for Cosmetic or Beauty Therapy</w:t>
                      </w:r>
                      <w:r w:rsidRPr="0039255A">
                        <w:rPr>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16" w:history="1">
                        <w:r w:rsidRPr="008D016B">
                          <w:rPr>
                            <w:rStyle w:val="Hyperlink"/>
                            <w:i/>
                            <w:iCs/>
                            <w:spacing w:val="-4"/>
                            <w:sz w:val="18"/>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084A3104" w14:textId="77777777" w:rsidR="00EE4ABB" w:rsidRPr="00F55D63" w:rsidRDefault="00EE4ABB" w:rsidP="00103289">
                      <w:pPr>
                        <w:pStyle w:val="Text"/>
                        <w:spacing w:before="0" w:after="0" w:line="240" w:lineRule="auto"/>
                        <w:rPr>
                          <w:sz w:val="18"/>
                          <w:szCs w:val="18"/>
                        </w:rPr>
                      </w:pPr>
                    </w:p>
                    <w:p w14:paraId="21472791" w14:textId="19FC05A7" w:rsidR="00EE4ABB" w:rsidRPr="00F55D63" w:rsidRDefault="00EE4ABB" w:rsidP="00103289">
                      <w:pPr>
                        <w:pStyle w:val="TechRep"/>
                        <w:spacing w:before="0" w:after="0" w:line="240" w:lineRule="auto"/>
                        <w:rPr>
                          <w:sz w:val="18"/>
                          <w:szCs w:val="18"/>
                        </w:rPr>
                      </w:pPr>
                      <w:r w:rsidRPr="00F55D63">
                        <w:rPr>
                          <w:sz w:val="18"/>
                          <w:szCs w:val="18"/>
                        </w:rPr>
                        <w:t>In essence, you are free to copy, communicate and adapt the material as long as you attribute the work to ARPANSA and abide by the other licence terms. The works are to be attributed t</w:t>
                      </w:r>
                      <w:r>
                        <w:rPr>
                          <w:sz w:val="18"/>
                          <w:szCs w:val="18"/>
                        </w:rPr>
                        <w:t>o the Commonwealth as follows:</w:t>
                      </w:r>
                    </w:p>
                    <w:p w14:paraId="41C5B998" w14:textId="77777777" w:rsidR="00EE4ABB" w:rsidRPr="00F55D63" w:rsidRDefault="00EE4ABB" w:rsidP="00103289">
                      <w:pPr>
                        <w:pStyle w:val="TechRep"/>
                        <w:spacing w:before="0" w:after="0" w:line="240" w:lineRule="auto"/>
                        <w:rPr>
                          <w:sz w:val="18"/>
                          <w:szCs w:val="18"/>
                        </w:rPr>
                      </w:pPr>
                    </w:p>
                    <w:p w14:paraId="596DE6D7" w14:textId="0650B6F8" w:rsidR="00EE4ABB" w:rsidRPr="00F55D63" w:rsidRDefault="00EE4ABB" w:rsidP="00103289">
                      <w:pPr>
                        <w:pStyle w:val="TechRep"/>
                        <w:spacing w:before="0" w:after="0" w:line="240" w:lineRule="auto"/>
                        <w:rPr>
                          <w:sz w:val="18"/>
                          <w:szCs w:val="18"/>
                        </w:rPr>
                      </w:pPr>
                      <w:r>
                        <w:rPr>
                          <w:sz w:val="18"/>
                          <w:szCs w:val="18"/>
                        </w:rPr>
                        <w:t>‘</w:t>
                      </w:r>
                      <w:r w:rsidRPr="00F55D63">
                        <w:rPr>
                          <w:sz w:val="18"/>
                          <w:szCs w:val="18"/>
                        </w:rPr>
                        <w:t>© Commonwealth of Australia 201</w:t>
                      </w:r>
                      <w:r>
                        <w:rPr>
                          <w:sz w:val="18"/>
                          <w:szCs w:val="18"/>
                        </w:rPr>
                        <w:t>7</w:t>
                      </w:r>
                      <w:r w:rsidRPr="00F55D63">
                        <w:rPr>
                          <w:sz w:val="18"/>
                          <w:szCs w:val="18"/>
                        </w:rPr>
                        <w:t>, as represented by the Australian Radiation Protection and Nuclear Safety Agency (ARPANSA)</w:t>
                      </w:r>
                      <w:r>
                        <w:rPr>
                          <w:sz w:val="18"/>
                          <w:szCs w:val="18"/>
                        </w:rPr>
                        <w:t>’</w:t>
                      </w:r>
                    </w:p>
                    <w:p w14:paraId="683DB226" w14:textId="77777777" w:rsidR="00EE4ABB" w:rsidRPr="00F55D63" w:rsidRDefault="00EE4ABB" w:rsidP="00103289">
                      <w:pPr>
                        <w:pStyle w:val="TechRep"/>
                        <w:spacing w:before="0" w:after="0" w:line="240" w:lineRule="auto"/>
                        <w:rPr>
                          <w:sz w:val="18"/>
                          <w:szCs w:val="18"/>
                        </w:rPr>
                      </w:pPr>
                    </w:p>
                    <w:p w14:paraId="21E85929" w14:textId="23FD279E" w:rsidR="00EE4ABB" w:rsidRPr="00F55D63" w:rsidRDefault="00EE4ABB" w:rsidP="00103289">
                      <w:pPr>
                        <w:pStyle w:val="TechRep"/>
                        <w:spacing w:before="0" w:after="0" w:line="240" w:lineRule="auto"/>
                        <w:rPr>
                          <w:sz w:val="18"/>
                          <w:szCs w:val="18"/>
                        </w:rPr>
                      </w:pPr>
                      <w:r w:rsidRPr="00F55D63">
                        <w:rPr>
                          <w:sz w:val="18"/>
                          <w:szCs w:val="18"/>
                        </w:rPr>
                        <w:t>The publicati</w:t>
                      </w:r>
                      <w:r>
                        <w:rPr>
                          <w:sz w:val="18"/>
                          <w:szCs w:val="18"/>
                        </w:rPr>
                        <w:t xml:space="preserve">on should be attributed as: </w:t>
                      </w:r>
                      <w:r w:rsidRPr="0039255A">
                        <w:rPr>
                          <w:i/>
                          <w:sz w:val="18"/>
                          <w:szCs w:val="18"/>
                        </w:rPr>
                        <w:t>Analysis of Public Submissions Consultation Regulatory Impact Statement in the use of Intense Pulsed Light (IPLs) Sources and Lasers for Cosmetic or Beauty Therapy</w:t>
                      </w:r>
                      <w:r w:rsidRPr="00F55D63">
                        <w:rPr>
                          <w:sz w:val="18"/>
                          <w:szCs w:val="18"/>
                        </w:rPr>
                        <w:t>.</w:t>
                      </w:r>
                    </w:p>
                    <w:p w14:paraId="69B14F50" w14:textId="77777777" w:rsidR="00EE4ABB" w:rsidRPr="00F55D63" w:rsidRDefault="00EE4ABB" w:rsidP="00103289">
                      <w:pPr>
                        <w:pStyle w:val="TechRep"/>
                        <w:spacing w:before="0" w:after="0" w:line="240" w:lineRule="auto"/>
                        <w:rPr>
                          <w:sz w:val="18"/>
                          <w:szCs w:val="18"/>
                        </w:rPr>
                      </w:pPr>
                    </w:p>
                    <w:p w14:paraId="523C8C99" w14:textId="77777777" w:rsidR="00EE4ABB" w:rsidRPr="00F55D63" w:rsidRDefault="00EE4ABB" w:rsidP="00103289">
                      <w:pPr>
                        <w:pStyle w:val="TechRep"/>
                        <w:spacing w:before="0" w:after="0" w:line="240" w:lineRule="auto"/>
                        <w:rPr>
                          <w:b/>
                          <w:sz w:val="18"/>
                          <w:szCs w:val="18"/>
                        </w:rPr>
                      </w:pPr>
                      <w:r w:rsidRPr="00F55D63">
                        <w:rPr>
                          <w:b/>
                          <w:sz w:val="18"/>
                          <w:szCs w:val="18"/>
                        </w:rPr>
                        <w:t>Use of the Coat of Arms</w:t>
                      </w:r>
                    </w:p>
                    <w:p w14:paraId="77EAAFEE" w14:textId="77777777" w:rsidR="00EE4ABB" w:rsidRPr="00F55D63" w:rsidRDefault="00EE4ABB" w:rsidP="00103289">
                      <w:pPr>
                        <w:pStyle w:val="TechRep"/>
                        <w:spacing w:before="0" w:after="0" w:line="240" w:lineRule="auto"/>
                        <w:rPr>
                          <w:sz w:val="18"/>
                          <w:szCs w:val="18"/>
                        </w:rPr>
                      </w:pPr>
                    </w:p>
                    <w:p w14:paraId="016C4250" w14:textId="77777777" w:rsidR="00EE4ABB" w:rsidRPr="00F55D63" w:rsidRDefault="00EE4ABB" w:rsidP="00103289">
                      <w:pPr>
                        <w:pStyle w:val="TechRep"/>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7" w:history="1">
                        <w:r w:rsidRPr="00D76967">
                          <w:rPr>
                            <w:rStyle w:val="Hyperlink"/>
                            <w:sz w:val="18"/>
                          </w:rPr>
                          <w:t>www.dpmc.gov.au/government/commonwealth-coat-arms</w:t>
                        </w:r>
                      </w:hyperlink>
                      <w:r w:rsidRPr="00F55D63">
                        <w:rPr>
                          <w:sz w:val="18"/>
                          <w:szCs w:val="18"/>
                        </w:rPr>
                        <w:t>).</w:t>
                      </w:r>
                    </w:p>
                    <w:p w14:paraId="3138AC7D" w14:textId="77777777" w:rsidR="00EE4ABB" w:rsidRPr="00F55D63" w:rsidRDefault="00EE4ABB" w:rsidP="00103289">
                      <w:pPr>
                        <w:pStyle w:val="TechRep"/>
                        <w:spacing w:before="0" w:after="0" w:line="240" w:lineRule="auto"/>
                        <w:rPr>
                          <w:sz w:val="18"/>
                        </w:rPr>
                      </w:pPr>
                    </w:p>
                    <w:p w14:paraId="663DFE71" w14:textId="77777777" w:rsidR="00EE4ABB" w:rsidRPr="00F55D63" w:rsidRDefault="00EE4ABB" w:rsidP="00103289">
                      <w:pPr>
                        <w:pStyle w:val="TechRep"/>
                        <w:spacing w:before="0" w:after="0" w:line="240" w:lineRule="auto"/>
                        <w:rPr>
                          <w:sz w:val="18"/>
                          <w:szCs w:val="18"/>
                        </w:rPr>
                      </w:pPr>
                      <w:r w:rsidRPr="00F55D63">
                        <w:rPr>
                          <w:sz w:val="18"/>
                          <w:szCs w:val="18"/>
                        </w:rPr>
                        <w:t>Enquiries regarding the licence and any use of this report are welcome.</w:t>
                      </w:r>
                    </w:p>
                    <w:p w14:paraId="735721E2" w14:textId="77777777" w:rsidR="00EE4ABB" w:rsidRPr="00F55D63" w:rsidRDefault="00EE4ABB" w:rsidP="00103289">
                      <w:pPr>
                        <w:pStyle w:val="TechRep"/>
                        <w:spacing w:before="0" w:after="0" w:line="240" w:lineRule="auto"/>
                        <w:rPr>
                          <w:sz w:val="18"/>
                          <w:szCs w:val="18"/>
                        </w:rPr>
                      </w:pPr>
                    </w:p>
                    <w:p w14:paraId="70BBC1C0" w14:textId="77777777" w:rsidR="00EE4ABB" w:rsidRPr="00F55D63" w:rsidRDefault="00EE4ABB" w:rsidP="00103289">
                      <w:pPr>
                        <w:pStyle w:val="TechRep"/>
                        <w:spacing w:before="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E04DD1B" w14:textId="77777777" w:rsidR="00EE4ABB" w:rsidRPr="00F55D63" w:rsidRDefault="00EE4ABB" w:rsidP="00103289">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18"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19" w:history="1">
                        <w:r w:rsidRPr="008D016B">
                          <w:rPr>
                            <w:rStyle w:val="Hyperlink"/>
                            <w:rFonts w:eastAsia="Times New Roman"/>
                            <w:sz w:val="18"/>
                            <w:szCs w:val="18"/>
                          </w:rPr>
                          <w:t>www.arpansa.gov.au</w:t>
                        </w:r>
                      </w:hyperlink>
                    </w:p>
                  </w:txbxContent>
                </v:textbox>
                <w10:wrap type="topAndBottom"/>
              </v:shape>
            </w:pict>
          </mc:Fallback>
        </mc:AlternateContent>
      </w:r>
    </w:p>
    <w:p w14:paraId="6812A229" w14:textId="77777777" w:rsidR="00D26273" w:rsidRDefault="00D26273">
      <w:pPr>
        <w:sectPr w:rsidR="00D26273" w:rsidSect="00C25D42">
          <w:headerReference w:type="first" r:id="rId20"/>
          <w:footerReference w:type="first" r:id="rId21"/>
          <w:type w:val="oddPage"/>
          <w:pgSz w:w="11906" w:h="16838" w:code="9"/>
          <w:pgMar w:top="1134" w:right="1134" w:bottom="1134" w:left="1134" w:header="567" w:footer="567" w:gutter="0"/>
          <w:cols w:space="708"/>
          <w:titlePg/>
          <w:docGrid w:linePitch="360"/>
        </w:sectPr>
      </w:pPr>
    </w:p>
    <w:p w14:paraId="15863F1A" w14:textId="77777777" w:rsidR="00F95311" w:rsidRDefault="00F95311" w:rsidP="003906C2">
      <w:pPr>
        <w:pStyle w:val="Heading1"/>
        <w:numPr>
          <w:ilvl w:val="0"/>
          <w:numId w:val="0"/>
        </w:numPr>
      </w:pPr>
      <w:bookmarkStart w:id="0" w:name="_Toc478567661"/>
      <w:r>
        <w:t>Acknowledgements</w:t>
      </w:r>
      <w:bookmarkEnd w:id="0"/>
    </w:p>
    <w:p w14:paraId="1FD601A1" w14:textId="1DC0B8DD" w:rsidR="00F95311" w:rsidRPr="00F95311" w:rsidRDefault="00F95311" w:rsidP="002808E0">
      <w:r>
        <w:t>The analysis of stakeholder submissions presented in this</w:t>
      </w:r>
      <w:r w:rsidR="00E12875">
        <w:t xml:space="preserve"> report relied on </w:t>
      </w:r>
      <w:r>
        <w:t xml:space="preserve">communication and </w:t>
      </w:r>
      <w:r w:rsidR="002A1C16">
        <w:t xml:space="preserve">the </w:t>
      </w:r>
      <w:r>
        <w:t>cooperati</w:t>
      </w:r>
      <w:r w:rsidR="002A1C16">
        <w:t>ve</w:t>
      </w:r>
      <w:r>
        <w:t xml:space="preserve"> efforts of members of the </w:t>
      </w:r>
      <w:r w:rsidR="00E12875">
        <w:t xml:space="preserve">IPL/Laser </w:t>
      </w:r>
      <w:r>
        <w:t>working group</w:t>
      </w:r>
      <w:r w:rsidR="002A1C16">
        <w:t xml:space="preserve">. </w:t>
      </w:r>
      <w:r w:rsidR="00E12875">
        <w:t xml:space="preserve">The members of this working group </w:t>
      </w:r>
      <w:r w:rsidR="00077266">
        <w:t>who</w:t>
      </w:r>
      <w:r w:rsidR="00E12875">
        <w:t xml:space="preserve"> conducted the analysis</w:t>
      </w:r>
      <w:r w:rsidR="002A1C16">
        <w:t xml:space="preserve"> consisted of </w:t>
      </w:r>
      <w:r w:rsidR="00BE567C">
        <w:t>representatives from</w:t>
      </w:r>
      <w:r>
        <w:t xml:space="preserve"> the Australian Radiation Protection and Nuclear Safety Agency</w:t>
      </w:r>
      <w:r w:rsidR="00BE567C">
        <w:t>, Queensland Department of Health, Victoria</w:t>
      </w:r>
      <w:bookmarkStart w:id="1" w:name="_GoBack"/>
      <w:bookmarkEnd w:id="1"/>
      <w:r w:rsidR="00BE567C">
        <w:t>n Department of Health, and Tasmanian Department of Health and Human Services.</w:t>
      </w:r>
      <w:r>
        <w:t xml:space="preserve"> </w:t>
      </w:r>
      <w:r w:rsidR="00BE567C">
        <w:t>The working group would like to acknowledge Dr Rick Tinker for his assistance in co-ordinating t</w:t>
      </w:r>
      <w:r w:rsidR="00077266">
        <w:t xml:space="preserve">he efforts of the analysis for delivery to the Radiation Health Committee and Robyn Lawler for her </w:t>
      </w:r>
      <w:r w:rsidR="00BE567C">
        <w:t xml:space="preserve">assistance in </w:t>
      </w:r>
      <w:r w:rsidR="00077266">
        <w:t>collating the submissions for analysis.</w:t>
      </w:r>
      <w:r w:rsidR="00BE567C">
        <w:t xml:space="preserve"> </w:t>
      </w:r>
    </w:p>
    <w:p w14:paraId="4995DE84" w14:textId="5A2F976B" w:rsidR="00F95311" w:rsidRDefault="00F95311">
      <w:pPr>
        <w:spacing w:before="0"/>
        <w:rPr>
          <w:rFonts w:eastAsiaTheme="majorEastAsia" w:cstheme="majorBidi"/>
          <w:b/>
          <w:bCs/>
          <w:color w:val="4E1A74"/>
          <w:sz w:val="32"/>
          <w:szCs w:val="28"/>
        </w:rPr>
      </w:pPr>
      <w:r>
        <w:br w:type="page"/>
      </w:r>
    </w:p>
    <w:p w14:paraId="2DE3FE20" w14:textId="6BE84B19" w:rsidR="00256DC9" w:rsidRPr="00211C54" w:rsidRDefault="00256DC9" w:rsidP="000772BA">
      <w:pPr>
        <w:pStyle w:val="Heading1"/>
        <w:numPr>
          <w:ilvl w:val="0"/>
          <w:numId w:val="0"/>
        </w:numPr>
      </w:pPr>
      <w:bookmarkStart w:id="2" w:name="_Toc478567662"/>
      <w:r w:rsidRPr="00211C54">
        <w:t>E</w:t>
      </w:r>
      <w:r w:rsidR="00022FAF">
        <w:t>xecutive summary</w:t>
      </w:r>
      <w:bookmarkEnd w:id="2"/>
    </w:p>
    <w:p w14:paraId="1E98D570" w14:textId="76CD3960" w:rsidR="001C2303" w:rsidRPr="000F217F" w:rsidRDefault="001C2303" w:rsidP="002808E0">
      <w:pPr>
        <w:rPr>
          <w:b/>
        </w:rPr>
      </w:pPr>
      <w:r w:rsidRPr="000F217F">
        <w:t xml:space="preserve">Lasers and </w:t>
      </w:r>
      <w:r w:rsidR="001A6BA2">
        <w:t>i</w:t>
      </w:r>
      <w:r w:rsidRPr="000F217F">
        <w:t xml:space="preserve">ntense </w:t>
      </w:r>
      <w:r w:rsidR="001A6BA2">
        <w:t>p</w:t>
      </w:r>
      <w:r w:rsidRPr="000F217F">
        <w:t xml:space="preserve">ulsed </w:t>
      </w:r>
      <w:r w:rsidR="001A6BA2">
        <w:t>l</w:t>
      </w:r>
      <w:r w:rsidRPr="000F217F">
        <w:t xml:space="preserve">ight </w:t>
      </w:r>
      <w:r w:rsidR="001A6BA2">
        <w:t>sources</w:t>
      </w:r>
      <w:r w:rsidRPr="000F217F">
        <w:t xml:space="preserve"> (IPLs) have been in use in the cosmetic</w:t>
      </w:r>
      <w:r>
        <w:t xml:space="preserve"> and beauty therapy</w:t>
      </w:r>
      <w:r w:rsidRPr="000F217F">
        <w:t xml:space="preserve"> industry </w:t>
      </w:r>
      <w:r>
        <w:t xml:space="preserve">(the industry) </w:t>
      </w:r>
      <w:r w:rsidRPr="000F217F">
        <w:t xml:space="preserve">for a number of years. Their use for cosmetic and beauty therapy purposes involves the treatment of symptomatic (e.g. dark skin discoloration, </w:t>
      </w:r>
      <w:r w:rsidR="002A6DA7">
        <w:t xml:space="preserve">superficial </w:t>
      </w:r>
      <w:r w:rsidRPr="000F217F">
        <w:t xml:space="preserve">vascular </w:t>
      </w:r>
      <w:r w:rsidR="00546FC8">
        <w:t>conditions</w:t>
      </w:r>
      <w:r w:rsidRPr="000F217F">
        <w:t>) and non-symptomatic (e.g. hair removal, skin rejuvenation) problems or medical conditions.</w:t>
      </w:r>
      <w:r w:rsidR="00211C54">
        <w:t xml:space="preserve"> </w:t>
      </w:r>
    </w:p>
    <w:p w14:paraId="6840EBEC" w14:textId="40161E08" w:rsidR="001C2303" w:rsidRDefault="001C2303" w:rsidP="002808E0">
      <w:r w:rsidRPr="000F217F">
        <w:t>There is a common public perception that cosmetic medicine using laser and IPL techniques is quick, easy, painless and low risk. However, many procedures are complex and require a high level of application skill and experience, aesthetic appreciation and after treatment care.</w:t>
      </w:r>
    </w:p>
    <w:p w14:paraId="1DA7AC74" w14:textId="7A40BEF7" w:rsidR="00581825" w:rsidRDefault="00581825" w:rsidP="002808E0">
      <w:r w:rsidRPr="000F217F">
        <w:t>A wide range of operators provide services with lasers and IPLs.</w:t>
      </w:r>
      <w:r>
        <w:t xml:space="preserve"> </w:t>
      </w:r>
      <w:r w:rsidRPr="000F217F">
        <w:t xml:space="preserve">Many are qualified professionals who are trained in the use of lasers and IPLs for cosmetic purposes, however, services are also provided by operators with limited or </w:t>
      </w:r>
      <w:r w:rsidR="00172934">
        <w:t xml:space="preserve">possibly </w:t>
      </w:r>
      <w:r w:rsidRPr="000F217F">
        <w:t xml:space="preserve">no training. The devices used for cosmetic </w:t>
      </w:r>
      <w:r w:rsidR="00546FC8">
        <w:t>treatments</w:t>
      </w:r>
      <w:r w:rsidR="00546FC8" w:rsidRPr="000F217F">
        <w:t xml:space="preserve"> </w:t>
      </w:r>
      <w:r w:rsidRPr="000F217F">
        <w:t xml:space="preserve">are not </w:t>
      </w:r>
      <w:r w:rsidR="00546FC8">
        <w:t>necessarily</w:t>
      </w:r>
      <w:r w:rsidRPr="000F217F">
        <w:t xml:space="preserve"> approved by the Therapeutic Goods Administration and are easily available for purchase </w:t>
      </w:r>
      <w:r w:rsidR="00546FC8">
        <w:t>directly from distributors via</w:t>
      </w:r>
      <w:r w:rsidRPr="000F217F">
        <w:t xml:space="preserve"> the Internet, sometimes at low cost.</w:t>
      </w:r>
    </w:p>
    <w:p w14:paraId="448FB150" w14:textId="7471952E" w:rsidR="00501476" w:rsidRPr="002808E0" w:rsidRDefault="00581825" w:rsidP="002808E0">
      <w:r w:rsidRPr="002808E0">
        <w:t xml:space="preserve">Media reports have highlighted injuries </w:t>
      </w:r>
      <w:r w:rsidR="00546FC8" w:rsidRPr="002808E0">
        <w:t xml:space="preserve">resulting from </w:t>
      </w:r>
      <w:r w:rsidRPr="002808E0">
        <w:t xml:space="preserve">IPLs and laser treatments </w:t>
      </w:r>
      <w:r w:rsidR="00546FC8" w:rsidRPr="002808E0">
        <w:t xml:space="preserve">that have </w:t>
      </w:r>
      <w:r w:rsidRPr="002808E0">
        <w:t xml:space="preserve">gone wrong. This has been accompanied by repeated calls for regulation of the industry. </w:t>
      </w:r>
      <w:r w:rsidR="00501476" w:rsidRPr="002808E0">
        <w:t xml:space="preserve">Currently, lasers used for cosmetic purposes are regulated in Queensland, Western Australia and Tasmania, and IPLs are regulated in Tasmania. </w:t>
      </w:r>
      <w:r w:rsidR="00546FC8" w:rsidRPr="002808E0">
        <w:t>There are some differences in the way each of these States regulate in this area</w:t>
      </w:r>
      <w:r w:rsidR="00501476" w:rsidRPr="002808E0">
        <w:t xml:space="preserve">. </w:t>
      </w:r>
    </w:p>
    <w:p w14:paraId="5792155D" w14:textId="44750AC9" w:rsidR="00581825" w:rsidRPr="002808E0" w:rsidRDefault="00581825" w:rsidP="002808E0">
      <w:r w:rsidRPr="002808E0">
        <w:t xml:space="preserve">In 2012 </w:t>
      </w:r>
      <w:r w:rsidR="00286A34" w:rsidRPr="002808E0">
        <w:t xml:space="preserve">a Laser/IPL </w:t>
      </w:r>
      <w:r w:rsidRPr="002808E0">
        <w:t xml:space="preserve">working group was established by the Radiation Health Committee to examine the options for how </w:t>
      </w:r>
      <w:r w:rsidR="00546FC8" w:rsidRPr="002808E0">
        <w:t xml:space="preserve">to </w:t>
      </w:r>
      <w:r w:rsidR="00F80483" w:rsidRPr="002808E0">
        <w:t xml:space="preserve">promote </w:t>
      </w:r>
      <w:r w:rsidR="00D725A2" w:rsidRPr="002808E0">
        <w:t>the safe use of</w:t>
      </w:r>
      <w:r w:rsidR="00546FC8" w:rsidRPr="002808E0">
        <w:t xml:space="preserve"> </w:t>
      </w:r>
      <w:r w:rsidRPr="002808E0">
        <w:t>cosmetic lasers and IPLs in the industry.</w:t>
      </w:r>
      <w:r w:rsidR="00501476" w:rsidRPr="002808E0">
        <w:t xml:space="preserve"> This resulted in the development of a Consultation Regulatory Impact Statement (RIS)</w:t>
      </w:r>
      <w:r w:rsidR="008539BE" w:rsidRPr="002808E0">
        <w:t xml:space="preserve"> in the use of Intense Pulsed Light (IPLs) Sources and Lasers for Cosmetic or Beauty Therapy</w:t>
      </w:r>
      <w:r w:rsidR="00501476" w:rsidRPr="002808E0">
        <w:t xml:space="preserve"> that was released for public consultation in 2015.</w:t>
      </w:r>
      <w:r w:rsidR="00DD0722" w:rsidRPr="002808E0">
        <w:t xml:space="preserve"> The Consultation RIS contained three models as options for</w:t>
      </w:r>
      <w:r w:rsidR="008539BE" w:rsidRPr="002808E0">
        <w:t xml:space="preserve"> </w:t>
      </w:r>
      <w:r w:rsidR="00B93D42" w:rsidRPr="002808E0">
        <w:t>promoting safety</w:t>
      </w:r>
      <w:r w:rsidR="00DD0722" w:rsidRPr="002808E0">
        <w:t xml:space="preserve"> </w:t>
      </w:r>
      <w:r w:rsidR="00932F91" w:rsidRPr="002808E0">
        <w:t xml:space="preserve">in </w:t>
      </w:r>
      <w:r w:rsidR="00DD0722" w:rsidRPr="002808E0">
        <w:t>the industry.</w:t>
      </w:r>
      <w:r w:rsidR="00F7291A" w:rsidRPr="002808E0">
        <w:t xml:space="preserve"> These included education, self-regulation and accreditation by the industry or licensing of practices. </w:t>
      </w:r>
      <w:r w:rsidR="00546FC8" w:rsidRPr="002808E0">
        <w:t>It was intended that an</w:t>
      </w:r>
      <w:r w:rsidR="00F7291A" w:rsidRPr="002808E0">
        <w:t xml:space="preserve"> analysis of the submissions from stakeholders would then be used to </w:t>
      </w:r>
      <w:r w:rsidR="00671E9A" w:rsidRPr="002808E0">
        <w:t>develop</w:t>
      </w:r>
      <w:r w:rsidR="00F7291A" w:rsidRPr="002808E0">
        <w:t xml:space="preserve"> a Decision RIS.</w:t>
      </w:r>
    </w:p>
    <w:p w14:paraId="1A4A7FAF" w14:textId="77777777" w:rsidR="006E3FD7" w:rsidRPr="002808E0" w:rsidRDefault="00501476" w:rsidP="002808E0">
      <w:r w:rsidRPr="002808E0">
        <w:t>A</w:t>
      </w:r>
      <w:r w:rsidR="00A81099" w:rsidRPr="002808E0">
        <w:t xml:space="preserve"> detailed analysis </w:t>
      </w:r>
      <w:r w:rsidR="00F7291A" w:rsidRPr="002808E0">
        <w:t xml:space="preserve">was </w:t>
      </w:r>
      <w:r w:rsidR="00A81099" w:rsidRPr="002808E0">
        <w:t xml:space="preserve">undertaken of the 241 </w:t>
      </w:r>
      <w:r w:rsidRPr="002808E0">
        <w:t xml:space="preserve">submissions </w:t>
      </w:r>
      <w:r w:rsidR="00A81099" w:rsidRPr="002808E0">
        <w:t xml:space="preserve">received from </w:t>
      </w:r>
      <w:r w:rsidRPr="002808E0">
        <w:t>stakeholders in the</w:t>
      </w:r>
      <w:r w:rsidR="00A81099" w:rsidRPr="002808E0">
        <w:t xml:space="preserve"> consultation process</w:t>
      </w:r>
      <w:r w:rsidRPr="002808E0">
        <w:t xml:space="preserve">. </w:t>
      </w:r>
      <w:r w:rsidR="00DD0722" w:rsidRPr="002808E0">
        <w:t>T</w:t>
      </w:r>
      <w:r w:rsidR="00A81099" w:rsidRPr="002808E0">
        <w:t xml:space="preserve">he </w:t>
      </w:r>
      <w:r w:rsidR="00DD0722" w:rsidRPr="002808E0">
        <w:t>analysis</w:t>
      </w:r>
      <w:r w:rsidR="00F7291A" w:rsidRPr="002808E0">
        <w:t xml:space="preserve"> </w:t>
      </w:r>
      <w:r w:rsidR="00DD0722" w:rsidRPr="002808E0">
        <w:t>showed that the</w:t>
      </w:r>
      <w:r w:rsidR="00A81099" w:rsidRPr="002808E0">
        <w:t xml:space="preserve"> </w:t>
      </w:r>
      <w:r w:rsidR="00DD0722" w:rsidRPr="002808E0">
        <w:t xml:space="preserve">submissions </w:t>
      </w:r>
      <w:r w:rsidR="00A81099" w:rsidRPr="002808E0">
        <w:t>did not provide any significant additional quantitative information relating to the implementation of one or a combination of the options presented in th</w:t>
      </w:r>
      <w:r w:rsidR="00FF72C3" w:rsidRPr="002808E0">
        <w:t>e Consultation RIS</w:t>
      </w:r>
      <w:r w:rsidR="00A81099" w:rsidRPr="002808E0">
        <w:t>.</w:t>
      </w:r>
      <w:r w:rsidR="00FF72C3" w:rsidRPr="002808E0">
        <w:t xml:space="preserve"> However, it did highlight an industry wide preference for some level of oversight to be implemented, with the major driver being public safety and positive health outcomes.</w:t>
      </w:r>
    </w:p>
    <w:p w14:paraId="37110975" w14:textId="56673B72" w:rsidR="00D91F8F" w:rsidRPr="002808E0" w:rsidRDefault="00F80483" w:rsidP="002808E0">
      <w:r w:rsidRPr="002808E0">
        <w:t xml:space="preserve">Consequently, it </w:t>
      </w:r>
      <w:r w:rsidR="0012248A" w:rsidRPr="002808E0">
        <w:t>was</w:t>
      </w:r>
      <w:r w:rsidR="00CF1D75" w:rsidRPr="002808E0">
        <w:t xml:space="preserve"> concluded that there was insufficient information to substantiate the cost versus benefit estimations that would be required for a Decision RIS to be developed </w:t>
      </w:r>
      <w:r w:rsidR="00D91F8F" w:rsidRPr="002808E0">
        <w:t>based on the options presented. Instead, it was decided that a nationally uniform approach could be promoted by the development of guidance</w:t>
      </w:r>
      <w:r w:rsidR="00FF72C3" w:rsidRPr="002808E0">
        <w:t xml:space="preserve"> </w:t>
      </w:r>
      <w:r w:rsidR="00416455" w:rsidRPr="002808E0">
        <w:t xml:space="preserve">material </w:t>
      </w:r>
      <w:r w:rsidR="00D91F8F" w:rsidRPr="002808E0">
        <w:t>for the use of lasers and IPL devices in the industry. The guid</w:t>
      </w:r>
      <w:r w:rsidR="00416455" w:rsidRPr="002808E0">
        <w:t>anc</w:t>
      </w:r>
      <w:r w:rsidR="00D91F8F" w:rsidRPr="002808E0">
        <w:t>e</w:t>
      </w:r>
      <w:r w:rsidR="00CF1D75" w:rsidRPr="002808E0">
        <w:t xml:space="preserve"> </w:t>
      </w:r>
      <w:r w:rsidR="00416455" w:rsidRPr="002808E0">
        <w:t xml:space="preserve">material </w:t>
      </w:r>
      <w:r w:rsidR="00CF1D75" w:rsidRPr="002808E0">
        <w:t xml:space="preserve">would provide a common framework for terminology, education, training, equipment, patient care and injury reporting that would be </w:t>
      </w:r>
      <w:r w:rsidR="00546FC8" w:rsidRPr="002808E0">
        <w:t xml:space="preserve">accessible to the </w:t>
      </w:r>
      <w:r w:rsidR="00DD4BB9" w:rsidRPr="002808E0">
        <w:t xml:space="preserve">Australian </w:t>
      </w:r>
      <w:r w:rsidR="00546FC8" w:rsidRPr="002808E0">
        <w:t>public and which could be promoted by all States and Territories</w:t>
      </w:r>
      <w:r w:rsidR="00DD4BB9" w:rsidRPr="002808E0">
        <w:t>.</w:t>
      </w:r>
    </w:p>
    <w:p w14:paraId="23A49FC7" w14:textId="77777777" w:rsidR="00CF1D75" w:rsidRPr="002808E0" w:rsidRDefault="00D91F8F" w:rsidP="002808E0">
      <w:r w:rsidRPr="002808E0">
        <w:br w:type="page"/>
      </w:r>
    </w:p>
    <w:p w14:paraId="7D9259B3" w14:textId="77777777" w:rsidR="00867575" w:rsidRPr="00867575" w:rsidRDefault="00867575" w:rsidP="00DB3890">
      <w:pPr>
        <w:rPr>
          <w:rFonts w:ascii="Calibri" w:hAnsi="Calibri"/>
          <w:b/>
          <w:color w:val="4E1A74"/>
          <w:sz w:val="32"/>
        </w:rPr>
      </w:pPr>
      <w:r w:rsidRPr="00867575">
        <w:rPr>
          <w:rFonts w:ascii="Calibri" w:hAnsi="Calibri"/>
          <w:b/>
          <w:color w:val="4E1A74"/>
          <w:sz w:val="32"/>
        </w:rPr>
        <w:t>Table of contents</w:t>
      </w:r>
    </w:p>
    <w:sdt>
      <w:sdtPr>
        <w:rPr>
          <w:color w:val="auto"/>
          <w:sz w:val="22"/>
        </w:rPr>
        <w:id w:val="-53396554"/>
        <w:docPartObj>
          <w:docPartGallery w:val="Table of Contents"/>
          <w:docPartUnique/>
        </w:docPartObj>
      </w:sdtPr>
      <w:sdtEndPr>
        <w:rPr>
          <w:color w:val="4E1A74"/>
          <w:sz w:val="24"/>
        </w:rPr>
      </w:sdtEndPr>
      <w:sdtContent>
        <w:p w14:paraId="5B198BD9" w14:textId="77777777" w:rsidR="00EE4ABB" w:rsidRDefault="00022FAF">
          <w:pPr>
            <w:pStyle w:val="TOC1"/>
            <w:rPr>
              <w:rFonts w:eastAsiaTheme="minorEastAsia"/>
              <w:b w:val="0"/>
              <w:color w:val="auto"/>
              <w:sz w:val="22"/>
              <w:lang w:eastAsia="en-AU"/>
            </w:rPr>
          </w:pPr>
          <w:r>
            <w:fldChar w:fldCharType="begin"/>
          </w:r>
          <w:r>
            <w:instrText xml:space="preserve"> TOC \o "1-2" \h \z \u </w:instrText>
          </w:r>
          <w:r>
            <w:fldChar w:fldCharType="separate"/>
          </w:r>
          <w:hyperlink w:anchor="_Toc478567661" w:history="1">
            <w:r w:rsidR="00EE4ABB" w:rsidRPr="004362A0">
              <w:rPr>
                <w:rStyle w:val="Hyperlink"/>
              </w:rPr>
              <w:t>Acknowledgements</w:t>
            </w:r>
            <w:r w:rsidR="00EE4ABB">
              <w:rPr>
                <w:webHidden/>
              </w:rPr>
              <w:tab/>
            </w:r>
            <w:r w:rsidR="00EE4ABB">
              <w:rPr>
                <w:webHidden/>
              </w:rPr>
              <w:fldChar w:fldCharType="begin"/>
            </w:r>
            <w:r w:rsidR="00EE4ABB">
              <w:rPr>
                <w:webHidden/>
              </w:rPr>
              <w:instrText xml:space="preserve"> PAGEREF _Toc478567661 \h </w:instrText>
            </w:r>
            <w:r w:rsidR="00EE4ABB">
              <w:rPr>
                <w:webHidden/>
              </w:rPr>
            </w:r>
            <w:r w:rsidR="00EE4ABB">
              <w:rPr>
                <w:webHidden/>
              </w:rPr>
              <w:fldChar w:fldCharType="separate"/>
            </w:r>
            <w:r w:rsidR="00EE4ABB">
              <w:rPr>
                <w:webHidden/>
              </w:rPr>
              <w:t>i</w:t>
            </w:r>
            <w:r w:rsidR="00EE4ABB">
              <w:rPr>
                <w:webHidden/>
              </w:rPr>
              <w:fldChar w:fldCharType="end"/>
            </w:r>
          </w:hyperlink>
        </w:p>
        <w:p w14:paraId="7E16EDB4" w14:textId="77777777" w:rsidR="00EE4ABB" w:rsidRDefault="00D41478">
          <w:pPr>
            <w:pStyle w:val="TOC1"/>
            <w:rPr>
              <w:rFonts w:eastAsiaTheme="minorEastAsia"/>
              <w:b w:val="0"/>
              <w:color w:val="auto"/>
              <w:sz w:val="22"/>
              <w:lang w:eastAsia="en-AU"/>
            </w:rPr>
          </w:pPr>
          <w:hyperlink w:anchor="_Toc478567662" w:history="1">
            <w:r w:rsidR="00EE4ABB" w:rsidRPr="004362A0">
              <w:rPr>
                <w:rStyle w:val="Hyperlink"/>
              </w:rPr>
              <w:t>Executive summary</w:t>
            </w:r>
            <w:r w:rsidR="00EE4ABB">
              <w:rPr>
                <w:webHidden/>
              </w:rPr>
              <w:tab/>
            </w:r>
            <w:r w:rsidR="00EE4ABB">
              <w:rPr>
                <w:webHidden/>
              </w:rPr>
              <w:fldChar w:fldCharType="begin"/>
            </w:r>
            <w:r w:rsidR="00EE4ABB">
              <w:rPr>
                <w:webHidden/>
              </w:rPr>
              <w:instrText xml:space="preserve"> PAGEREF _Toc478567662 \h </w:instrText>
            </w:r>
            <w:r w:rsidR="00EE4ABB">
              <w:rPr>
                <w:webHidden/>
              </w:rPr>
            </w:r>
            <w:r w:rsidR="00EE4ABB">
              <w:rPr>
                <w:webHidden/>
              </w:rPr>
              <w:fldChar w:fldCharType="separate"/>
            </w:r>
            <w:r w:rsidR="00EE4ABB">
              <w:rPr>
                <w:webHidden/>
              </w:rPr>
              <w:t>ii</w:t>
            </w:r>
            <w:r w:rsidR="00EE4ABB">
              <w:rPr>
                <w:webHidden/>
              </w:rPr>
              <w:fldChar w:fldCharType="end"/>
            </w:r>
          </w:hyperlink>
        </w:p>
        <w:p w14:paraId="50AA057B" w14:textId="77777777" w:rsidR="00EE4ABB" w:rsidRDefault="00D41478">
          <w:pPr>
            <w:pStyle w:val="TOC1"/>
            <w:rPr>
              <w:rFonts w:eastAsiaTheme="minorEastAsia"/>
              <w:b w:val="0"/>
              <w:color w:val="auto"/>
              <w:sz w:val="22"/>
              <w:lang w:eastAsia="en-AU"/>
            </w:rPr>
          </w:pPr>
          <w:hyperlink w:anchor="_Toc478567663" w:history="1">
            <w:r w:rsidR="00EE4ABB" w:rsidRPr="004362A0">
              <w:rPr>
                <w:rStyle w:val="Hyperlink"/>
                <w:rFonts w:ascii="Calibri" w:hAnsi="Calibri"/>
              </w:rPr>
              <w:t>1.</w:t>
            </w:r>
            <w:r w:rsidR="00EE4ABB">
              <w:rPr>
                <w:rFonts w:eastAsiaTheme="minorEastAsia"/>
                <w:b w:val="0"/>
                <w:color w:val="auto"/>
                <w:sz w:val="22"/>
                <w:lang w:eastAsia="en-AU"/>
              </w:rPr>
              <w:tab/>
            </w:r>
            <w:r w:rsidR="00EE4ABB" w:rsidRPr="004362A0">
              <w:rPr>
                <w:rStyle w:val="Hyperlink"/>
              </w:rPr>
              <w:t>Introduction</w:t>
            </w:r>
            <w:r w:rsidR="00EE4ABB">
              <w:rPr>
                <w:webHidden/>
              </w:rPr>
              <w:tab/>
            </w:r>
            <w:r w:rsidR="00EE4ABB">
              <w:rPr>
                <w:webHidden/>
              </w:rPr>
              <w:fldChar w:fldCharType="begin"/>
            </w:r>
            <w:r w:rsidR="00EE4ABB">
              <w:rPr>
                <w:webHidden/>
              </w:rPr>
              <w:instrText xml:space="preserve"> PAGEREF _Toc478567663 \h </w:instrText>
            </w:r>
            <w:r w:rsidR="00EE4ABB">
              <w:rPr>
                <w:webHidden/>
              </w:rPr>
            </w:r>
            <w:r w:rsidR="00EE4ABB">
              <w:rPr>
                <w:webHidden/>
              </w:rPr>
              <w:fldChar w:fldCharType="separate"/>
            </w:r>
            <w:r w:rsidR="00EE4ABB">
              <w:rPr>
                <w:webHidden/>
              </w:rPr>
              <w:t>1</w:t>
            </w:r>
            <w:r w:rsidR="00EE4ABB">
              <w:rPr>
                <w:webHidden/>
              </w:rPr>
              <w:fldChar w:fldCharType="end"/>
            </w:r>
          </w:hyperlink>
        </w:p>
        <w:p w14:paraId="25A11986" w14:textId="77777777" w:rsidR="00EE4ABB" w:rsidRDefault="00D41478">
          <w:pPr>
            <w:pStyle w:val="TOC2"/>
            <w:rPr>
              <w:rFonts w:eastAsiaTheme="minorEastAsia"/>
              <w:color w:val="auto"/>
              <w:lang w:eastAsia="en-AU"/>
            </w:rPr>
          </w:pPr>
          <w:hyperlink w:anchor="_Toc478567664" w:history="1">
            <w:r w:rsidR="00EE4ABB" w:rsidRPr="004362A0">
              <w:rPr>
                <w:rStyle w:val="Hyperlink"/>
                <w:rFonts w:ascii="Calibri" w:hAnsi="Calibri"/>
              </w:rPr>
              <w:t>1.1</w:t>
            </w:r>
            <w:r w:rsidR="00EE4ABB">
              <w:rPr>
                <w:rFonts w:eastAsiaTheme="minorEastAsia"/>
                <w:color w:val="auto"/>
                <w:lang w:eastAsia="en-AU"/>
              </w:rPr>
              <w:tab/>
            </w:r>
            <w:r w:rsidR="00EE4ABB" w:rsidRPr="004362A0">
              <w:rPr>
                <w:rStyle w:val="Hyperlink"/>
              </w:rPr>
              <w:t>Background</w:t>
            </w:r>
            <w:r w:rsidR="00EE4ABB">
              <w:rPr>
                <w:webHidden/>
              </w:rPr>
              <w:tab/>
            </w:r>
            <w:r w:rsidR="00EE4ABB">
              <w:rPr>
                <w:webHidden/>
              </w:rPr>
              <w:fldChar w:fldCharType="begin"/>
            </w:r>
            <w:r w:rsidR="00EE4ABB">
              <w:rPr>
                <w:webHidden/>
              </w:rPr>
              <w:instrText xml:space="preserve"> PAGEREF _Toc478567664 \h </w:instrText>
            </w:r>
            <w:r w:rsidR="00EE4ABB">
              <w:rPr>
                <w:webHidden/>
              </w:rPr>
            </w:r>
            <w:r w:rsidR="00EE4ABB">
              <w:rPr>
                <w:webHidden/>
              </w:rPr>
              <w:fldChar w:fldCharType="separate"/>
            </w:r>
            <w:r w:rsidR="00EE4ABB">
              <w:rPr>
                <w:webHidden/>
              </w:rPr>
              <w:t>1</w:t>
            </w:r>
            <w:r w:rsidR="00EE4ABB">
              <w:rPr>
                <w:webHidden/>
              </w:rPr>
              <w:fldChar w:fldCharType="end"/>
            </w:r>
          </w:hyperlink>
        </w:p>
        <w:p w14:paraId="305CFB5A" w14:textId="77777777" w:rsidR="00EE4ABB" w:rsidRDefault="00D41478">
          <w:pPr>
            <w:pStyle w:val="TOC2"/>
            <w:rPr>
              <w:rFonts w:eastAsiaTheme="minorEastAsia"/>
              <w:color w:val="auto"/>
              <w:lang w:eastAsia="en-AU"/>
            </w:rPr>
          </w:pPr>
          <w:hyperlink w:anchor="_Toc478567665" w:history="1">
            <w:r w:rsidR="00EE4ABB" w:rsidRPr="004362A0">
              <w:rPr>
                <w:rStyle w:val="Hyperlink"/>
                <w:rFonts w:ascii="Calibri" w:hAnsi="Calibri"/>
              </w:rPr>
              <w:t>1.2</w:t>
            </w:r>
            <w:r w:rsidR="00EE4ABB">
              <w:rPr>
                <w:rFonts w:eastAsiaTheme="minorEastAsia"/>
                <w:color w:val="auto"/>
                <w:lang w:eastAsia="en-AU"/>
              </w:rPr>
              <w:tab/>
            </w:r>
            <w:r w:rsidR="00EE4ABB" w:rsidRPr="004362A0">
              <w:rPr>
                <w:rStyle w:val="Hyperlink"/>
              </w:rPr>
              <w:t>Health implications</w:t>
            </w:r>
            <w:r w:rsidR="00EE4ABB">
              <w:rPr>
                <w:webHidden/>
              </w:rPr>
              <w:tab/>
            </w:r>
            <w:r w:rsidR="00EE4ABB">
              <w:rPr>
                <w:webHidden/>
              </w:rPr>
              <w:fldChar w:fldCharType="begin"/>
            </w:r>
            <w:r w:rsidR="00EE4ABB">
              <w:rPr>
                <w:webHidden/>
              </w:rPr>
              <w:instrText xml:space="preserve"> PAGEREF _Toc478567665 \h </w:instrText>
            </w:r>
            <w:r w:rsidR="00EE4ABB">
              <w:rPr>
                <w:webHidden/>
              </w:rPr>
            </w:r>
            <w:r w:rsidR="00EE4ABB">
              <w:rPr>
                <w:webHidden/>
              </w:rPr>
              <w:fldChar w:fldCharType="separate"/>
            </w:r>
            <w:r w:rsidR="00EE4ABB">
              <w:rPr>
                <w:webHidden/>
              </w:rPr>
              <w:t>2</w:t>
            </w:r>
            <w:r w:rsidR="00EE4ABB">
              <w:rPr>
                <w:webHidden/>
              </w:rPr>
              <w:fldChar w:fldCharType="end"/>
            </w:r>
          </w:hyperlink>
        </w:p>
        <w:p w14:paraId="7A238515" w14:textId="77777777" w:rsidR="00EE4ABB" w:rsidRDefault="00D41478">
          <w:pPr>
            <w:pStyle w:val="TOC2"/>
            <w:rPr>
              <w:rFonts w:eastAsiaTheme="minorEastAsia"/>
              <w:color w:val="auto"/>
              <w:lang w:eastAsia="en-AU"/>
            </w:rPr>
          </w:pPr>
          <w:hyperlink w:anchor="_Toc478567666" w:history="1">
            <w:r w:rsidR="00EE4ABB" w:rsidRPr="004362A0">
              <w:rPr>
                <w:rStyle w:val="Hyperlink"/>
                <w:rFonts w:ascii="Calibri" w:hAnsi="Calibri"/>
              </w:rPr>
              <w:t>1.3</w:t>
            </w:r>
            <w:r w:rsidR="00EE4ABB">
              <w:rPr>
                <w:rFonts w:eastAsiaTheme="minorEastAsia"/>
                <w:color w:val="auto"/>
                <w:lang w:eastAsia="en-AU"/>
              </w:rPr>
              <w:tab/>
            </w:r>
            <w:r w:rsidR="00EE4ABB" w:rsidRPr="004362A0">
              <w:rPr>
                <w:rStyle w:val="Hyperlink"/>
              </w:rPr>
              <w:t>Current regulatory framework</w:t>
            </w:r>
            <w:r w:rsidR="00EE4ABB">
              <w:rPr>
                <w:webHidden/>
              </w:rPr>
              <w:tab/>
            </w:r>
            <w:r w:rsidR="00EE4ABB">
              <w:rPr>
                <w:webHidden/>
              </w:rPr>
              <w:fldChar w:fldCharType="begin"/>
            </w:r>
            <w:r w:rsidR="00EE4ABB">
              <w:rPr>
                <w:webHidden/>
              </w:rPr>
              <w:instrText xml:space="preserve"> PAGEREF _Toc478567666 \h </w:instrText>
            </w:r>
            <w:r w:rsidR="00EE4ABB">
              <w:rPr>
                <w:webHidden/>
              </w:rPr>
            </w:r>
            <w:r w:rsidR="00EE4ABB">
              <w:rPr>
                <w:webHidden/>
              </w:rPr>
              <w:fldChar w:fldCharType="separate"/>
            </w:r>
            <w:r w:rsidR="00EE4ABB">
              <w:rPr>
                <w:webHidden/>
              </w:rPr>
              <w:t>2</w:t>
            </w:r>
            <w:r w:rsidR="00EE4ABB">
              <w:rPr>
                <w:webHidden/>
              </w:rPr>
              <w:fldChar w:fldCharType="end"/>
            </w:r>
          </w:hyperlink>
        </w:p>
        <w:p w14:paraId="3FB56B38" w14:textId="77777777" w:rsidR="00EE4ABB" w:rsidRDefault="00D41478">
          <w:pPr>
            <w:pStyle w:val="TOC2"/>
            <w:rPr>
              <w:rFonts w:eastAsiaTheme="minorEastAsia"/>
              <w:color w:val="auto"/>
              <w:lang w:eastAsia="en-AU"/>
            </w:rPr>
          </w:pPr>
          <w:hyperlink w:anchor="_Toc478567667" w:history="1">
            <w:r w:rsidR="00EE4ABB" w:rsidRPr="004362A0">
              <w:rPr>
                <w:rStyle w:val="Hyperlink"/>
                <w:rFonts w:ascii="Calibri" w:hAnsi="Calibri"/>
              </w:rPr>
              <w:t>1.4</w:t>
            </w:r>
            <w:r w:rsidR="00EE4ABB">
              <w:rPr>
                <w:rFonts w:eastAsiaTheme="minorEastAsia"/>
                <w:color w:val="auto"/>
                <w:lang w:eastAsia="en-AU"/>
              </w:rPr>
              <w:tab/>
            </w:r>
            <w:r w:rsidR="00EE4ABB" w:rsidRPr="004362A0">
              <w:rPr>
                <w:rStyle w:val="Hyperlink"/>
              </w:rPr>
              <w:t>Options presented in the Consultation RIS</w:t>
            </w:r>
            <w:r w:rsidR="00EE4ABB">
              <w:rPr>
                <w:webHidden/>
              </w:rPr>
              <w:tab/>
            </w:r>
            <w:r w:rsidR="00EE4ABB">
              <w:rPr>
                <w:webHidden/>
              </w:rPr>
              <w:fldChar w:fldCharType="begin"/>
            </w:r>
            <w:r w:rsidR="00EE4ABB">
              <w:rPr>
                <w:webHidden/>
              </w:rPr>
              <w:instrText xml:space="preserve"> PAGEREF _Toc478567667 \h </w:instrText>
            </w:r>
            <w:r w:rsidR="00EE4ABB">
              <w:rPr>
                <w:webHidden/>
              </w:rPr>
            </w:r>
            <w:r w:rsidR="00EE4ABB">
              <w:rPr>
                <w:webHidden/>
              </w:rPr>
              <w:fldChar w:fldCharType="separate"/>
            </w:r>
            <w:r w:rsidR="00EE4ABB">
              <w:rPr>
                <w:webHidden/>
              </w:rPr>
              <w:t>3</w:t>
            </w:r>
            <w:r w:rsidR="00EE4ABB">
              <w:rPr>
                <w:webHidden/>
              </w:rPr>
              <w:fldChar w:fldCharType="end"/>
            </w:r>
          </w:hyperlink>
        </w:p>
        <w:p w14:paraId="2DDF0F19" w14:textId="77777777" w:rsidR="00EE4ABB" w:rsidRDefault="00D41478">
          <w:pPr>
            <w:pStyle w:val="TOC2"/>
            <w:rPr>
              <w:rFonts w:eastAsiaTheme="minorEastAsia"/>
              <w:color w:val="auto"/>
              <w:lang w:eastAsia="en-AU"/>
            </w:rPr>
          </w:pPr>
          <w:hyperlink w:anchor="_Toc478567668" w:history="1">
            <w:r w:rsidR="00EE4ABB" w:rsidRPr="004362A0">
              <w:rPr>
                <w:rStyle w:val="Hyperlink"/>
                <w:rFonts w:ascii="Calibri" w:hAnsi="Calibri"/>
              </w:rPr>
              <w:t>1.5</w:t>
            </w:r>
            <w:r w:rsidR="00EE4ABB">
              <w:rPr>
                <w:rFonts w:eastAsiaTheme="minorEastAsia"/>
                <w:color w:val="auto"/>
                <w:lang w:eastAsia="en-AU"/>
              </w:rPr>
              <w:tab/>
            </w:r>
            <w:r w:rsidR="00EE4ABB" w:rsidRPr="004362A0">
              <w:rPr>
                <w:rStyle w:val="Hyperlink"/>
              </w:rPr>
              <w:t>Objectives of Consultation RIS</w:t>
            </w:r>
            <w:r w:rsidR="00EE4ABB">
              <w:rPr>
                <w:webHidden/>
              </w:rPr>
              <w:tab/>
            </w:r>
            <w:r w:rsidR="00EE4ABB">
              <w:rPr>
                <w:webHidden/>
              </w:rPr>
              <w:fldChar w:fldCharType="begin"/>
            </w:r>
            <w:r w:rsidR="00EE4ABB">
              <w:rPr>
                <w:webHidden/>
              </w:rPr>
              <w:instrText xml:space="preserve"> PAGEREF _Toc478567668 \h </w:instrText>
            </w:r>
            <w:r w:rsidR="00EE4ABB">
              <w:rPr>
                <w:webHidden/>
              </w:rPr>
            </w:r>
            <w:r w:rsidR="00EE4ABB">
              <w:rPr>
                <w:webHidden/>
              </w:rPr>
              <w:fldChar w:fldCharType="separate"/>
            </w:r>
            <w:r w:rsidR="00EE4ABB">
              <w:rPr>
                <w:webHidden/>
              </w:rPr>
              <w:t>4</w:t>
            </w:r>
            <w:r w:rsidR="00EE4ABB">
              <w:rPr>
                <w:webHidden/>
              </w:rPr>
              <w:fldChar w:fldCharType="end"/>
            </w:r>
          </w:hyperlink>
        </w:p>
        <w:p w14:paraId="6152FE0F" w14:textId="77777777" w:rsidR="00EE4ABB" w:rsidRDefault="00D41478">
          <w:pPr>
            <w:pStyle w:val="TOC2"/>
            <w:rPr>
              <w:rFonts w:eastAsiaTheme="minorEastAsia"/>
              <w:color w:val="auto"/>
              <w:lang w:eastAsia="en-AU"/>
            </w:rPr>
          </w:pPr>
          <w:hyperlink w:anchor="_Toc478567669" w:history="1">
            <w:r w:rsidR="00EE4ABB" w:rsidRPr="004362A0">
              <w:rPr>
                <w:rStyle w:val="Hyperlink"/>
                <w:rFonts w:ascii="Calibri" w:hAnsi="Calibri"/>
              </w:rPr>
              <w:t>1.6</w:t>
            </w:r>
            <w:r w:rsidR="00EE4ABB">
              <w:rPr>
                <w:rFonts w:eastAsiaTheme="minorEastAsia"/>
                <w:color w:val="auto"/>
                <w:lang w:eastAsia="en-AU"/>
              </w:rPr>
              <w:tab/>
            </w:r>
            <w:r w:rsidR="00EE4ABB" w:rsidRPr="004362A0">
              <w:rPr>
                <w:rStyle w:val="Hyperlink"/>
              </w:rPr>
              <w:t>Scope</w:t>
            </w:r>
            <w:r w:rsidR="00EE4ABB">
              <w:rPr>
                <w:webHidden/>
              </w:rPr>
              <w:tab/>
            </w:r>
            <w:r w:rsidR="00EE4ABB">
              <w:rPr>
                <w:webHidden/>
              </w:rPr>
              <w:fldChar w:fldCharType="begin"/>
            </w:r>
            <w:r w:rsidR="00EE4ABB">
              <w:rPr>
                <w:webHidden/>
              </w:rPr>
              <w:instrText xml:space="preserve"> PAGEREF _Toc478567669 \h </w:instrText>
            </w:r>
            <w:r w:rsidR="00EE4ABB">
              <w:rPr>
                <w:webHidden/>
              </w:rPr>
            </w:r>
            <w:r w:rsidR="00EE4ABB">
              <w:rPr>
                <w:webHidden/>
              </w:rPr>
              <w:fldChar w:fldCharType="separate"/>
            </w:r>
            <w:r w:rsidR="00EE4ABB">
              <w:rPr>
                <w:webHidden/>
              </w:rPr>
              <w:t>4</w:t>
            </w:r>
            <w:r w:rsidR="00EE4ABB">
              <w:rPr>
                <w:webHidden/>
              </w:rPr>
              <w:fldChar w:fldCharType="end"/>
            </w:r>
          </w:hyperlink>
        </w:p>
        <w:p w14:paraId="47E96655" w14:textId="77777777" w:rsidR="00EE4ABB" w:rsidRDefault="00D41478">
          <w:pPr>
            <w:pStyle w:val="TOC1"/>
            <w:rPr>
              <w:rFonts w:eastAsiaTheme="minorEastAsia"/>
              <w:b w:val="0"/>
              <w:color w:val="auto"/>
              <w:sz w:val="22"/>
              <w:lang w:eastAsia="en-AU"/>
            </w:rPr>
          </w:pPr>
          <w:hyperlink w:anchor="_Toc478567670" w:history="1">
            <w:r w:rsidR="00EE4ABB" w:rsidRPr="004362A0">
              <w:rPr>
                <w:rStyle w:val="Hyperlink"/>
                <w:rFonts w:ascii="Calibri" w:hAnsi="Calibri"/>
              </w:rPr>
              <w:t>2.</w:t>
            </w:r>
            <w:r w:rsidR="00EE4ABB">
              <w:rPr>
                <w:rFonts w:eastAsiaTheme="minorEastAsia"/>
                <w:b w:val="0"/>
                <w:color w:val="auto"/>
                <w:sz w:val="22"/>
                <w:lang w:eastAsia="en-AU"/>
              </w:rPr>
              <w:tab/>
            </w:r>
            <w:r w:rsidR="00EE4ABB" w:rsidRPr="004362A0">
              <w:rPr>
                <w:rStyle w:val="Hyperlink"/>
              </w:rPr>
              <w:t>Methods</w:t>
            </w:r>
            <w:r w:rsidR="00EE4ABB">
              <w:rPr>
                <w:webHidden/>
              </w:rPr>
              <w:tab/>
            </w:r>
            <w:r w:rsidR="00EE4ABB">
              <w:rPr>
                <w:webHidden/>
              </w:rPr>
              <w:fldChar w:fldCharType="begin"/>
            </w:r>
            <w:r w:rsidR="00EE4ABB">
              <w:rPr>
                <w:webHidden/>
              </w:rPr>
              <w:instrText xml:space="preserve"> PAGEREF _Toc478567670 \h </w:instrText>
            </w:r>
            <w:r w:rsidR="00EE4ABB">
              <w:rPr>
                <w:webHidden/>
              </w:rPr>
            </w:r>
            <w:r w:rsidR="00EE4ABB">
              <w:rPr>
                <w:webHidden/>
              </w:rPr>
              <w:fldChar w:fldCharType="separate"/>
            </w:r>
            <w:r w:rsidR="00EE4ABB">
              <w:rPr>
                <w:webHidden/>
              </w:rPr>
              <w:t>4</w:t>
            </w:r>
            <w:r w:rsidR="00EE4ABB">
              <w:rPr>
                <w:webHidden/>
              </w:rPr>
              <w:fldChar w:fldCharType="end"/>
            </w:r>
          </w:hyperlink>
        </w:p>
        <w:p w14:paraId="60079F65" w14:textId="77777777" w:rsidR="00EE4ABB" w:rsidRDefault="00D41478">
          <w:pPr>
            <w:pStyle w:val="TOC2"/>
            <w:rPr>
              <w:rFonts w:eastAsiaTheme="minorEastAsia"/>
              <w:color w:val="auto"/>
              <w:lang w:eastAsia="en-AU"/>
            </w:rPr>
          </w:pPr>
          <w:hyperlink w:anchor="_Toc478567671" w:history="1">
            <w:r w:rsidR="00EE4ABB" w:rsidRPr="004362A0">
              <w:rPr>
                <w:rStyle w:val="Hyperlink"/>
                <w:rFonts w:ascii="Calibri" w:hAnsi="Calibri"/>
              </w:rPr>
              <w:t>2.1</w:t>
            </w:r>
            <w:r w:rsidR="00EE4ABB">
              <w:rPr>
                <w:rFonts w:eastAsiaTheme="minorEastAsia"/>
                <w:color w:val="auto"/>
                <w:lang w:eastAsia="en-AU"/>
              </w:rPr>
              <w:tab/>
            </w:r>
            <w:r w:rsidR="00EE4ABB" w:rsidRPr="004362A0">
              <w:rPr>
                <w:rStyle w:val="Hyperlink"/>
              </w:rPr>
              <w:t>Analysis of public submissions</w:t>
            </w:r>
            <w:r w:rsidR="00EE4ABB">
              <w:rPr>
                <w:webHidden/>
              </w:rPr>
              <w:tab/>
            </w:r>
            <w:r w:rsidR="00EE4ABB">
              <w:rPr>
                <w:webHidden/>
              </w:rPr>
              <w:fldChar w:fldCharType="begin"/>
            </w:r>
            <w:r w:rsidR="00EE4ABB">
              <w:rPr>
                <w:webHidden/>
              </w:rPr>
              <w:instrText xml:space="preserve"> PAGEREF _Toc478567671 \h </w:instrText>
            </w:r>
            <w:r w:rsidR="00EE4ABB">
              <w:rPr>
                <w:webHidden/>
              </w:rPr>
            </w:r>
            <w:r w:rsidR="00EE4ABB">
              <w:rPr>
                <w:webHidden/>
              </w:rPr>
              <w:fldChar w:fldCharType="separate"/>
            </w:r>
            <w:r w:rsidR="00EE4ABB">
              <w:rPr>
                <w:webHidden/>
              </w:rPr>
              <w:t>4</w:t>
            </w:r>
            <w:r w:rsidR="00EE4ABB">
              <w:rPr>
                <w:webHidden/>
              </w:rPr>
              <w:fldChar w:fldCharType="end"/>
            </w:r>
          </w:hyperlink>
        </w:p>
        <w:p w14:paraId="1F7AE1B3" w14:textId="77777777" w:rsidR="00EE4ABB" w:rsidRDefault="00D41478">
          <w:pPr>
            <w:pStyle w:val="TOC2"/>
            <w:rPr>
              <w:rFonts w:eastAsiaTheme="minorEastAsia"/>
              <w:color w:val="auto"/>
              <w:lang w:eastAsia="en-AU"/>
            </w:rPr>
          </w:pPr>
          <w:hyperlink w:anchor="_Toc478567672" w:history="1">
            <w:r w:rsidR="00EE4ABB" w:rsidRPr="004362A0">
              <w:rPr>
                <w:rStyle w:val="Hyperlink"/>
                <w:rFonts w:ascii="Calibri" w:hAnsi="Calibri"/>
              </w:rPr>
              <w:t>2.2</w:t>
            </w:r>
            <w:r w:rsidR="00EE4ABB">
              <w:rPr>
                <w:rFonts w:eastAsiaTheme="minorEastAsia"/>
                <w:color w:val="auto"/>
                <w:lang w:eastAsia="en-AU"/>
              </w:rPr>
              <w:tab/>
            </w:r>
            <w:r w:rsidR="00EE4ABB" w:rsidRPr="004362A0">
              <w:rPr>
                <w:rStyle w:val="Hyperlink"/>
              </w:rPr>
              <w:t>Assessment methods</w:t>
            </w:r>
            <w:r w:rsidR="00EE4ABB">
              <w:rPr>
                <w:webHidden/>
              </w:rPr>
              <w:tab/>
            </w:r>
            <w:r w:rsidR="00EE4ABB">
              <w:rPr>
                <w:webHidden/>
              </w:rPr>
              <w:fldChar w:fldCharType="begin"/>
            </w:r>
            <w:r w:rsidR="00EE4ABB">
              <w:rPr>
                <w:webHidden/>
              </w:rPr>
              <w:instrText xml:space="preserve"> PAGEREF _Toc478567672 \h </w:instrText>
            </w:r>
            <w:r w:rsidR="00EE4ABB">
              <w:rPr>
                <w:webHidden/>
              </w:rPr>
            </w:r>
            <w:r w:rsidR="00EE4ABB">
              <w:rPr>
                <w:webHidden/>
              </w:rPr>
              <w:fldChar w:fldCharType="separate"/>
            </w:r>
            <w:r w:rsidR="00EE4ABB">
              <w:rPr>
                <w:webHidden/>
              </w:rPr>
              <w:t>6</w:t>
            </w:r>
            <w:r w:rsidR="00EE4ABB">
              <w:rPr>
                <w:webHidden/>
              </w:rPr>
              <w:fldChar w:fldCharType="end"/>
            </w:r>
          </w:hyperlink>
        </w:p>
        <w:p w14:paraId="48315B1B" w14:textId="77777777" w:rsidR="00EE4ABB" w:rsidRDefault="00D41478">
          <w:pPr>
            <w:pStyle w:val="TOC2"/>
            <w:rPr>
              <w:rFonts w:eastAsiaTheme="minorEastAsia"/>
              <w:color w:val="auto"/>
              <w:lang w:eastAsia="en-AU"/>
            </w:rPr>
          </w:pPr>
          <w:hyperlink w:anchor="_Toc478567673" w:history="1">
            <w:r w:rsidR="00EE4ABB" w:rsidRPr="004362A0">
              <w:rPr>
                <w:rStyle w:val="Hyperlink"/>
                <w:rFonts w:ascii="Calibri" w:hAnsi="Calibri"/>
              </w:rPr>
              <w:t>2.3</w:t>
            </w:r>
            <w:r w:rsidR="00EE4ABB">
              <w:rPr>
                <w:rFonts w:eastAsiaTheme="minorEastAsia"/>
                <w:color w:val="auto"/>
                <w:lang w:eastAsia="en-AU"/>
              </w:rPr>
              <w:tab/>
            </w:r>
            <w:r w:rsidR="00EE4ABB" w:rsidRPr="004362A0">
              <w:rPr>
                <w:rStyle w:val="Hyperlink"/>
              </w:rPr>
              <w:t>Assumptions and definition of analysis terms</w:t>
            </w:r>
            <w:r w:rsidR="00EE4ABB">
              <w:rPr>
                <w:webHidden/>
              </w:rPr>
              <w:tab/>
            </w:r>
            <w:r w:rsidR="00EE4ABB">
              <w:rPr>
                <w:webHidden/>
              </w:rPr>
              <w:fldChar w:fldCharType="begin"/>
            </w:r>
            <w:r w:rsidR="00EE4ABB">
              <w:rPr>
                <w:webHidden/>
              </w:rPr>
              <w:instrText xml:space="preserve"> PAGEREF _Toc478567673 \h </w:instrText>
            </w:r>
            <w:r w:rsidR="00EE4ABB">
              <w:rPr>
                <w:webHidden/>
              </w:rPr>
            </w:r>
            <w:r w:rsidR="00EE4ABB">
              <w:rPr>
                <w:webHidden/>
              </w:rPr>
              <w:fldChar w:fldCharType="separate"/>
            </w:r>
            <w:r w:rsidR="00EE4ABB">
              <w:rPr>
                <w:webHidden/>
              </w:rPr>
              <w:t>6</w:t>
            </w:r>
            <w:r w:rsidR="00EE4ABB">
              <w:rPr>
                <w:webHidden/>
              </w:rPr>
              <w:fldChar w:fldCharType="end"/>
            </w:r>
          </w:hyperlink>
        </w:p>
        <w:p w14:paraId="2880F4CD" w14:textId="77777777" w:rsidR="00EE4ABB" w:rsidRDefault="00D41478">
          <w:pPr>
            <w:pStyle w:val="TOC1"/>
            <w:rPr>
              <w:rFonts w:eastAsiaTheme="minorEastAsia"/>
              <w:b w:val="0"/>
              <w:color w:val="auto"/>
              <w:sz w:val="22"/>
              <w:lang w:eastAsia="en-AU"/>
            </w:rPr>
          </w:pPr>
          <w:hyperlink w:anchor="_Toc478567674" w:history="1">
            <w:r w:rsidR="00EE4ABB" w:rsidRPr="004362A0">
              <w:rPr>
                <w:rStyle w:val="Hyperlink"/>
                <w:rFonts w:ascii="Calibri" w:hAnsi="Calibri"/>
              </w:rPr>
              <w:t>3.</w:t>
            </w:r>
            <w:r w:rsidR="00EE4ABB">
              <w:rPr>
                <w:rFonts w:eastAsiaTheme="minorEastAsia"/>
                <w:b w:val="0"/>
                <w:color w:val="auto"/>
                <w:sz w:val="22"/>
                <w:lang w:eastAsia="en-AU"/>
              </w:rPr>
              <w:tab/>
            </w:r>
            <w:r w:rsidR="00EE4ABB" w:rsidRPr="004362A0">
              <w:rPr>
                <w:rStyle w:val="Hyperlink"/>
              </w:rPr>
              <w:t>Results</w:t>
            </w:r>
            <w:r w:rsidR="00EE4ABB">
              <w:rPr>
                <w:webHidden/>
              </w:rPr>
              <w:tab/>
            </w:r>
            <w:r w:rsidR="00EE4ABB">
              <w:rPr>
                <w:webHidden/>
              </w:rPr>
              <w:fldChar w:fldCharType="begin"/>
            </w:r>
            <w:r w:rsidR="00EE4ABB">
              <w:rPr>
                <w:webHidden/>
              </w:rPr>
              <w:instrText xml:space="preserve"> PAGEREF _Toc478567674 \h </w:instrText>
            </w:r>
            <w:r w:rsidR="00EE4ABB">
              <w:rPr>
                <w:webHidden/>
              </w:rPr>
            </w:r>
            <w:r w:rsidR="00EE4ABB">
              <w:rPr>
                <w:webHidden/>
              </w:rPr>
              <w:fldChar w:fldCharType="separate"/>
            </w:r>
            <w:r w:rsidR="00EE4ABB">
              <w:rPr>
                <w:webHidden/>
              </w:rPr>
              <w:t>7</w:t>
            </w:r>
            <w:r w:rsidR="00EE4ABB">
              <w:rPr>
                <w:webHidden/>
              </w:rPr>
              <w:fldChar w:fldCharType="end"/>
            </w:r>
          </w:hyperlink>
        </w:p>
        <w:p w14:paraId="763C15B7" w14:textId="77777777" w:rsidR="00EE4ABB" w:rsidRDefault="00D41478">
          <w:pPr>
            <w:pStyle w:val="TOC2"/>
            <w:rPr>
              <w:rFonts w:eastAsiaTheme="minorEastAsia"/>
              <w:color w:val="auto"/>
              <w:lang w:eastAsia="en-AU"/>
            </w:rPr>
          </w:pPr>
          <w:hyperlink w:anchor="_Toc478567675" w:history="1">
            <w:r w:rsidR="00EE4ABB" w:rsidRPr="004362A0">
              <w:rPr>
                <w:rStyle w:val="Hyperlink"/>
                <w:rFonts w:ascii="Calibri" w:hAnsi="Calibri"/>
              </w:rPr>
              <w:t>3.1</w:t>
            </w:r>
            <w:r w:rsidR="00EE4ABB">
              <w:rPr>
                <w:rFonts w:eastAsiaTheme="minorEastAsia"/>
                <w:color w:val="auto"/>
                <w:lang w:eastAsia="en-AU"/>
              </w:rPr>
              <w:tab/>
            </w:r>
            <w:r w:rsidR="00EE4ABB" w:rsidRPr="004362A0">
              <w:rPr>
                <w:rStyle w:val="Hyperlink"/>
              </w:rPr>
              <w:t>Analysis of respondents</w:t>
            </w:r>
            <w:r w:rsidR="00EE4ABB">
              <w:rPr>
                <w:webHidden/>
              </w:rPr>
              <w:tab/>
            </w:r>
            <w:r w:rsidR="00EE4ABB">
              <w:rPr>
                <w:webHidden/>
              </w:rPr>
              <w:fldChar w:fldCharType="begin"/>
            </w:r>
            <w:r w:rsidR="00EE4ABB">
              <w:rPr>
                <w:webHidden/>
              </w:rPr>
              <w:instrText xml:space="preserve"> PAGEREF _Toc478567675 \h </w:instrText>
            </w:r>
            <w:r w:rsidR="00EE4ABB">
              <w:rPr>
                <w:webHidden/>
              </w:rPr>
            </w:r>
            <w:r w:rsidR="00EE4ABB">
              <w:rPr>
                <w:webHidden/>
              </w:rPr>
              <w:fldChar w:fldCharType="separate"/>
            </w:r>
            <w:r w:rsidR="00EE4ABB">
              <w:rPr>
                <w:webHidden/>
              </w:rPr>
              <w:t>7</w:t>
            </w:r>
            <w:r w:rsidR="00EE4ABB">
              <w:rPr>
                <w:webHidden/>
              </w:rPr>
              <w:fldChar w:fldCharType="end"/>
            </w:r>
          </w:hyperlink>
        </w:p>
        <w:p w14:paraId="7A1A04FD" w14:textId="77777777" w:rsidR="00EE4ABB" w:rsidRDefault="00D41478">
          <w:pPr>
            <w:pStyle w:val="TOC2"/>
            <w:rPr>
              <w:rFonts w:eastAsiaTheme="minorEastAsia"/>
              <w:color w:val="auto"/>
              <w:lang w:eastAsia="en-AU"/>
            </w:rPr>
          </w:pPr>
          <w:hyperlink w:anchor="_Toc478567676" w:history="1">
            <w:r w:rsidR="00EE4ABB" w:rsidRPr="004362A0">
              <w:rPr>
                <w:rStyle w:val="Hyperlink"/>
                <w:rFonts w:ascii="Calibri" w:hAnsi="Calibri"/>
              </w:rPr>
              <w:t>3.2</w:t>
            </w:r>
            <w:r w:rsidR="00EE4ABB">
              <w:rPr>
                <w:rFonts w:eastAsiaTheme="minorEastAsia"/>
                <w:color w:val="auto"/>
                <w:lang w:eastAsia="en-AU"/>
              </w:rPr>
              <w:tab/>
            </w:r>
            <w:r w:rsidR="00EE4ABB" w:rsidRPr="004362A0">
              <w:rPr>
                <w:rStyle w:val="Hyperlink"/>
              </w:rPr>
              <w:t>Stakeholder submission analysis</w:t>
            </w:r>
            <w:r w:rsidR="00EE4ABB">
              <w:rPr>
                <w:webHidden/>
              </w:rPr>
              <w:tab/>
            </w:r>
            <w:r w:rsidR="00EE4ABB">
              <w:rPr>
                <w:webHidden/>
              </w:rPr>
              <w:fldChar w:fldCharType="begin"/>
            </w:r>
            <w:r w:rsidR="00EE4ABB">
              <w:rPr>
                <w:webHidden/>
              </w:rPr>
              <w:instrText xml:space="preserve"> PAGEREF _Toc478567676 \h </w:instrText>
            </w:r>
            <w:r w:rsidR="00EE4ABB">
              <w:rPr>
                <w:webHidden/>
              </w:rPr>
            </w:r>
            <w:r w:rsidR="00EE4ABB">
              <w:rPr>
                <w:webHidden/>
              </w:rPr>
              <w:fldChar w:fldCharType="separate"/>
            </w:r>
            <w:r w:rsidR="00EE4ABB">
              <w:rPr>
                <w:webHidden/>
              </w:rPr>
              <w:t>8</w:t>
            </w:r>
            <w:r w:rsidR="00EE4ABB">
              <w:rPr>
                <w:webHidden/>
              </w:rPr>
              <w:fldChar w:fldCharType="end"/>
            </w:r>
          </w:hyperlink>
        </w:p>
        <w:p w14:paraId="533E5352" w14:textId="77777777" w:rsidR="00EE4ABB" w:rsidRDefault="00D41478">
          <w:pPr>
            <w:pStyle w:val="TOC2"/>
            <w:rPr>
              <w:rFonts w:eastAsiaTheme="minorEastAsia"/>
              <w:color w:val="auto"/>
              <w:lang w:eastAsia="en-AU"/>
            </w:rPr>
          </w:pPr>
          <w:hyperlink w:anchor="_Toc478567677" w:history="1">
            <w:r w:rsidR="00EE4ABB" w:rsidRPr="004362A0">
              <w:rPr>
                <w:rStyle w:val="Hyperlink"/>
                <w:rFonts w:ascii="Calibri" w:hAnsi="Calibri"/>
              </w:rPr>
              <w:t>3.3</w:t>
            </w:r>
            <w:r w:rsidR="00EE4ABB">
              <w:rPr>
                <w:rFonts w:eastAsiaTheme="minorEastAsia"/>
                <w:color w:val="auto"/>
                <w:lang w:eastAsia="en-AU"/>
              </w:rPr>
              <w:tab/>
            </w:r>
            <w:r w:rsidR="00EE4ABB" w:rsidRPr="004362A0">
              <w:rPr>
                <w:rStyle w:val="Hyperlink"/>
              </w:rPr>
              <w:t>Feedback on the options presented in the Consultation RIS</w:t>
            </w:r>
            <w:r w:rsidR="00EE4ABB">
              <w:rPr>
                <w:webHidden/>
              </w:rPr>
              <w:tab/>
            </w:r>
            <w:r w:rsidR="00EE4ABB">
              <w:rPr>
                <w:webHidden/>
              </w:rPr>
              <w:fldChar w:fldCharType="begin"/>
            </w:r>
            <w:r w:rsidR="00EE4ABB">
              <w:rPr>
                <w:webHidden/>
              </w:rPr>
              <w:instrText xml:space="preserve"> PAGEREF _Toc478567677 \h </w:instrText>
            </w:r>
            <w:r w:rsidR="00EE4ABB">
              <w:rPr>
                <w:webHidden/>
              </w:rPr>
            </w:r>
            <w:r w:rsidR="00EE4ABB">
              <w:rPr>
                <w:webHidden/>
              </w:rPr>
              <w:fldChar w:fldCharType="separate"/>
            </w:r>
            <w:r w:rsidR="00EE4ABB">
              <w:rPr>
                <w:webHidden/>
              </w:rPr>
              <w:t>9</w:t>
            </w:r>
            <w:r w:rsidR="00EE4ABB">
              <w:rPr>
                <w:webHidden/>
              </w:rPr>
              <w:fldChar w:fldCharType="end"/>
            </w:r>
          </w:hyperlink>
        </w:p>
        <w:p w14:paraId="190F62E8" w14:textId="77777777" w:rsidR="00EE4ABB" w:rsidRDefault="00D41478">
          <w:pPr>
            <w:pStyle w:val="TOC2"/>
            <w:rPr>
              <w:rFonts w:eastAsiaTheme="minorEastAsia"/>
              <w:color w:val="auto"/>
              <w:lang w:eastAsia="en-AU"/>
            </w:rPr>
          </w:pPr>
          <w:hyperlink w:anchor="_Toc478567678" w:history="1">
            <w:r w:rsidR="00EE4ABB" w:rsidRPr="004362A0">
              <w:rPr>
                <w:rStyle w:val="Hyperlink"/>
                <w:rFonts w:ascii="Calibri" w:hAnsi="Calibri"/>
              </w:rPr>
              <w:t>3.4</w:t>
            </w:r>
            <w:r w:rsidR="00EE4ABB">
              <w:rPr>
                <w:rFonts w:eastAsiaTheme="minorEastAsia"/>
                <w:color w:val="auto"/>
                <w:lang w:eastAsia="en-AU"/>
              </w:rPr>
              <w:tab/>
            </w:r>
            <w:r w:rsidR="00EE4ABB" w:rsidRPr="004362A0">
              <w:rPr>
                <w:rStyle w:val="Hyperlink"/>
              </w:rPr>
              <w:t>Additional assessment of submissions</w:t>
            </w:r>
            <w:r w:rsidR="00EE4ABB">
              <w:rPr>
                <w:webHidden/>
              </w:rPr>
              <w:tab/>
            </w:r>
            <w:r w:rsidR="00EE4ABB">
              <w:rPr>
                <w:webHidden/>
              </w:rPr>
              <w:fldChar w:fldCharType="begin"/>
            </w:r>
            <w:r w:rsidR="00EE4ABB">
              <w:rPr>
                <w:webHidden/>
              </w:rPr>
              <w:instrText xml:space="preserve"> PAGEREF _Toc478567678 \h </w:instrText>
            </w:r>
            <w:r w:rsidR="00EE4ABB">
              <w:rPr>
                <w:webHidden/>
              </w:rPr>
            </w:r>
            <w:r w:rsidR="00EE4ABB">
              <w:rPr>
                <w:webHidden/>
              </w:rPr>
              <w:fldChar w:fldCharType="separate"/>
            </w:r>
            <w:r w:rsidR="00EE4ABB">
              <w:rPr>
                <w:webHidden/>
              </w:rPr>
              <w:t>12</w:t>
            </w:r>
            <w:r w:rsidR="00EE4ABB">
              <w:rPr>
                <w:webHidden/>
              </w:rPr>
              <w:fldChar w:fldCharType="end"/>
            </w:r>
          </w:hyperlink>
        </w:p>
        <w:p w14:paraId="7E522A41" w14:textId="77777777" w:rsidR="00EE4ABB" w:rsidRDefault="00D41478">
          <w:pPr>
            <w:pStyle w:val="TOC1"/>
            <w:rPr>
              <w:rFonts w:eastAsiaTheme="minorEastAsia"/>
              <w:b w:val="0"/>
              <w:color w:val="auto"/>
              <w:sz w:val="22"/>
              <w:lang w:eastAsia="en-AU"/>
            </w:rPr>
          </w:pPr>
          <w:hyperlink w:anchor="_Toc478567679" w:history="1">
            <w:r w:rsidR="00EE4ABB" w:rsidRPr="004362A0">
              <w:rPr>
                <w:rStyle w:val="Hyperlink"/>
                <w:rFonts w:ascii="Calibri" w:hAnsi="Calibri"/>
              </w:rPr>
              <w:t>4.</w:t>
            </w:r>
            <w:r w:rsidR="00EE4ABB">
              <w:rPr>
                <w:rFonts w:eastAsiaTheme="minorEastAsia"/>
                <w:b w:val="0"/>
                <w:color w:val="auto"/>
                <w:sz w:val="22"/>
                <w:lang w:eastAsia="en-AU"/>
              </w:rPr>
              <w:tab/>
            </w:r>
            <w:r w:rsidR="00EE4ABB" w:rsidRPr="004362A0">
              <w:rPr>
                <w:rStyle w:val="Hyperlink"/>
              </w:rPr>
              <w:t>Discussion</w:t>
            </w:r>
            <w:r w:rsidR="00EE4ABB">
              <w:rPr>
                <w:webHidden/>
              </w:rPr>
              <w:tab/>
            </w:r>
            <w:r w:rsidR="00EE4ABB">
              <w:rPr>
                <w:webHidden/>
              </w:rPr>
              <w:fldChar w:fldCharType="begin"/>
            </w:r>
            <w:r w:rsidR="00EE4ABB">
              <w:rPr>
                <w:webHidden/>
              </w:rPr>
              <w:instrText xml:space="preserve"> PAGEREF _Toc478567679 \h </w:instrText>
            </w:r>
            <w:r w:rsidR="00EE4ABB">
              <w:rPr>
                <w:webHidden/>
              </w:rPr>
            </w:r>
            <w:r w:rsidR="00EE4ABB">
              <w:rPr>
                <w:webHidden/>
              </w:rPr>
              <w:fldChar w:fldCharType="separate"/>
            </w:r>
            <w:r w:rsidR="00EE4ABB">
              <w:rPr>
                <w:webHidden/>
              </w:rPr>
              <w:t>14</w:t>
            </w:r>
            <w:r w:rsidR="00EE4ABB">
              <w:rPr>
                <w:webHidden/>
              </w:rPr>
              <w:fldChar w:fldCharType="end"/>
            </w:r>
          </w:hyperlink>
        </w:p>
        <w:p w14:paraId="312C06DC" w14:textId="77777777" w:rsidR="00EE4ABB" w:rsidRDefault="00D41478">
          <w:pPr>
            <w:pStyle w:val="TOC2"/>
            <w:rPr>
              <w:rFonts w:eastAsiaTheme="minorEastAsia"/>
              <w:color w:val="auto"/>
              <w:lang w:eastAsia="en-AU"/>
            </w:rPr>
          </w:pPr>
          <w:hyperlink w:anchor="_Toc478567680" w:history="1">
            <w:r w:rsidR="00EE4ABB" w:rsidRPr="004362A0">
              <w:rPr>
                <w:rStyle w:val="Hyperlink"/>
                <w:rFonts w:ascii="Calibri" w:hAnsi="Calibri"/>
              </w:rPr>
              <w:t>4.1</w:t>
            </w:r>
            <w:r w:rsidR="00EE4ABB">
              <w:rPr>
                <w:rFonts w:eastAsiaTheme="minorEastAsia"/>
                <w:color w:val="auto"/>
                <w:lang w:eastAsia="en-AU"/>
              </w:rPr>
              <w:tab/>
            </w:r>
            <w:r w:rsidR="00EE4ABB" w:rsidRPr="004362A0">
              <w:rPr>
                <w:rStyle w:val="Hyperlink"/>
              </w:rPr>
              <w:t>Implications of the consultation</w:t>
            </w:r>
            <w:r w:rsidR="00EE4ABB">
              <w:rPr>
                <w:webHidden/>
              </w:rPr>
              <w:tab/>
            </w:r>
            <w:r w:rsidR="00EE4ABB">
              <w:rPr>
                <w:webHidden/>
              </w:rPr>
              <w:fldChar w:fldCharType="begin"/>
            </w:r>
            <w:r w:rsidR="00EE4ABB">
              <w:rPr>
                <w:webHidden/>
              </w:rPr>
              <w:instrText xml:space="preserve"> PAGEREF _Toc478567680 \h </w:instrText>
            </w:r>
            <w:r w:rsidR="00EE4ABB">
              <w:rPr>
                <w:webHidden/>
              </w:rPr>
            </w:r>
            <w:r w:rsidR="00EE4ABB">
              <w:rPr>
                <w:webHidden/>
              </w:rPr>
              <w:fldChar w:fldCharType="separate"/>
            </w:r>
            <w:r w:rsidR="00EE4ABB">
              <w:rPr>
                <w:webHidden/>
              </w:rPr>
              <w:t>14</w:t>
            </w:r>
            <w:r w:rsidR="00EE4ABB">
              <w:rPr>
                <w:webHidden/>
              </w:rPr>
              <w:fldChar w:fldCharType="end"/>
            </w:r>
          </w:hyperlink>
        </w:p>
        <w:p w14:paraId="010FFA85" w14:textId="77777777" w:rsidR="00EE4ABB" w:rsidRDefault="00D41478">
          <w:pPr>
            <w:pStyle w:val="TOC2"/>
            <w:rPr>
              <w:rFonts w:eastAsiaTheme="minorEastAsia"/>
              <w:color w:val="auto"/>
              <w:lang w:eastAsia="en-AU"/>
            </w:rPr>
          </w:pPr>
          <w:hyperlink w:anchor="_Toc478567681" w:history="1">
            <w:r w:rsidR="00EE4ABB" w:rsidRPr="004362A0">
              <w:rPr>
                <w:rStyle w:val="Hyperlink"/>
                <w:rFonts w:ascii="Calibri" w:hAnsi="Calibri"/>
              </w:rPr>
              <w:t>4.2</w:t>
            </w:r>
            <w:r w:rsidR="00EE4ABB">
              <w:rPr>
                <w:rFonts w:eastAsiaTheme="minorEastAsia"/>
                <w:color w:val="auto"/>
                <w:lang w:eastAsia="en-AU"/>
              </w:rPr>
              <w:tab/>
            </w:r>
            <w:r w:rsidR="00EE4ABB" w:rsidRPr="004362A0">
              <w:rPr>
                <w:rStyle w:val="Hyperlink"/>
              </w:rPr>
              <w:t>Radiation Health Committee decision and rationale</w:t>
            </w:r>
            <w:r w:rsidR="00EE4ABB">
              <w:rPr>
                <w:webHidden/>
              </w:rPr>
              <w:tab/>
            </w:r>
            <w:r w:rsidR="00EE4ABB">
              <w:rPr>
                <w:webHidden/>
              </w:rPr>
              <w:fldChar w:fldCharType="begin"/>
            </w:r>
            <w:r w:rsidR="00EE4ABB">
              <w:rPr>
                <w:webHidden/>
              </w:rPr>
              <w:instrText xml:space="preserve"> PAGEREF _Toc478567681 \h </w:instrText>
            </w:r>
            <w:r w:rsidR="00EE4ABB">
              <w:rPr>
                <w:webHidden/>
              </w:rPr>
            </w:r>
            <w:r w:rsidR="00EE4ABB">
              <w:rPr>
                <w:webHidden/>
              </w:rPr>
              <w:fldChar w:fldCharType="separate"/>
            </w:r>
            <w:r w:rsidR="00EE4ABB">
              <w:rPr>
                <w:webHidden/>
              </w:rPr>
              <w:t>16</w:t>
            </w:r>
            <w:r w:rsidR="00EE4ABB">
              <w:rPr>
                <w:webHidden/>
              </w:rPr>
              <w:fldChar w:fldCharType="end"/>
            </w:r>
          </w:hyperlink>
        </w:p>
        <w:p w14:paraId="5D0A7690" w14:textId="77777777" w:rsidR="00EE4ABB" w:rsidRDefault="00D41478">
          <w:pPr>
            <w:pStyle w:val="TOC1"/>
            <w:rPr>
              <w:rFonts w:eastAsiaTheme="minorEastAsia"/>
              <w:b w:val="0"/>
              <w:color w:val="auto"/>
              <w:sz w:val="22"/>
              <w:lang w:eastAsia="en-AU"/>
            </w:rPr>
          </w:pPr>
          <w:hyperlink w:anchor="_Toc478567682" w:history="1">
            <w:r w:rsidR="00EE4ABB" w:rsidRPr="004362A0">
              <w:rPr>
                <w:rStyle w:val="Hyperlink"/>
                <w:rFonts w:ascii="Calibri" w:hAnsi="Calibri"/>
              </w:rPr>
              <w:t>5.</w:t>
            </w:r>
            <w:r w:rsidR="00EE4ABB">
              <w:rPr>
                <w:rFonts w:eastAsiaTheme="minorEastAsia"/>
                <w:b w:val="0"/>
                <w:color w:val="auto"/>
                <w:sz w:val="22"/>
                <w:lang w:eastAsia="en-AU"/>
              </w:rPr>
              <w:tab/>
            </w:r>
            <w:r w:rsidR="00EE4ABB" w:rsidRPr="004362A0">
              <w:rPr>
                <w:rStyle w:val="Hyperlink"/>
              </w:rPr>
              <w:t>Conclusion</w:t>
            </w:r>
            <w:r w:rsidR="00EE4ABB">
              <w:rPr>
                <w:webHidden/>
              </w:rPr>
              <w:tab/>
            </w:r>
            <w:r w:rsidR="00EE4ABB">
              <w:rPr>
                <w:webHidden/>
              </w:rPr>
              <w:fldChar w:fldCharType="begin"/>
            </w:r>
            <w:r w:rsidR="00EE4ABB">
              <w:rPr>
                <w:webHidden/>
              </w:rPr>
              <w:instrText xml:space="preserve"> PAGEREF _Toc478567682 \h </w:instrText>
            </w:r>
            <w:r w:rsidR="00EE4ABB">
              <w:rPr>
                <w:webHidden/>
              </w:rPr>
            </w:r>
            <w:r w:rsidR="00EE4ABB">
              <w:rPr>
                <w:webHidden/>
              </w:rPr>
              <w:fldChar w:fldCharType="separate"/>
            </w:r>
            <w:r w:rsidR="00EE4ABB">
              <w:rPr>
                <w:webHidden/>
              </w:rPr>
              <w:t>17</w:t>
            </w:r>
            <w:r w:rsidR="00EE4ABB">
              <w:rPr>
                <w:webHidden/>
              </w:rPr>
              <w:fldChar w:fldCharType="end"/>
            </w:r>
          </w:hyperlink>
        </w:p>
        <w:p w14:paraId="75735FA2" w14:textId="77777777" w:rsidR="00EE4ABB" w:rsidRDefault="00D41478">
          <w:pPr>
            <w:pStyle w:val="TOC1"/>
            <w:rPr>
              <w:rFonts w:eastAsiaTheme="minorEastAsia"/>
              <w:b w:val="0"/>
              <w:color w:val="auto"/>
              <w:sz w:val="22"/>
              <w:lang w:eastAsia="en-AU"/>
            </w:rPr>
          </w:pPr>
          <w:hyperlink w:anchor="_Toc478567683" w:history="1">
            <w:r w:rsidR="00EE4ABB" w:rsidRPr="004362A0">
              <w:rPr>
                <w:rStyle w:val="Hyperlink"/>
                <w:rFonts w:ascii="Calibri" w:hAnsi="Calibri"/>
              </w:rPr>
              <w:t>6.</w:t>
            </w:r>
            <w:r w:rsidR="00EE4ABB">
              <w:rPr>
                <w:rFonts w:eastAsiaTheme="minorEastAsia"/>
                <w:b w:val="0"/>
                <w:color w:val="auto"/>
                <w:sz w:val="22"/>
                <w:lang w:eastAsia="en-AU"/>
              </w:rPr>
              <w:tab/>
            </w:r>
            <w:r w:rsidR="00EE4ABB" w:rsidRPr="004362A0">
              <w:rPr>
                <w:rStyle w:val="Hyperlink"/>
              </w:rPr>
              <w:t>References</w:t>
            </w:r>
            <w:r w:rsidR="00EE4ABB">
              <w:rPr>
                <w:webHidden/>
              </w:rPr>
              <w:tab/>
            </w:r>
            <w:r w:rsidR="00EE4ABB">
              <w:rPr>
                <w:webHidden/>
              </w:rPr>
              <w:fldChar w:fldCharType="begin"/>
            </w:r>
            <w:r w:rsidR="00EE4ABB">
              <w:rPr>
                <w:webHidden/>
              </w:rPr>
              <w:instrText xml:space="preserve"> PAGEREF _Toc478567683 \h </w:instrText>
            </w:r>
            <w:r w:rsidR="00EE4ABB">
              <w:rPr>
                <w:webHidden/>
              </w:rPr>
            </w:r>
            <w:r w:rsidR="00EE4ABB">
              <w:rPr>
                <w:webHidden/>
              </w:rPr>
              <w:fldChar w:fldCharType="separate"/>
            </w:r>
            <w:r w:rsidR="00EE4ABB">
              <w:rPr>
                <w:webHidden/>
              </w:rPr>
              <w:t>18</w:t>
            </w:r>
            <w:r w:rsidR="00EE4ABB">
              <w:rPr>
                <w:webHidden/>
              </w:rPr>
              <w:fldChar w:fldCharType="end"/>
            </w:r>
          </w:hyperlink>
        </w:p>
        <w:p w14:paraId="4A8A86B3" w14:textId="77777777" w:rsidR="00181813" w:rsidRPr="009E413F" w:rsidRDefault="00022FAF" w:rsidP="00AA6D68">
          <w:pPr>
            <w:pStyle w:val="TOC1"/>
          </w:pPr>
          <w:r>
            <w:fldChar w:fldCharType="end"/>
          </w:r>
        </w:p>
      </w:sdtContent>
    </w:sdt>
    <w:p w14:paraId="3F5E5685" w14:textId="77777777" w:rsidR="007E0CA9" w:rsidRDefault="007E0CA9">
      <w:pPr>
        <w:sectPr w:rsidR="007E0CA9" w:rsidSect="00C25D42">
          <w:footerReference w:type="default" r:id="rId22"/>
          <w:headerReference w:type="first" r:id="rId23"/>
          <w:footerReference w:type="first" r:id="rId24"/>
          <w:pgSz w:w="11906" w:h="16838" w:code="9"/>
          <w:pgMar w:top="1134" w:right="1134" w:bottom="1134" w:left="1134" w:header="567" w:footer="567" w:gutter="0"/>
          <w:pgNumType w:fmt="lowerRoman" w:start="1"/>
          <w:cols w:space="708"/>
          <w:docGrid w:linePitch="360"/>
        </w:sectPr>
      </w:pPr>
    </w:p>
    <w:p w14:paraId="212A0FD3" w14:textId="77777777" w:rsidR="00830195" w:rsidRPr="00181813" w:rsidRDefault="00022FAF" w:rsidP="007337A7">
      <w:pPr>
        <w:pStyle w:val="Heading1"/>
        <w:spacing w:before="0"/>
      </w:pPr>
      <w:bookmarkStart w:id="3" w:name="_Toc478567663"/>
      <w:r>
        <w:t>Introduction</w:t>
      </w:r>
      <w:bookmarkEnd w:id="3"/>
    </w:p>
    <w:p w14:paraId="65ADCD85" w14:textId="77777777" w:rsidR="00256DC9" w:rsidRPr="000772BA" w:rsidRDefault="00256DC9" w:rsidP="000772BA">
      <w:pPr>
        <w:pStyle w:val="Heading2"/>
      </w:pPr>
      <w:bookmarkStart w:id="4" w:name="_Toc478567664"/>
      <w:r w:rsidRPr="000772BA">
        <w:t>Background</w:t>
      </w:r>
      <w:bookmarkEnd w:id="4"/>
    </w:p>
    <w:p w14:paraId="57B2462D" w14:textId="08314FB2" w:rsidR="0079230D" w:rsidRPr="001E427D" w:rsidRDefault="0079230D" w:rsidP="007337A7">
      <w:r w:rsidRPr="001E427D">
        <w:t xml:space="preserve">Lasers and </w:t>
      </w:r>
      <w:r w:rsidR="00546FC8">
        <w:t>i</w:t>
      </w:r>
      <w:r w:rsidRPr="001E427D">
        <w:t xml:space="preserve">ntense </w:t>
      </w:r>
      <w:r w:rsidR="00546FC8">
        <w:t>p</w:t>
      </w:r>
      <w:r w:rsidRPr="001E427D">
        <w:t xml:space="preserve">ulsed </w:t>
      </w:r>
      <w:r w:rsidR="00546FC8">
        <w:t>l</w:t>
      </w:r>
      <w:r w:rsidRPr="001E427D">
        <w:t xml:space="preserve">ight </w:t>
      </w:r>
      <w:r w:rsidR="00546FC8">
        <w:t>sources</w:t>
      </w:r>
      <w:r w:rsidRPr="001E427D">
        <w:t xml:space="preserve"> (IPLs) have been in use in the cosmetic</w:t>
      </w:r>
      <w:r w:rsidR="00FA3CC8" w:rsidRPr="001E427D">
        <w:t xml:space="preserve"> and beauty therapy</w:t>
      </w:r>
      <w:r w:rsidRPr="001E427D">
        <w:t xml:space="preserve"> industry </w:t>
      </w:r>
      <w:r w:rsidR="00FA3CC8" w:rsidRPr="001E427D">
        <w:t xml:space="preserve">(the industry) </w:t>
      </w:r>
      <w:r w:rsidRPr="001E427D">
        <w:t xml:space="preserve">for a number of years. Their use </w:t>
      </w:r>
      <w:r w:rsidR="00792974" w:rsidRPr="001E427D">
        <w:t>for</w:t>
      </w:r>
      <w:r w:rsidRPr="001E427D">
        <w:t xml:space="preserve"> cosmetic and beauty therapy </w:t>
      </w:r>
      <w:r w:rsidR="00792974" w:rsidRPr="001E427D">
        <w:t>purposes</w:t>
      </w:r>
      <w:r w:rsidRPr="001E427D">
        <w:t xml:space="preserve"> involves the treatment of symptomatic (</w:t>
      </w:r>
      <w:r w:rsidR="00792974" w:rsidRPr="001E427D">
        <w:t xml:space="preserve">e.g. </w:t>
      </w:r>
      <w:r w:rsidRPr="001E427D">
        <w:t>dark skin discoloration</w:t>
      </w:r>
      <w:r w:rsidR="00792974" w:rsidRPr="001E427D">
        <w:t xml:space="preserve">, </w:t>
      </w:r>
      <w:r w:rsidR="00546FC8">
        <w:t xml:space="preserve">superficial </w:t>
      </w:r>
      <w:r w:rsidR="00792974" w:rsidRPr="001E427D">
        <w:t xml:space="preserve">vascular </w:t>
      </w:r>
      <w:r w:rsidR="00546FC8">
        <w:t>conditions</w:t>
      </w:r>
      <w:r w:rsidR="00792974" w:rsidRPr="001E427D">
        <w:t>) and non-symptomatic (e.g. hair removal, skin rejuvenation) problems or medical conditions.</w:t>
      </w:r>
    </w:p>
    <w:p w14:paraId="6D3B0489" w14:textId="77777777" w:rsidR="000F217F" w:rsidRPr="001E427D" w:rsidRDefault="00F24BF0" w:rsidP="007337A7">
      <w:r w:rsidRPr="001E427D">
        <w:t>There are currently a growing number of businesses in Australia offering cosmetic procedures and beauty therapy through the use of lasers and IPL devices. The services most commonly provided across the industry include</w:t>
      </w:r>
      <w:r w:rsidR="002F594C">
        <w:t>:</w:t>
      </w:r>
    </w:p>
    <w:p w14:paraId="0C29F3F5" w14:textId="77777777" w:rsidR="00F24BF0" w:rsidRPr="00A15021" w:rsidRDefault="00A15021" w:rsidP="00624EA7">
      <w:pPr>
        <w:pStyle w:val="ListParagraph"/>
      </w:pPr>
      <w:r w:rsidRPr="00A15021">
        <w:t>hair removal</w:t>
      </w:r>
    </w:p>
    <w:p w14:paraId="262AF614" w14:textId="77777777" w:rsidR="00F24BF0" w:rsidRPr="00A15021" w:rsidRDefault="00F24BF0" w:rsidP="00624EA7">
      <w:pPr>
        <w:pStyle w:val="ListParagraph"/>
      </w:pPr>
      <w:r w:rsidRPr="00A15021">
        <w:t xml:space="preserve">removing skin blemishes such as birthmarks, </w:t>
      </w:r>
      <w:r w:rsidR="00A15021" w:rsidRPr="00A15021">
        <w:t>lesions, acne and acne scarring</w:t>
      </w:r>
    </w:p>
    <w:p w14:paraId="592F29C4" w14:textId="0C8AE087" w:rsidR="00F24BF0" w:rsidRPr="00A15021" w:rsidRDefault="00A15021" w:rsidP="00624EA7">
      <w:pPr>
        <w:pStyle w:val="ListParagraph"/>
      </w:pPr>
      <w:r w:rsidRPr="00A15021">
        <w:t>treatment</w:t>
      </w:r>
      <w:r w:rsidR="00F66CB1">
        <w:t xml:space="preserve"> of </w:t>
      </w:r>
      <w:r w:rsidR="00546FC8">
        <w:t xml:space="preserve">superficial </w:t>
      </w:r>
      <w:r w:rsidR="00F66CB1">
        <w:t xml:space="preserve">vascular </w:t>
      </w:r>
      <w:r w:rsidR="00546FC8">
        <w:t>conditions</w:t>
      </w:r>
    </w:p>
    <w:p w14:paraId="01622F81" w14:textId="77777777" w:rsidR="00F24BF0" w:rsidRPr="00A15021" w:rsidRDefault="00F24BF0" w:rsidP="00624EA7">
      <w:pPr>
        <w:pStyle w:val="ListParagraph"/>
      </w:pPr>
      <w:r w:rsidRPr="00A15021">
        <w:t>reducing the visi</w:t>
      </w:r>
      <w:r w:rsidR="00A15021" w:rsidRPr="00A15021">
        <w:t>bility of skin pigmentation</w:t>
      </w:r>
    </w:p>
    <w:p w14:paraId="2EC51F89" w14:textId="77777777" w:rsidR="00F24BF0" w:rsidRPr="00A15021" w:rsidRDefault="00327743" w:rsidP="00624EA7">
      <w:pPr>
        <w:pStyle w:val="ListParagraph"/>
      </w:pPr>
      <w:r>
        <w:t>rejuvenating skin</w:t>
      </w:r>
    </w:p>
    <w:p w14:paraId="584F81E0" w14:textId="3F5F1C0F" w:rsidR="00546FC8" w:rsidRPr="00A15021" w:rsidRDefault="00546FC8" w:rsidP="00624EA7">
      <w:pPr>
        <w:pStyle w:val="ListParagraph"/>
      </w:pPr>
      <w:proofErr w:type="gramStart"/>
      <w:r w:rsidRPr="00A15021">
        <w:t>tattoo</w:t>
      </w:r>
      <w:proofErr w:type="gramEnd"/>
      <w:r w:rsidRPr="00A15021">
        <w:t xml:space="preserve"> removal</w:t>
      </w:r>
      <w:r w:rsidR="007337A7">
        <w:t>.</w:t>
      </w:r>
    </w:p>
    <w:p w14:paraId="5B57A309" w14:textId="25CC2E5F" w:rsidR="00B8452E" w:rsidRPr="000F217F" w:rsidRDefault="00546FC8" w:rsidP="007337A7">
      <w:r>
        <w:t>T</w:t>
      </w:r>
      <w:r w:rsidR="00B8452E" w:rsidRPr="000F217F">
        <w:t xml:space="preserve">he application of these techniques to treat the various conditions listed show varying measures of </w:t>
      </w:r>
      <w:r w:rsidR="00B8452E" w:rsidRPr="001E427D">
        <w:t>success</w:t>
      </w:r>
      <w:r>
        <w:t>.</w:t>
      </w:r>
      <w:r w:rsidR="00B8452E" w:rsidRPr="000F217F">
        <w:t xml:space="preserve"> </w:t>
      </w:r>
      <w:r>
        <w:t>T</w:t>
      </w:r>
      <w:r w:rsidR="00B8452E" w:rsidRPr="000F217F">
        <w:t xml:space="preserve">he use of lasers and IPLs to achieve the desired results </w:t>
      </w:r>
      <w:r w:rsidR="00BF150B">
        <w:t>is</w:t>
      </w:r>
      <w:r w:rsidR="00BF150B" w:rsidRPr="000F217F">
        <w:t xml:space="preserve"> </w:t>
      </w:r>
      <w:r w:rsidR="00B8452E" w:rsidRPr="000F217F">
        <w:t xml:space="preserve">accompanied by hazards associated with using such powerful sources of </w:t>
      </w:r>
      <w:r w:rsidR="00BF150B">
        <w:t>visible to near visible</w:t>
      </w:r>
      <w:r w:rsidR="00B8452E" w:rsidRPr="000F217F">
        <w:t xml:space="preserve"> </w:t>
      </w:r>
      <w:r w:rsidR="00C1765D">
        <w:t>light</w:t>
      </w:r>
      <w:r w:rsidR="00B8452E" w:rsidRPr="000F217F">
        <w:t>.</w:t>
      </w:r>
    </w:p>
    <w:p w14:paraId="4C167490" w14:textId="37A21818" w:rsidR="000F217F" w:rsidRPr="007337A7" w:rsidRDefault="00B8452E" w:rsidP="007337A7">
      <w:r w:rsidRPr="007337A7">
        <w:t xml:space="preserve">Lasers </w:t>
      </w:r>
      <w:r w:rsidR="000A0AF6" w:rsidRPr="007337A7">
        <w:t xml:space="preserve">used for cosmetic purposes </w:t>
      </w:r>
      <w:r w:rsidR="0037723B" w:rsidRPr="007337A7">
        <w:t xml:space="preserve">produce </w:t>
      </w:r>
      <w:r w:rsidR="00BF150B" w:rsidRPr="007337A7">
        <w:t>an intense</w:t>
      </w:r>
      <w:r w:rsidR="0037723B" w:rsidRPr="007337A7">
        <w:t xml:space="preserve"> beam of light consisting of a single wavelength (colour) of the spectrum. The laser beam is </w:t>
      </w:r>
      <w:r w:rsidR="00BF150B" w:rsidRPr="007337A7">
        <w:t xml:space="preserve">applied to </w:t>
      </w:r>
      <w:r w:rsidR="0037723B" w:rsidRPr="007337A7">
        <w:t>the desired area for treatment and selectively damages specific targets (e.g. melanin in hair follicles</w:t>
      </w:r>
      <w:r w:rsidR="00914BD0" w:rsidRPr="007337A7">
        <w:t>, capilla</w:t>
      </w:r>
      <w:r w:rsidR="0037723B" w:rsidRPr="007337A7">
        <w:t xml:space="preserve">ries </w:t>
      </w:r>
      <w:r w:rsidR="00914BD0" w:rsidRPr="007337A7">
        <w:t xml:space="preserve">or tattoo pigment in the skin). The treatment area then recovers naturally in order to deliver the desired </w:t>
      </w:r>
      <w:r w:rsidR="00BF150B" w:rsidRPr="007337A7">
        <w:t xml:space="preserve">skin </w:t>
      </w:r>
      <w:r w:rsidR="00914BD0" w:rsidRPr="007337A7">
        <w:t xml:space="preserve">treatment outcome. </w:t>
      </w:r>
    </w:p>
    <w:p w14:paraId="148283D8" w14:textId="6886EED8" w:rsidR="00B8452E" w:rsidRPr="007337A7" w:rsidRDefault="00914BD0" w:rsidP="007337A7">
      <w:r w:rsidRPr="007337A7">
        <w:t xml:space="preserve">When used for the purposes of applying </w:t>
      </w:r>
      <w:r w:rsidR="00CB58CA" w:rsidRPr="007337A7">
        <w:t xml:space="preserve">the range of </w:t>
      </w:r>
      <w:r w:rsidRPr="007337A7">
        <w:t>treatment</w:t>
      </w:r>
      <w:r w:rsidR="00CB58CA" w:rsidRPr="007337A7">
        <w:t>s</w:t>
      </w:r>
      <w:r w:rsidRPr="007337A7">
        <w:t xml:space="preserve"> </w:t>
      </w:r>
      <w:r w:rsidR="00CB58CA" w:rsidRPr="007337A7">
        <w:t>available</w:t>
      </w:r>
      <w:r w:rsidRPr="007337A7">
        <w:t xml:space="preserve">, lasers need to </w:t>
      </w:r>
      <w:r w:rsidR="00BF150B" w:rsidRPr="007337A7">
        <w:t xml:space="preserve">produce </w:t>
      </w:r>
      <w:r w:rsidR="00CB58CA" w:rsidRPr="007337A7">
        <w:t>sufficient</w:t>
      </w:r>
      <w:r w:rsidR="006D523C" w:rsidRPr="007337A7">
        <w:t xml:space="preserve"> power </w:t>
      </w:r>
      <w:r w:rsidRPr="007337A7">
        <w:t xml:space="preserve">to have the desired effect. </w:t>
      </w:r>
      <w:r w:rsidR="00522FA1" w:rsidRPr="007337A7">
        <w:t xml:space="preserve">The lasers are typically of </w:t>
      </w:r>
      <w:r w:rsidR="007E5DD1" w:rsidRPr="007337A7">
        <w:t>a Class</w:t>
      </w:r>
      <w:r w:rsidR="00867575" w:rsidRPr="007337A7">
        <w:t> </w:t>
      </w:r>
      <w:r w:rsidR="007E5DD1" w:rsidRPr="007337A7">
        <w:t xml:space="preserve">3B, and more commonly, a Class 4 power output. These lasers are classified according to </w:t>
      </w:r>
      <w:r w:rsidRPr="007337A7">
        <w:t xml:space="preserve">the </w:t>
      </w:r>
      <w:r w:rsidRPr="00624EA7">
        <w:t>Australian/New Zealand Standard</w:t>
      </w:r>
      <w:r w:rsidRPr="00624EA7">
        <w:rPr>
          <w:i/>
        </w:rPr>
        <w:t xml:space="preserve"> AS/NZS</w:t>
      </w:r>
      <w:r w:rsidR="00624EA7">
        <w:rPr>
          <w:i/>
        </w:rPr>
        <w:t> </w:t>
      </w:r>
      <w:r w:rsidRPr="00624EA7">
        <w:rPr>
          <w:i/>
        </w:rPr>
        <w:t>IEC 60825.1 Safety of laser products Part 1: Equipment classification and requirements</w:t>
      </w:r>
      <w:r w:rsidR="007E5DD1" w:rsidRPr="007337A7">
        <w:t xml:space="preserve">. Lasers with these high </w:t>
      </w:r>
      <w:r w:rsidR="00CB58CA" w:rsidRPr="007337A7">
        <w:t xml:space="preserve">power </w:t>
      </w:r>
      <w:r w:rsidR="007E5DD1" w:rsidRPr="007337A7">
        <w:t xml:space="preserve">outputs </w:t>
      </w:r>
      <w:r w:rsidR="00CB58CA" w:rsidRPr="007337A7">
        <w:t>are capable of causing eye injuries and can also cause skin burns.</w:t>
      </w:r>
    </w:p>
    <w:p w14:paraId="6E08AC8A" w14:textId="77777777" w:rsidR="00B8452E" w:rsidRPr="007337A7" w:rsidRDefault="00B8452E" w:rsidP="007337A7">
      <w:r w:rsidRPr="007337A7">
        <w:t>Unlike lasers, IPLs produce a beam of broad-spectrum light</w:t>
      </w:r>
      <w:r w:rsidR="000A0AF6" w:rsidRPr="007337A7">
        <w:t xml:space="preserve"> (white light)</w:t>
      </w:r>
      <w:r w:rsidRPr="007337A7">
        <w:t xml:space="preserve">, which may be pulsed and filtered to produce the desired cosmetic </w:t>
      </w:r>
      <w:r w:rsidR="000A0AF6" w:rsidRPr="007337A7">
        <w:t>outcome</w:t>
      </w:r>
      <w:r w:rsidRPr="007337A7">
        <w:t xml:space="preserve">. The light produces more generalised effects on the skin, such as improvement in some forms of brown and red </w:t>
      </w:r>
      <w:r w:rsidR="000A0AF6" w:rsidRPr="007337A7">
        <w:t>skin pigmentation</w:t>
      </w:r>
      <w:r w:rsidRPr="007337A7">
        <w:t xml:space="preserve">. IPLs are </w:t>
      </w:r>
      <w:r w:rsidR="00470893" w:rsidRPr="007337A7">
        <w:t xml:space="preserve">also </w:t>
      </w:r>
      <w:r w:rsidR="000A0AF6" w:rsidRPr="007337A7">
        <w:t>widely used</w:t>
      </w:r>
      <w:r w:rsidRPr="007337A7">
        <w:t xml:space="preserve"> </w:t>
      </w:r>
      <w:r w:rsidR="00470893" w:rsidRPr="007337A7">
        <w:t xml:space="preserve">for </w:t>
      </w:r>
      <w:r w:rsidRPr="007337A7">
        <w:t>hair re</w:t>
      </w:r>
      <w:r w:rsidR="000A0AF6" w:rsidRPr="007337A7">
        <w:t>duction</w:t>
      </w:r>
      <w:r w:rsidRPr="007337A7">
        <w:t>.</w:t>
      </w:r>
    </w:p>
    <w:p w14:paraId="5DD01760" w14:textId="77777777" w:rsidR="001B4ED0" w:rsidRPr="000772BA" w:rsidRDefault="001B4ED0" w:rsidP="000772BA">
      <w:pPr>
        <w:pStyle w:val="Heading2"/>
      </w:pPr>
      <w:bookmarkStart w:id="5" w:name="_Toc478567665"/>
      <w:r w:rsidRPr="000772BA">
        <w:t xml:space="preserve">Health </w:t>
      </w:r>
      <w:r w:rsidR="00EF1B74">
        <w:t>i</w:t>
      </w:r>
      <w:r w:rsidRPr="000772BA">
        <w:t>mplications</w:t>
      </w:r>
      <w:bookmarkEnd w:id="5"/>
    </w:p>
    <w:p w14:paraId="131DB7A3" w14:textId="4753865A" w:rsidR="00821A74" w:rsidRPr="007337A7" w:rsidRDefault="004A7BF8" w:rsidP="00694949">
      <w:pPr>
        <w:keepLines/>
      </w:pPr>
      <w:r w:rsidRPr="007337A7">
        <w:t>The</w:t>
      </w:r>
      <w:r w:rsidR="007A3288" w:rsidRPr="007337A7">
        <w:t>re is a common</w:t>
      </w:r>
      <w:r w:rsidRPr="007337A7">
        <w:t xml:space="preserve"> public perception </w:t>
      </w:r>
      <w:r w:rsidR="007A3288" w:rsidRPr="007337A7">
        <w:t>that</w:t>
      </w:r>
      <w:r w:rsidRPr="007337A7">
        <w:t xml:space="preserve"> cosmetic medicine </w:t>
      </w:r>
      <w:r w:rsidR="007A3288" w:rsidRPr="007337A7">
        <w:t xml:space="preserve">using laser and IPL techniques </w:t>
      </w:r>
      <w:r w:rsidRPr="007337A7">
        <w:t xml:space="preserve">is quick, easy, painless and </w:t>
      </w:r>
      <w:r w:rsidR="007A3288" w:rsidRPr="007337A7">
        <w:t>low</w:t>
      </w:r>
      <w:r w:rsidR="00C9624B" w:rsidRPr="007337A7">
        <w:t xml:space="preserve"> risk. However,</w:t>
      </w:r>
      <w:r w:rsidRPr="007337A7">
        <w:t xml:space="preserve"> many procedures are complex and require </w:t>
      </w:r>
      <w:r w:rsidR="00C9624B" w:rsidRPr="007337A7">
        <w:t>application</w:t>
      </w:r>
      <w:r w:rsidRPr="007337A7">
        <w:t xml:space="preserve"> skill</w:t>
      </w:r>
      <w:r w:rsidR="00C9624B" w:rsidRPr="007337A7">
        <w:t xml:space="preserve"> and experience,</w:t>
      </w:r>
      <w:r w:rsidRPr="007337A7">
        <w:t xml:space="preserve"> aesthetic appreciation</w:t>
      </w:r>
      <w:r w:rsidR="00C9624B" w:rsidRPr="007337A7">
        <w:t xml:space="preserve"> and after treatment care. As </w:t>
      </w:r>
      <w:r w:rsidR="004116B9" w:rsidRPr="007337A7">
        <w:t>noted</w:t>
      </w:r>
      <w:r w:rsidR="00C9624B" w:rsidRPr="007337A7">
        <w:t xml:space="preserve">, the use of lasers and IPLs </w:t>
      </w:r>
      <w:r w:rsidR="004A6415" w:rsidRPr="007337A7">
        <w:t xml:space="preserve">is </w:t>
      </w:r>
      <w:r w:rsidR="00C9624B" w:rsidRPr="007337A7">
        <w:t xml:space="preserve">based on causing deliberate, targeted damage to areas of treatment, relying on the body’s natural healing mechanisms to repair the affected area to deliver the desired </w:t>
      </w:r>
      <w:r w:rsidR="004A6415" w:rsidRPr="007337A7">
        <w:t xml:space="preserve">cosmetic </w:t>
      </w:r>
      <w:r w:rsidR="00C9624B" w:rsidRPr="007337A7">
        <w:t>result.</w:t>
      </w:r>
      <w:r w:rsidR="00FF2A23" w:rsidRPr="007337A7">
        <w:t xml:space="preserve"> </w:t>
      </w:r>
      <w:r w:rsidR="00C9624B" w:rsidRPr="007337A7">
        <w:t xml:space="preserve">This mode of </w:t>
      </w:r>
      <w:r w:rsidR="00B62156" w:rsidRPr="007337A7">
        <w:t>treatment</w:t>
      </w:r>
      <w:r w:rsidR="00C9624B" w:rsidRPr="007337A7">
        <w:t xml:space="preserve"> can pose several </w:t>
      </w:r>
      <w:r w:rsidR="00507FED">
        <w:t>risks</w:t>
      </w:r>
      <w:r w:rsidR="00C9624B" w:rsidRPr="007337A7">
        <w:t xml:space="preserve"> when the </w:t>
      </w:r>
      <w:r w:rsidR="00B62156" w:rsidRPr="007337A7">
        <w:t>procedures are</w:t>
      </w:r>
      <w:r w:rsidR="00C9624B" w:rsidRPr="007337A7">
        <w:t xml:space="preserve"> not applied </w:t>
      </w:r>
      <w:r w:rsidR="004E0575" w:rsidRPr="007337A7">
        <w:t xml:space="preserve">correctly or when </w:t>
      </w:r>
      <w:r w:rsidR="00B62156" w:rsidRPr="007337A7">
        <w:t>they are</w:t>
      </w:r>
      <w:r w:rsidR="004E0575" w:rsidRPr="007337A7">
        <w:t xml:space="preserve"> applied to </w:t>
      </w:r>
      <w:r w:rsidR="004A6415" w:rsidRPr="007337A7">
        <w:t>clients who</w:t>
      </w:r>
      <w:r w:rsidR="004E0575" w:rsidRPr="007337A7">
        <w:t xml:space="preserve"> are not appropriate candidates for the desired </w:t>
      </w:r>
      <w:r w:rsidR="00B62156" w:rsidRPr="007337A7">
        <w:t xml:space="preserve">treatment. </w:t>
      </w:r>
    </w:p>
    <w:p w14:paraId="761AA20E" w14:textId="69F9B89B" w:rsidR="00821A74" w:rsidRPr="007337A7" w:rsidRDefault="00821A74" w:rsidP="007337A7">
      <w:r w:rsidRPr="007337A7">
        <w:t>A wide range of operators provide services with lasers and IPLs. Many are qualified professionals who are trained in the use of lasers and IPLs for cosm</w:t>
      </w:r>
      <w:r w:rsidR="00602D8B" w:rsidRPr="007337A7">
        <w:t xml:space="preserve">etic purposes, however, </w:t>
      </w:r>
      <w:r w:rsidRPr="007337A7">
        <w:t xml:space="preserve">services are also provided by operators with limited or </w:t>
      </w:r>
      <w:r w:rsidR="00682C1E" w:rsidRPr="007337A7">
        <w:t xml:space="preserve">possibly </w:t>
      </w:r>
      <w:r w:rsidRPr="007337A7">
        <w:t xml:space="preserve">no training. </w:t>
      </w:r>
      <w:r w:rsidR="00602D8B" w:rsidRPr="007337A7">
        <w:t>The</w:t>
      </w:r>
      <w:r w:rsidRPr="007337A7">
        <w:t xml:space="preserve"> devices </w:t>
      </w:r>
      <w:r w:rsidR="00602D8B" w:rsidRPr="007337A7">
        <w:t xml:space="preserve">used </w:t>
      </w:r>
      <w:r w:rsidRPr="007337A7">
        <w:t xml:space="preserve">for cosmetic </w:t>
      </w:r>
      <w:r w:rsidR="00682C1E" w:rsidRPr="007337A7">
        <w:t xml:space="preserve">treatments </w:t>
      </w:r>
      <w:r w:rsidRPr="007337A7">
        <w:t xml:space="preserve">are not </w:t>
      </w:r>
      <w:r w:rsidR="00682C1E" w:rsidRPr="007337A7">
        <w:t xml:space="preserve">necessarily </w:t>
      </w:r>
      <w:r w:rsidRPr="007337A7">
        <w:t xml:space="preserve">approved by the Therapeutic Goods Administration and are easily available </w:t>
      </w:r>
      <w:r w:rsidR="00602D8B" w:rsidRPr="007337A7">
        <w:t xml:space="preserve">for purchase on the </w:t>
      </w:r>
      <w:r w:rsidR="00E12094">
        <w:t>i</w:t>
      </w:r>
      <w:r w:rsidR="00602D8B" w:rsidRPr="007337A7">
        <w:t xml:space="preserve">nternet, sometimes at </w:t>
      </w:r>
      <w:r w:rsidR="00F4609C" w:rsidRPr="007337A7">
        <w:t>low cost</w:t>
      </w:r>
      <w:r w:rsidR="00602D8B" w:rsidRPr="007337A7">
        <w:t>.</w:t>
      </w:r>
      <w:r w:rsidR="00F4609C" w:rsidRPr="007337A7">
        <w:t xml:space="preserve"> The relative ease in accessibility has</w:t>
      </w:r>
      <w:r w:rsidRPr="007337A7">
        <w:t xml:space="preserve"> result</w:t>
      </w:r>
      <w:r w:rsidR="00F4609C" w:rsidRPr="007337A7">
        <w:t>ed</w:t>
      </w:r>
      <w:r w:rsidRPr="007337A7">
        <w:t xml:space="preserve"> </w:t>
      </w:r>
      <w:r w:rsidR="00F4609C" w:rsidRPr="007337A7">
        <w:t xml:space="preserve">in a situation where </w:t>
      </w:r>
      <w:r w:rsidR="00602D8B" w:rsidRPr="007337A7">
        <w:t>consumers can</w:t>
      </w:r>
      <w:r w:rsidRPr="007337A7">
        <w:t xml:space="preserve"> receive cosmetic treatment</w:t>
      </w:r>
      <w:r w:rsidR="004A6415" w:rsidRPr="007337A7">
        <w:t>s</w:t>
      </w:r>
      <w:r w:rsidRPr="007337A7">
        <w:t xml:space="preserve"> using IPLs and lasers from operators </w:t>
      </w:r>
      <w:r w:rsidR="004116B9" w:rsidRPr="007337A7">
        <w:t>who do not have</w:t>
      </w:r>
      <w:r w:rsidR="0017797D" w:rsidRPr="007337A7">
        <w:t xml:space="preserve"> </w:t>
      </w:r>
      <w:r w:rsidRPr="007337A7">
        <w:t xml:space="preserve">a proper understanding of the risks </w:t>
      </w:r>
      <w:r w:rsidR="00F4609C" w:rsidRPr="007337A7">
        <w:t>involved in applying the treatment</w:t>
      </w:r>
      <w:r w:rsidR="004A6415" w:rsidRPr="007337A7">
        <w:t>, and who are using equipment which may be substandard or poorly maintained.</w:t>
      </w:r>
    </w:p>
    <w:p w14:paraId="76C7FBFA" w14:textId="63F34AB9" w:rsidR="00272DE4" w:rsidRPr="007337A7" w:rsidRDefault="00C43199" w:rsidP="007337A7">
      <w:r w:rsidRPr="007337A7">
        <w:t xml:space="preserve">The consequences of </w:t>
      </w:r>
      <w:r w:rsidR="00A70929" w:rsidRPr="007337A7">
        <w:t>incorrect</w:t>
      </w:r>
      <w:r w:rsidRPr="007337A7">
        <w:t xml:space="preserve"> treatments </w:t>
      </w:r>
      <w:r w:rsidR="00A70929" w:rsidRPr="007337A7">
        <w:t xml:space="preserve">can </w:t>
      </w:r>
      <w:r w:rsidRPr="007337A7">
        <w:t xml:space="preserve">range from minor burns to severe </w:t>
      </w:r>
      <w:r w:rsidR="00A70929" w:rsidRPr="007337A7">
        <w:t xml:space="preserve">injuries requiring follow up </w:t>
      </w:r>
      <w:r w:rsidR="004116B9" w:rsidRPr="007337A7">
        <w:t xml:space="preserve">medical </w:t>
      </w:r>
      <w:r w:rsidR="00A70929" w:rsidRPr="007337A7">
        <w:t xml:space="preserve">treatments and leading to </w:t>
      </w:r>
      <w:r w:rsidRPr="007337A7">
        <w:t>permanent scarring in the affected are</w:t>
      </w:r>
      <w:r w:rsidR="00A70929" w:rsidRPr="007337A7">
        <w:t>a</w:t>
      </w:r>
      <w:r w:rsidR="00CD7CC0" w:rsidRPr="007337A7">
        <w:t>s</w:t>
      </w:r>
      <w:r w:rsidRPr="007337A7">
        <w:t xml:space="preserve">. </w:t>
      </w:r>
      <w:r w:rsidR="00D94CD9" w:rsidRPr="007337A7">
        <w:t xml:space="preserve">Treatments conducted near the eyes could also lead to eye </w:t>
      </w:r>
      <w:r w:rsidR="00C07A68" w:rsidRPr="007337A7">
        <w:t xml:space="preserve">injuries and vision impairment. </w:t>
      </w:r>
      <w:r w:rsidR="00B62156" w:rsidRPr="007337A7">
        <w:t>Even more seriously, there ha</w:t>
      </w:r>
      <w:r w:rsidR="00A70929" w:rsidRPr="007337A7">
        <w:t>ve</w:t>
      </w:r>
      <w:r w:rsidR="00B62156" w:rsidRPr="007337A7">
        <w:t xml:space="preserve"> been </w:t>
      </w:r>
      <w:r w:rsidR="00A70929" w:rsidRPr="007337A7">
        <w:t>cases</w:t>
      </w:r>
      <w:r w:rsidR="00B62156" w:rsidRPr="007337A7">
        <w:t xml:space="preserve"> </w:t>
      </w:r>
      <w:r w:rsidR="00A70929" w:rsidRPr="007337A7">
        <w:t>where</w:t>
      </w:r>
      <w:r w:rsidR="00B62156" w:rsidRPr="007337A7">
        <w:t xml:space="preserve"> cosmetic therapies</w:t>
      </w:r>
      <w:r w:rsidR="00DA319B" w:rsidRPr="007337A7">
        <w:t xml:space="preserve"> have been used inappropriately to treat </w:t>
      </w:r>
      <w:r w:rsidR="004A6415" w:rsidRPr="007337A7">
        <w:t xml:space="preserve">the symptoms of </w:t>
      </w:r>
      <w:r w:rsidR="00DA319B" w:rsidRPr="007337A7">
        <w:t xml:space="preserve">malignant skin conditions including melanoma, effectively </w:t>
      </w:r>
      <w:r w:rsidR="00A70929" w:rsidRPr="007337A7">
        <w:t xml:space="preserve">masking or </w:t>
      </w:r>
      <w:r w:rsidR="00DA319B" w:rsidRPr="007337A7">
        <w:t xml:space="preserve">removing </w:t>
      </w:r>
      <w:r w:rsidR="00A70929" w:rsidRPr="007337A7">
        <w:t>the</w:t>
      </w:r>
      <w:r w:rsidR="00970FF3" w:rsidRPr="007337A7">
        <w:t xml:space="preserve">se </w:t>
      </w:r>
      <w:r w:rsidR="00DA319B" w:rsidRPr="007337A7">
        <w:t>symptom</w:t>
      </w:r>
      <w:r w:rsidR="00CD7CC0" w:rsidRPr="007337A7">
        <w:t>s</w:t>
      </w:r>
      <w:r w:rsidR="00A70929" w:rsidRPr="007337A7">
        <w:t>. This has led</w:t>
      </w:r>
      <w:r w:rsidR="00DA319B" w:rsidRPr="007337A7">
        <w:t xml:space="preserve"> to </w:t>
      </w:r>
      <w:r w:rsidR="00A70929" w:rsidRPr="007337A7">
        <w:t xml:space="preserve">several documented </w:t>
      </w:r>
      <w:r w:rsidR="00C07A68" w:rsidRPr="007337A7">
        <w:t>instances</w:t>
      </w:r>
      <w:r w:rsidR="00A70929" w:rsidRPr="007337A7">
        <w:t xml:space="preserve"> of </w:t>
      </w:r>
      <w:r w:rsidR="00DA319B" w:rsidRPr="007337A7">
        <w:t>late or missed diagnosis</w:t>
      </w:r>
      <w:r w:rsidR="00A70929" w:rsidRPr="007337A7">
        <w:t xml:space="preserve"> of </w:t>
      </w:r>
      <w:r w:rsidR="00CD7CC0" w:rsidRPr="007337A7">
        <w:t>these serious underlying health problems</w:t>
      </w:r>
      <w:r w:rsidR="00DA319B" w:rsidRPr="007337A7">
        <w:t xml:space="preserve">. </w:t>
      </w:r>
    </w:p>
    <w:p w14:paraId="711AA0A0" w14:textId="2836ABE8" w:rsidR="004A7BF8" w:rsidRPr="007337A7" w:rsidRDefault="00B33E4D" w:rsidP="007337A7">
      <w:r w:rsidRPr="007337A7">
        <w:t xml:space="preserve">Media reports have highlighted injuries caused by IPLs and lasers </w:t>
      </w:r>
      <w:r w:rsidR="00970FF3" w:rsidRPr="007337A7">
        <w:t xml:space="preserve">resulting from incorrectly applied </w:t>
      </w:r>
      <w:r w:rsidR="000F217F" w:rsidRPr="007337A7">
        <w:t>treatments</w:t>
      </w:r>
      <w:r w:rsidRPr="007337A7">
        <w:t>. Th</w:t>
      </w:r>
      <w:r w:rsidR="004A6415" w:rsidRPr="007337A7">
        <w:t>ese</w:t>
      </w:r>
      <w:r w:rsidRPr="007337A7">
        <w:t xml:space="preserve"> ha</w:t>
      </w:r>
      <w:r w:rsidR="004A6415" w:rsidRPr="007337A7">
        <w:t>ve</w:t>
      </w:r>
      <w:r w:rsidRPr="007337A7">
        <w:t xml:space="preserve"> been accompanied by repeated calls for regulation of the industry.</w:t>
      </w:r>
      <w:r w:rsidR="000F217F" w:rsidRPr="007337A7">
        <w:t xml:space="preserve"> In 2012 a </w:t>
      </w:r>
      <w:r w:rsidR="00286A34" w:rsidRPr="007337A7">
        <w:t xml:space="preserve">Laser/IPL </w:t>
      </w:r>
      <w:r w:rsidR="000F217F" w:rsidRPr="007337A7">
        <w:t xml:space="preserve">working group </w:t>
      </w:r>
      <w:r w:rsidR="00286A34" w:rsidRPr="007337A7">
        <w:t xml:space="preserve">(working group) </w:t>
      </w:r>
      <w:r w:rsidR="000F217F" w:rsidRPr="007337A7">
        <w:t xml:space="preserve">was established by the Radiation Health Committee (RHC) to examine the options for how </w:t>
      </w:r>
      <w:r w:rsidR="00970FF3" w:rsidRPr="007337A7">
        <w:t xml:space="preserve">promote the safe use of </w:t>
      </w:r>
      <w:r w:rsidR="000F217F" w:rsidRPr="007337A7">
        <w:t>cosmetic lasers and IPLs in the industry. Initially</w:t>
      </w:r>
      <w:r w:rsidR="008723EE" w:rsidRPr="007337A7">
        <w:t>,</w:t>
      </w:r>
      <w:r w:rsidR="000F217F" w:rsidRPr="007337A7">
        <w:t xml:space="preserve"> </w:t>
      </w:r>
      <w:r w:rsidR="004116B9" w:rsidRPr="007337A7">
        <w:t xml:space="preserve">the </w:t>
      </w:r>
      <w:r w:rsidR="000F217F" w:rsidRPr="007337A7">
        <w:t>working group developed an online survey which was responded to by an estimated 10</w:t>
      </w:r>
      <w:r w:rsidR="00286A34" w:rsidRPr="007337A7">
        <w:t xml:space="preserve"> %</w:t>
      </w:r>
      <w:r w:rsidR="00970FF3" w:rsidRPr="007337A7">
        <w:t xml:space="preserve"> </w:t>
      </w:r>
      <w:r w:rsidR="000F217F" w:rsidRPr="007337A7">
        <w:t>of the industry</w:t>
      </w:r>
      <w:r w:rsidR="00CB3C4A" w:rsidRPr="007337A7">
        <w:t>.</w:t>
      </w:r>
      <w:r w:rsidR="000F217F" w:rsidRPr="007337A7">
        <w:t xml:space="preserve"> The survey identified 416 cases of injury over the previous </w:t>
      </w:r>
      <w:r w:rsidR="00FC30DD">
        <w:t>twelve</w:t>
      </w:r>
      <w:r w:rsidR="000F217F" w:rsidRPr="007337A7">
        <w:t xml:space="preserve"> months with 268 injuries being classified as severe. There were 62 </w:t>
      </w:r>
      <w:r w:rsidR="00A11047" w:rsidRPr="007337A7">
        <w:t xml:space="preserve">reported </w:t>
      </w:r>
      <w:r w:rsidR="000F217F" w:rsidRPr="007337A7">
        <w:t>cases where the diagnosis of skin cancer was delayed or missed and in 22 of those cases the cancer was identified as melanoma. Although this data was limited</w:t>
      </w:r>
      <w:r w:rsidR="008723EE" w:rsidRPr="007337A7">
        <w:t>,</w:t>
      </w:r>
      <w:r w:rsidR="000F217F" w:rsidRPr="007337A7">
        <w:t xml:space="preserve"> the </w:t>
      </w:r>
      <w:r w:rsidR="00A7581E" w:rsidRPr="007337A7">
        <w:t xml:space="preserve">survey </w:t>
      </w:r>
      <w:r w:rsidR="000F217F" w:rsidRPr="007337A7">
        <w:t xml:space="preserve">report was used to provide further guidance to </w:t>
      </w:r>
      <w:r w:rsidR="00E951B5" w:rsidRPr="007337A7">
        <w:t>prepare</w:t>
      </w:r>
      <w:r w:rsidR="000F217F" w:rsidRPr="007337A7">
        <w:t xml:space="preserve"> a </w:t>
      </w:r>
      <w:r w:rsidR="00F06265" w:rsidRPr="007337A7">
        <w:t>Consultation Regulatory Impact Statement (RIS) in the use of Intense Pulsed Light (IPLs) Sources and Lasers for Cosmetic or Beauty Therapy (Consultation RIS)</w:t>
      </w:r>
      <w:r w:rsidR="00CB3C4A" w:rsidRPr="007337A7">
        <w:t xml:space="preserve"> (</w:t>
      </w:r>
      <w:r w:rsidR="00F94ADB" w:rsidRPr="007337A7">
        <w:t>ARPANSA 2015</w:t>
      </w:r>
      <w:r w:rsidR="00CB3C4A" w:rsidRPr="007337A7">
        <w:t>).</w:t>
      </w:r>
    </w:p>
    <w:p w14:paraId="25910F3D" w14:textId="77777777" w:rsidR="001B4ED0" w:rsidRPr="000772BA" w:rsidRDefault="000772BA" w:rsidP="000772BA">
      <w:pPr>
        <w:pStyle w:val="Heading2"/>
      </w:pPr>
      <w:bookmarkStart w:id="6" w:name="_Toc478567666"/>
      <w:r>
        <w:t>C</w:t>
      </w:r>
      <w:r w:rsidR="001B4ED0" w:rsidRPr="000772BA">
        <w:t xml:space="preserve">urrent </w:t>
      </w:r>
      <w:r w:rsidR="00EF1B74">
        <w:t>r</w:t>
      </w:r>
      <w:r w:rsidR="001B4ED0" w:rsidRPr="000772BA">
        <w:t xml:space="preserve">egulatory </w:t>
      </w:r>
      <w:r w:rsidR="00EF1B74">
        <w:t>f</w:t>
      </w:r>
      <w:r w:rsidR="001B4ED0" w:rsidRPr="000772BA">
        <w:t>ramework</w:t>
      </w:r>
      <w:bookmarkEnd w:id="6"/>
    </w:p>
    <w:p w14:paraId="49026D67" w14:textId="49C835F1" w:rsidR="00A7581E" w:rsidRDefault="00B33E4D" w:rsidP="007337A7">
      <w:r w:rsidRPr="001E427D">
        <w:t xml:space="preserve">Currently, lasers used for cosmetic purposes are regulated in Queensland, Western Australia and Tasmania, and IPLs are regulated in Tasmania. The regulations in each of these states </w:t>
      </w:r>
      <w:r w:rsidR="0097327A">
        <w:t xml:space="preserve">are not the same. </w:t>
      </w:r>
      <w:r w:rsidR="00B15E75">
        <w:t xml:space="preserve">Both registered medical practitioners and non-medical operators </w:t>
      </w:r>
      <w:r w:rsidR="00B9583C" w:rsidRPr="001E427D">
        <w:t>in</w:t>
      </w:r>
      <w:r w:rsidR="00B9583C">
        <w:t xml:space="preserve"> Tasmania and Queensland need a licence to operate lasers for cosmetic purposes. In Tasmania a licence is also required to operate an IPL</w:t>
      </w:r>
      <w:r w:rsidR="00B15E75">
        <w:t xml:space="preserve"> device for cosmetic treatments</w:t>
      </w:r>
      <w:r w:rsidR="00B9583C">
        <w:t xml:space="preserve">. </w:t>
      </w:r>
      <w:r w:rsidR="002652B2">
        <w:t xml:space="preserve">In </w:t>
      </w:r>
      <w:r w:rsidR="00B15E75">
        <w:t>Queensland</w:t>
      </w:r>
      <w:r w:rsidR="002652B2">
        <w:t xml:space="preserve"> non-medical </w:t>
      </w:r>
      <w:r w:rsidR="00A87CE1">
        <w:t>operators</w:t>
      </w:r>
      <w:r w:rsidR="00B15E75">
        <w:t xml:space="preserve"> </w:t>
      </w:r>
      <w:r w:rsidR="002652B2">
        <w:t>must be supervised by a registered medical practitioner</w:t>
      </w:r>
      <w:r w:rsidR="00B15E75">
        <w:t xml:space="preserve"> for all procedures except for hair removal where they are required </w:t>
      </w:r>
      <w:r w:rsidR="00A87CE1">
        <w:t>to follow the advice of a registered medical practitioner</w:t>
      </w:r>
      <w:r w:rsidR="002652B2">
        <w:t xml:space="preserve">. </w:t>
      </w:r>
      <w:r w:rsidR="00A87CE1">
        <w:t xml:space="preserve">In Tasmania, there is a requirement for non-medical operators to have a documented association with a registered medical practitioner for the purposes of pre and post consultation </w:t>
      </w:r>
      <w:r w:rsidR="00586D10">
        <w:t xml:space="preserve">with </w:t>
      </w:r>
      <w:r w:rsidR="00A87CE1">
        <w:t>clients</w:t>
      </w:r>
      <w:r w:rsidR="004D257A">
        <w:t xml:space="preserve"> if required</w:t>
      </w:r>
      <w:r w:rsidR="00A87CE1">
        <w:t xml:space="preserve">. </w:t>
      </w:r>
      <w:r w:rsidR="00B9583C">
        <w:t xml:space="preserve">In Western Australia, </w:t>
      </w:r>
      <w:r w:rsidR="002652B2">
        <w:t xml:space="preserve">all </w:t>
      </w:r>
      <w:r w:rsidR="00B9583C">
        <w:t>operators of laser devices must be registered medical practitioners</w:t>
      </w:r>
      <w:r w:rsidR="004A6415">
        <w:t xml:space="preserve">, however, non-medical </w:t>
      </w:r>
      <w:r w:rsidR="00A87CE1">
        <w:t>operators</w:t>
      </w:r>
      <w:r w:rsidR="004A6415">
        <w:t xml:space="preserve"> may use the lasers under the direction of a </w:t>
      </w:r>
      <w:r w:rsidR="00A87CE1">
        <w:t xml:space="preserve">registered </w:t>
      </w:r>
      <w:r w:rsidR="004A6415">
        <w:t xml:space="preserve">medical </w:t>
      </w:r>
      <w:r w:rsidR="00A87CE1">
        <w:t>practitioner</w:t>
      </w:r>
      <w:r w:rsidR="00B9583C">
        <w:t>.</w:t>
      </w:r>
      <w:r w:rsidR="002652B2">
        <w:t xml:space="preserve"> </w:t>
      </w:r>
      <w:r w:rsidR="00B9583C">
        <w:t xml:space="preserve">The remaining </w:t>
      </w:r>
      <w:r w:rsidR="002F594C">
        <w:t>s</w:t>
      </w:r>
      <w:r w:rsidR="00B9583C">
        <w:t xml:space="preserve">tate or </w:t>
      </w:r>
      <w:r w:rsidR="002F594C">
        <w:t>t</w:t>
      </w:r>
      <w:r w:rsidR="00B9583C">
        <w:t>erritory jurisdictions have not introduced re</w:t>
      </w:r>
      <w:r w:rsidR="00CB68E6">
        <w:t>gulatory framework</w:t>
      </w:r>
      <w:r w:rsidR="004A6415">
        <w:t>s</w:t>
      </w:r>
      <w:r w:rsidR="00CB68E6">
        <w:t xml:space="preserve"> for oversight </w:t>
      </w:r>
      <w:r w:rsidR="00FF2A23">
        <w:t>of</w:t>
      </w:r>
      <w:r w:rsidR="00CB68E6">
        <w:t xml:space="preserve"> the</w:t>
      </w:r>
      <w:r w:rsidR="00B9583C">
        <w:t xml:space="preserve"> use of lasers and IPLs</w:t>
      </w:r>
      <w:r w:rsidR="00CB68E6">
        <w:t xml:space="preserve"> for beauty therapy and cosmetic treatments</w:t>
      </w:r>
      <w:r w:rsidR="00B9583C">
        <w:t>.</w:t>
      </w:r>
    </w:p>
    <w:p w14:paraId="7D2BE4E0" w14:textId="4892DC43" w:rsidR="004A1C92" w:rsidRDefault="000772BA" w:rsidP="004A1C92">
      <w:pPr>
        <w:pStyle w:val="Heading2"/>
      </w:pPr>
      <w:bookmarkStart w:id="7" w:name="_Toc478567667"/>
      <w:r>
        <w:t>O</w:t>
      </w:r>
      <w:r w:rsidR="004A1C92">
        <w:t xml:space="preserve">ptions </w:t>
      </w:r>
      <w:r w:rsidR="00EF1B74">
        <w:t>p</w:t>
      </w:r>
      <w:r w:rsidR="004A1C92">
        <w:t xml:space="preserve">resented in the </w:t>
      </w:r>
      <w:r w:rsidR="00EE4ABB">
        <w:t>C</w:t>
      </w:r>
      <w:r w:rsidR="004A1C92">
        <w:t>onsultation RIS</w:t>
      </w:r>
      <w:bookmarkEnd w:id="7"/>
    </w:p>
    <w:p w14:paraId="17F86B20" w14:textId="77777777" w:rsidR="00987D21" w:rsidRDefault="00B71705" w:rsidP="007337A7">
      <w:r>
        <w:t xml:space="preserve">Stakeholders were invited to consider and submit comments on </w:t>
      </w:r>
      <w:r w:rsidR="00870787">
        <w:t xml:space="preserve">three options for oversight of the industry to </w:t>
      </w:r>
      <w:r w:rsidR="00870787" w:rsidRPr="001E427D">
        <w:t>implement</w:t>
      </w:r>
      <w:r w:rsidR="00870787">
        <w:t>.</w:t>
      </w:r>
      <w:r>
        <w:t xml:space="preserve"> These options were:</w:t>
      </w:r>
    </w:p>
    <w:p w14:paraId="303266F2" w14:textId="77777777" w:rsidR="004116B9" w:rsidRPr="001E427D" w:rsidRDefault="00987D21" w:rsidP="001E427D">
      <w:pPr>
        <w:pStyle w:val="Heading3"/>
      </w:pPr>
      <w:r w:rsidRPr="001E427D">
        <w:t>Status quo</w:t>
      </w:r>
      <w:r w:rsidR="00FC4DA9" w:rsidRPr="001E427D">
        <w:t xml:space="preserve"> – no changes to current national practices</w:t>
      </w:r>
      <w:r w:rsidRPr="001E427D">
        <w:t>:</w:t>
      </w:r>
    </w:p>
    <w:p w14:paraId="18A40DDC" w14:textId="04118927" w:rsidR="00987D21" w:rsidRPr="00E12094" w:rsidRDefault="00B71705" w:rsidP="007337A7">
      <w:pPr>
        <w:rPr>
          <w:spacing w:val="-2"/>
        </w:rPr>
      </w:pPr>
      <w:r w:rsidRPr="00E12094">
        <w:rPr>
          <w:spacing w:val="-2"/>
        </w:rPr>
        <w:t xml:space="preserve">This was </w:t>
      </w:r>
      <w:r w:rsidR="00E951B5" w:rsidRPr="00E12094">
        <w:rPr>
          <w:spacing w:val="-2"/>
        </w:rPr>
        <w:t>presented as the current status in the industry</w:t>
      </w:r>
      <w:r w:rsidRPr="00E12094">
        <w:rPr>
          <w:spacing w:val="-2"/>
        </w:rPr>
        <w:t xml:space="preserve"> for stakeholders </w:t>
      </w:r>
      <w:r w:rsidR="00B10A0B" w:rsidRPr="00E12094">
        <w:rPr>
          <w:spacing w:val="-2"/>
        </w:rPr>
        <w:t>who</w:t>
      </w:r>
      <w:r w:rsidRPr="00E12094">
        <w:rPr>
          <w:spacing w:val="-2"/>
        </w:rPr>
        <w:t xml:space="preserve"> believed no changes to current practices were necessary. This option would leave</w:t>
      </w:r>
      <w:r w:rsidR="00B10A0B" w:rsidRPr="00E12094">
        <w:rPr>
          <w:spacing w:val="-2"/>
        </w:rPr>
        <w:t xml:space="preserve"> in place the current situation of </w:t>
      </w:r>
      <w:r w:rsidR="004A6415" w:rsidRPr="00E12094">
        <w:rPr>
          <w:spacing w:val="-2"/>
        </w:rPr>
        <w:t>different regulatory expectations of the industry across the country</w:t>
      </w:r>
      <w:r w:rsidR="00B10A0B" w:rsidRPr="00E12094">
        <w:rPr>
          <w:spacing w:val="-2"/>
        </w:rPr>
        <w:t xml:space="preserve">. The only </w:t>
      </w:r>
      <w:r w:rsidR="004A6415" w:rsidRPr="00E12094">
        <w:rPr>
          <w:spacing w:val="-2"/>
        </w:rPr>
        <w:t xml:space="preserve">common </w:t>
      </w:r>
      <w:r w:rsidR="00B10A0B" w:rsidRPr="00E12094">
        <w:rPr>
          <w:spacing w:val="-2"/>
        </w:rPr>
        <w:t xml:space="preserve">recourse available to consumers who </w:t>
      </w:r>
      <w:r w:rsidR="004A6415" w:rsidRPr="00E12094">
        <w:rPr>
          <w:spacing w:val="-2"/>
        </w:rPr>
        <w:t>are</w:t>
      </w:r>
      <w:r w:rsidR="00B10A0B" w:rsidRPr="00E12094">
        <w:rPr>
          <w:spacing w:val="-2"/>
        </w:rPr>
        <w:t xml:space="preserve"> injured as a result of incorrect treatments would be </w:t>
      </w:r>
      <w:r w:rsidR="0069613B" w:rsidRPr="00E12094">
        <w:rPr>
          <w:spacing w:val="-2"/>
        </w:rPr>
        <w:t xml:space="preserve">legal in nature </w:t>
      </w:r>
      <w:r w:rsidR="00B10A0B" w:rsidRPr="00E12094">
        <w:rPr>
          <w:spacing w:val="-2"/>
        </w:rPr>
        <w:t>under consumer laws.</w:t>
      </w:r>
    </w:p>
    <w:p w14:paraId="68B47062" w14:textId="058EE66B" w:rsidR="00AE47DE" w:rsidRPr="00694949" w:rsidRDefault="00051092" w:rsidP="00694949">
      <w:pPr>
        <w:pStyle w:val="Heading4"/>
      </w:pPr>
      <w:r w:rsidRPr="00694949">
        <w:t xml:space="preserve">Option 1 </w:t>
      </w:r>
      <w:r w:rsidR="00694949">
        <w:rPr>
          <w:rFonts w:ascii="Times New Roman" w:hAnsi="Times New Roman" w:cs="Times New Roman"/>
        </w:rPr>
        <w:t>–</w:t>
      </w:r>
      <w:r w:rsidR="00987D21" w:rsidRPr="00694949">
        <w:t xml:space="preserve"> </w:t>
      </w:r>
      <w:r w:rsidRPr="00694949">
        <w:t>Educational Awareness:</w:t>
      </w:r>
    </w:p>
    <w:p w14:paraId="6D485A08" w14:textId="77777777" w:rsidR="00987D21" w:rsidRPr="00930FEC" w:rsidRDefault="00B10A0B" w:rsidP="007337A7">
      <w:r>
        <w:t>In this option</w:t>
      </w:r>
      <w:r w:rsidR="0009610E">
        <w:t>,</w:t>
      </w:r>
      <w:r>
        <w:t xml:space="preserve"> </w:t>
      </w:r>
      <w:r w:rsidR="00987D21">
        <w:t>e</w:t>
      </w:r>
      <w:r w:rsidR="00987D21" w:rsidRPr="00930FEC">
        <w:t>ducational awareness</w:t>
      </w:r>
      <w:r w:rsidR="0069613B">
        <w:t xml:space="preserve"> would be promoted by the use of factsheets</w:t>
      </w:r>
      <w:r w:rsidR="00EA69B8">
        <w:t>,</w:t>
      </w:r>
      <w:r w:rsidR="0069613B">
        <w:t xml:space="preserve"> brochures</w:t>
      </w:r>
      <w:r w:rsidR="00EA69B8">
        <w:t xml:space="preserve"> and public health campaigns</w:t>
      </w:r>
      <w:r w:rsidR="0069613B">
        <w:t xml:space="preserve"> aimed at making the general public more aware of the risks involved in the range of treatments </w:t>
      </w:r>
      <w:r w:rsidR="0069613B" w:rsidRPr="001E427D">
        <w:t>offered</w:t>
      </w:r>
      <w:r w:rsidR="0069613B">
        <w:t xml:space="preserve">. The advice would focus on </w:t>
      </w:r>
      <w:r w:rsidR="00DD4B0A">
        <w:t xml:space="preserve">aspects such as </w:t>
      </w:r>
      <w:r w:rsidR="0069613B">
        <w:t>appropriate operator training for certain procedures, hazards from laser and IPL radiations, medical clearance for treatment of pigmented lesions</w:t>
      </w:r>
      <w:r w:rsidR="00DD4B0A">
        <w:t xml:space="preserve">, </w:t>
      </w:r>
      <w:r w:rsidR="00CD7C7D">
        <w:t>quality of the</w:t>
      </w:r>
      <w:r w:rsidR="00EA69B8">
        <w:t xml:space="preserve"> treatment</w:t>
      </w:r>
      <w:r w:rsidR="00CD7C7D">
        <w:t xml:space="preserve"> devices used, </w:t>
      </w:r>
      <w:r w:rsidR="00DD4B0A">
        <w:t>etc.</w:t>
      </w:r>
      <w:r w:rsidR="00EA69B8">
        <w:t xml:space="preserve"> This option still relies on legal recourses for any injuries sustained from incorrect treatments.</w:t>
      </w:r>
    </w:p>
    <w:p w14:paraId="0BB2DD78" w14:textId="4708C47A" w:rsidR="00AE47DE" w:rsidRDefault="00051092" w:rsidP="00694949">
      <w:pPr>
        <w:pStyle w:val="Heading4"/>
      </w:pPr>
      <w:r w:rsidRPr="00FC4DA9">
        <w:t xml:space="preserve">Option 2 </w:t>
      </w:r>
      <w:r w:rsidR="00694949">
        <w:rPr>
          <w:rFonts w:ascii="Times New Roman" w:hAnsi="Times New Roman" w:cs="Times New Roman"/>
        </w:rPr>
        <w:t>–</w:t>
      </w:r>
      <w:r w:rsidRPr="00FC4DA9">
        <w:t xml:space="preserve"> Self-Regulation by Industry/Industry Accreditation Scheme:</w:t>
      </w:r>
    </w:p>
    <w:p w14:paraId="67E7021C" w14:textId="0DEBEE97" w:rsidR="00357848" w:rsidRPr="00357848" w:rsidRDefault="00051092" w:rsidP="007337A7">
      <w:r>
        <w:t xml:space="preserve">This option requires operators to develop </w:t>
      </w:r>
      <w:r w:rsidR="00934D73">
        <w:t xml:space="preserve">guidance </w:t>
      </w:r>
      <w:r w:rsidR="0009610E">
        <w:t xml:space="preserve">material </w:t>
      </w:r>
      <w:r w:rsidR="00934D73">
        <w:t>that</w:t>
      </w:r>
      <w:r>
        <w:t xml:space="preserve"> govern</w:t>
      </w:r>
      <w:r w:rsidR="00934D73">
        <w:t>s</w:t>
      </w:r>
      <w:r>
        <w:t xml:space="preserve"> </w:t>
      </w:r>
      <w:r w:rsidR="00B5551B">
        <w:t xml:space="preserve">good </w:t>
      </w:r>
      <w:r>
        <w:t>practice in the use of lasers and IPLs across the industry</w:t>
      </w:r>
      <w:r w:rsidR="00934D73">
        <w:t xml:space="preserve">. </w:t>
      </w:r>
      <w:r w:rsidR="00934D73" w:rsidRPr="001E427D">
        <w:t>This</w:t>
      </w:r>
      <w:r w:rsidR="00934D73">
        <w:t xml:space="preserve"> guidance </w:t>
      </w:r>
      <w:r w:rsidR="0009610E">
        <w:t xml:space="preserve">material </w:t>
      </w:r>
      <w:r w:rsidR="00934D73">
        <w:t xml:space="preserve">would then form the basis for a voluntary accreditation scheme. The standards employed would have to be agreed </w:t>
      </w:r>
      <w:r w:rsidR="00F37A3C">
        <w:t>to and consistently implemented by the various sectors of the industry. However, a</w:t>
      </w:r>
      <w:r w:rsidR="00934D73">
        <w:t xml:space="preserve">ccreditation </w:t>
      </w:r>
      <w:r w:rsidR="00F37A3C">
        <w:t>would</w:t>
      </w:r>
      <w:r w:rsidR="00934D73">
        <w:t xml:space="preserve"> not</w:t>
      </w:r>
      <w:r w:rsidR="00F37A3C">
        <w:t xml:space="preserve"> be</w:t>
      </w:r>
      <w:r w:rsidR="00934D73">
        <w:t xml:space="preserve"> mandatory under this scheme</w:t>
      </w:r>
      <w:r w:rsidR="00661A55">
        <w:t>. At best</w:t>
      </w:r>
      <w:r w:rsidR="0009610E">
        <w:t>,</w:t>
      </w:r>
      <w:r w:rsidR="00661A55">
        <w:t xml:space="preserve"> it may serve as a point of reference for the public and deter a number of consumers from seeking treatment from providers that have not been accredited. The guidance itself would cover aspects of practice similar to those outlined in Option 1.</w:t>
      </w:r>
    </w:p>
    <w:p w14:paraId="2448CAE2" w14:textId="0E12BF6F" w:rsidR="00AE47DE" w:rsidRDefault="00357848" w:rsidP="00694949">
      <w:pPr>
        <w:pStyle w:val="Heading4"/>
      </w:pPr>
      <w:r w:rsidRPr="00FC4DA9">
        <w:t xml:space="preserve">Option 3 </w:t>
      </w:r>
      <w:r w:rsidR="00694949">
        <w:rPr>
          <w:rFonts w:ascii="Times New Roman" w:hAnsi="Times New Roman" w:cs="Times New Roman"/>
        </w:rPr>
        <w:t>–</w:t>
      </w:r>
      <w:r w:rsidRPr="00FC4DA9">
        <w:t xml:space="preserve"> Licensing (or Registration) of Service P</w:t>
      </w:r>
      <w:r w:rsidR="00987D21" w:rsidRPr="00FC4DA9">
        <w:t>roviders</w:t>
      </w:r>
      <w:r w:rsidRPr="00FC4DA9">
        <w:t>:</w:t>
      </w:r>
    </w:p>
    <w:p w14:paraId="179C0A5C" w14:textId="35147582" w:rsidR="00357848" w:rsidRDefault="00357848" w:rsidP="00624EA7">
      <w:r w:rsidRPr="00357848">
        <w:t>Under these conditions</w:t>
      </w:r>
      <w:r w:rsidR="00E628E8">
        <w:t xml:space="preserve"> only operators with appropriate training and experience </w:t>
      </w:r>
      <w:r w:rsidR="000B1AE9">
        <w:t xml:space="preserve">would </w:t>
      </w:r>
      <w:r w:rsidR="00E628E8">
        <w:t xml:space="preserve">be able to apply laser and IPL treatments to patients. Treatment types </w:t>
      </w:r>
      <w:r w:rsidR="000B1AE9">
        <w:t>would be</w:t>
      </w:r>
      <w:r w:rsidR="00E628E8">
        <w:t xml:space="preserve"> divided into categories where the training requirements differ depending on the treatment type to be administered. For example, more complex procedures such as skin resurfacing and tattoo removal would be restricted to registered medical practitioners </w:t>
      </w:r>
      <w:r w:rsidR="00E628E8" w:rsidRPr="00624EA7">
        <w:rPr>
          <w:rFonts w:ascii="Calibri" w:hAnsi="Calibri"/>
        </w:rPr>
        <w:t>or</w:t>
      </w:r>
      <w:r w:rsidR="00E628E8">
        <w:t xml:space="preserve"> clinicians working under their supervision.</w:t>
      </w:r>
      <w:r w:rsidR="00C16C84">
        <w:t xml:space="preserve"> Licensing would be based entirely on </w:t>
      </w:r>
      <w:r w:rsidR="00E641D0">
        <w:t xml:space="preserve">qualification and </w:t>
      </w:r>
      <w:r w:rsidR="00C16C84">
        <w:t>the level of training and experience</w:t>
      </w:r>
      <w:r w:rsidR="00E641D0">
        <w:t xml:space="preserve"> needed for each category of treatment. </w:t>
      </w:r>
      <w:r w:rsidR="00870787">
        <w:t xml:space="preserve">The base level of qualification required to apply any treatment would be at </w:t>
      </w:r>
      <w:r w:rsidR="00F94ADB">
        <w:t>L</w:t>
      </w:r>
      <w:r w:rsidR="00870787">
        <w:t>evel 7</w:t>
      </w:r>
      <w:r w:rsidR="00F94ADB">
        <w:t xml:space="preserve"> (bachelor degree)</w:t>
      </w:r>
      <w:r w:rsidR="00870787">
        <w:t xml:space="preserve"> </w:t>
      </w:r>
      <w:r w:rsidR="00F94ADB">
        <w:t>in accordance with</w:t>
      </w:r>
      <w:r w:rsidR="00870787">
        <w:t xml:space="preserve"> the Australian Qualification Fram</w:t>
      </w:r>
      <w:r w:rsidR="00F94ADB">
        <w:t>e</w:t>
      </w:r>
      <w:r w:rsidR="00870787">
        <w:t>work</w:t>
      </w:r>
      <w:r w:rsidR="00F94ADB">
        <w:t xml:space="preserve">. </w:t>
      </w:r>
      <w:r w:rsidR="00E641D0">
        <w:t>Clearance from medical professionals would also be mandatory before tre</w:t>
      </w:r>
      <w:r w:rsidR="006C7F22">
        <w:t xml:space="preserve">atment of any pigmented </w:t>
      </w:r>
      <w:r w:rsidR="006C7F22" w:rsidRPr="00F94ADB">
        <w:t>lesions</w:t>
      </w:r>
      <w:r w:rsidR="00C411D5" w:rsidRPr="00F94ADB">
        <w:t xml:space="preserve"> </w:t>
      </w:r>
      <w:r w:rsidR="00E641D0" w:rsidRPr="00F94ADB">
        <w:t>(</w:t>
      </w:r>
      <w:r w:rsidR="00F94ADB" w:rsidRPr="00F94ADB">
        <w:t>ARPANSA 2015</w:t>
      </w:r>
      <w:r w:rsidR="00E641D0" w:rsidRPr="00F94ADB">
        <w:t>).</w:t>
      </w:r>
      <w:r w:rsidR="006C7F22">
        <w:t xml:space="preserve"> The adoption of this option by all Australian jurisdictions would result in </w:t>
      </w:r>
      <w:r w:rsidR="000B1AE9">
        <w:t>uniform standards and regulatory expectations</w:t>
      </w:r>
      <w:r w:rsidR="00B9245B">
        <w:t xml:space="preserve"> </w:t>
      </w:r>
      <w:r w:rsidR="006C7F22">
        <w:t>acros</w:t>
      </w:r>
      <w:r w:rsidR="00B9245B">
        <w:t>s</w:t>
      </w:r>
      <w:r w:rsidR="006C7F22">
        <w:t xml:space="preserve"> the entire industry.</w:t>
      </w:r>
    </w:p>
    <w:p w14:paraId="58461F1F" w14:textId="667569AC" w:rsidR="00256DC9" w:rsidRDefault="00256DC9" w:rsidP="006B38EF">
      <w:pPr>
        <w:pStyle w:val="Heading2"/>
      </w:pPr>
      <w:bookmarkStart w:id="8" w:name="_Toc478567668"/>
      <w:r>
        <w:t xml:space="preserve">Objectives of </w:t>
      </w:r>
      <w:r w:rsidR="00EE4ABB">
        <w:t>C</w:t>
      </w:r>
      <w:r w:rsidR="0033623A">
        <w:t xml:space="preserve">onsultation </w:t>
      </w:r>
      <w:r w:rsidR="00176504">
        <w:t>RIS</w:t>
      </w:r>
      <w:bookmarkEnd w:id="8"/>
    </w:p>
    <w:p w14:paraId="1524CED7" w14:textId="77777777" w:rsidR="00A91326" w:rsidRDefault="0033623A" w:rsidP="00E12094">
      <w:r>
        <w:t>The objective</w:t>
      </w:r>
      <w:r w:rsidR="007B3AD0">
        <w:t>s</w:t>
      </w:r>
      <w:r>
        <w:t xml:space="preserve"> of the regulatory impact statement released fo</w:t>
      </w:r>
      <w:r w:rsidR="00A91326">
        <w:t>r public comment in 2015 w</w:t>
      </w:r>
      <w:r w:rsidR="007B3AD0">
        <w:t>ere</w:t>
      </w:r>
      <w:r w:rsidR="001E427D">
        <w:t xml:space="preserve"> to:</w:t>
      </w:r>
    </w:p>
    <w:p w14:paraId="401FDB22" w14:textId="604B6AF4" w:rsidR="00A91326" w:rsidRPr="007337A7" w:rsidRDefault="00F66CB1" w:rsidP="00E12094">
      <w:pPr>
        <w:pStyle w:val="ListParagraph"/>
      </w:pPr>
      <w:r>
        <w:t>o</w:t>
      </w:r>
      <w:r w:rsidR="0033623A">
        <w:t>utline th</w:t>
      </w:r>
      <w:r w:rsidR="0033623A" w:rsidRPr="007337A7">
        <w:t xml:space="preserve">e real and perceived </w:t>
      </w:r>
      <w:r w:rsidR="00A91326" w:rsidRPr="007337A7">
        <w:t xml:space="preserve">health risks </w:t>
      </w:r>
      <w:r w:rsidR="0033623A" w:rsidRPr="007337A7">
        <w:t xml:space="preserve">associated with the lack of national consistency </w:t>
      </w:r>
      <w:r w:rsidR="00A91326" w:rsidRPr="007337A7">
        <w:t xml:space="preserve">in the standards applied for the use of </w:t>
      </w:r>
      <w:r w:rsidR="0033623A" w:rsidRPr="007337A7">
        <w:t xml:space="preserve">lasers and IPLs </w:t>
      </w:r>
      <w:r w:rsidRPr="007337A7">
        <w:t>in beauty and cosmetic therapy</w:t>
      </w:r>
    </w:p>
    <w:p w14:paraId="212676B4" w14:textId="48530A00" w:rsidR="007B3AD0" w:rsidRPr="007337A7" w:rsidRDefault="00F66CB1" w:rsidP="00E12094">
      <w:pPr>
        <w:pStyle w:val="ListParagraph"/>
      </w:pPr>
      <w:r w:rsidRPr="007337A7">
        <w:t>p</w:t>
      </w:r>
      <w:r w:rsidR="00AC4A5C" w:rsidRPr="007337A7">
        <w:t>romote a nationally consistent approach to the delivery of services in the industry</w:t>
      </w:r>
    </w:p>
    <w:p w14:paraId="5BA49894" w14:textId="34B38967" w:rsidR="007B3AD0" w:rsidRPr="007337A7" w:rsidRDefault="00F66CB1" w:rsidP="00E12094">
      <w:pPr>
        <w:pStyle w:val="ListParagraph"/>
      </w:pPr>
      <w:r w:rsidRPr="007337A7">
        <w:t>g</w:t>
      </w:r>
      <w:r w:rsidR="007B3AD0" w:rsidRPr="007337A7">
        <w:t xml:space="preserve">ather </w:t>
      </w:r>
      <w:r w:rsidR="003C5D6E" w:rsidRPr="007337A7">
        <w:t>additional</w:t>
      </w:r>
      <w:r w:rsidR="007B3AD0" w:rsidRPr="007337A7">
        <w:t xml:space="preserve"> information about </w:t>
      </w:r>
      <w:r w:rsidR="003C5D6E" w:rsidRPr="007337A7">
        <w:t>current practices</w:t>
      </w:r>
      <w:r w:rsidR="007632C2" w:rsidRPr="007337A7">
        <w:t>,</w:t>
      </w:r>
      <w:r w:rsidR="003C5D6E" w:rsidRPr="007337A7">
        <w:t xml:space="preserve"> stakeholder </w:t>
      </w:r>
      <w:r w:rsidR="007B3AD0" w:rsidRPr="007337A7">
        <w:t>views and experience across Australian juris</w:t>
      </w:r>
      <w:r w:rsidRPr="007337A7">
        <w:t>dictions</w:t>
      </w:r>
    </w:p>
    <w:p w14:paraId="547E40A7" w14:textId="66AB015E" w:rsidR="0033623A" w:rsidRPr="007337A7" w:rsidRDefault="00F66CB1" w:rsidP="00E12094">
      <w:pPr>
        <w:pStyle w:val="ListParagraph"/>
      </w:pPr>
      <w:r w:rsidRPr="007337A7">
        <w:t>i</w:t>
      </w:r>
      <w:r w:rsidR="007B3AD0" w:rsidRPr="007337A7">
        <w:t>nvite s</w:t>
      </w:r>
      <w:r w:rsidR="0033623A" w:rsidRPr="007337A7">
        <w:t>ta</w:t>
      </w:r>
      <w:r w:rsidR="007B3AD0" w:rsidRPr="007337A7">
        <w:t>keholder</w:t>
      </w:r>
      <w:r w:rsidR="00A91326" w:rsidRPr="007337A7">
        <w:t xml:space="preserve"> consult</w:t>
      </w:r>
      <w:r w:rsidR="007B3AD0" w:rsidRPr="007337A7">
        <w:t>ation</w:t>
      </w:r>
      <w:r w:rsidR="00A91326" w:rsidRPr="007337A7">
        <w:t xml:space="preserve"> on perceptions of the industry, the current standards, practices and business and health </w:t>
      </w:r>
      <w:r w:rsidR="007B3AD0" w:rsidRPr="007337A7">
        <w:t>risks</w:t>
      </w:r>
    </w:p>
    <w:p w14:paraId="0A832D2C" w14:textId="496061E4" w:rsidR="007B3AD0" w:rsidRPr="007337A7" w:rsidRDefault="00F66CB1" w:rsidP="00E12094">
      <w:pPr>
        <w:pStyle w:val="ListParagraph"/>
      </w:pPr>
      <w:r w:rsidRPr="007337A7">
        <w:t>m</w:t>
      </w:r>
      <w:r w:rsidR="007B3AD0" w:rsidRPr="007337A7">
        <w:t xml:space="preserve">easure support for the options </w:t>
      </w:r>
      <w:r w:rsidR="004A1C92" w:rsidRPr="007337A7">
        <w:t xml:space="preserve">proposed </w:t>
      </w:r>
      <w:r w:rsidR="00137DF4" w:rsidRPr="007337A7">
        <w:t xml:space="preserve">in the Consultation RIS </w:t>
      </w:r>
      <w:r w:rsidR="003C5D6E" w:rsidRPr="007337A7">
        <w:t>for the</w:t>
      </w:r>
      <w:r w:rsidR="004A1C92" w:rsidRPr="007337A7">
        <w:t xml:space="preserve"> way for</w:t>
      </w:r>
      <w:r w:rsidRPr="007337A7">
        <w:t>ward for the industry</w:t>
      </w:r>
    </w:p>
    <w:p w14:paraId="6568B70A" w14:textId="11985381" w:rsidR="00C724D7" w:rsidRPr="007337A7" w:rsidRDefault="00F66CB1" w:rsidP="00E12094">
      <w:pPr>
        <w:pStyle w:val="ListParagraph"/>
      </w:pPr>
      <w:r w:rsidRPr="007337A7">
        <w:t>u</w:t>
      </w:r>
      <w:r w:rsidR="00F42EAF" w:rsidRPr="007337A7">
        <w:t xml:space="preserve">se the information gained to inform </w:t>
      </w:r>
      <w:r w:rsidR="00116BDB" w:rsidRPr="007337A7">
        <w:t xml:space="preserve">the working group and RHC </w:t>
      </w:r>
      <w:r w:rsidR="007632C2" w:rsidRPr="007337A7">
        <w:t>o</w:t>
      </w:r>
      <w:r w:rsidR="00116BDB" w:rsidRPr="007337A7">
        <w:t xml:space="preserve">n </w:t>
      </w:r>
      <w:r w:rsidR="00F42EAF" w:rsidRPr="007337A7">
        <w:t xml:space="preserve">a decision for the </w:t>
      </w:r>
      <w:r w:rsidR="00C724D7" w:rsidRPr="007337A7">
        <w:t>way forward in promoting public s</w:t>
      </w:r>
      <w:r w:rsidR="00F42EAF" w:rsidRPr="007337A7">
        <w:t xml:space="preserve">afety and </w:t>
      </w:r>
      <w:r w:rsidR="00C724D7" w:rsidRPr="007337A7">
        <w:t>a</w:t>
      </w:r>
      <w:r w:rsidR="00F42EAF" w:rsidRPr="007337A7">
        <w:t xml:space="preserve"> </w:t>
      </w:r>
      <w:r w:rsidR="00C724D7" w:rsidRPr="007337A7">
        <w:t xml:space="preserve">nationally </w:t>
      </w:r>
      <w:r w:rsidR="00F42EAF" w:rsidRPr="007337A7">
        <w:t>uniform</w:t>
      </w:r>
      <w:r w:rsidR="00C724D7" w:rsidRPr="007337A7">
        <w:t xml:space="preserve"> approach in</w:t>
      </w:r>
      <w:r w:rsidR="00F42EAF" w:rsidRPr="007337A7">
        <w:t xml:space="preserve"> the industry</w:t>
      </w:r>
    </w:p>
    <w:p w14:paraId="7D42F476" w14:textId="77777777" w:rsidR="00F42EAF" w:rsidRPr="0033623A" w:rsidRDefault="00F66CB1" w:rsidP="00E12094">
      <w:pPr>
        <w:pStyle w:val="ListParagraph"/>
      </w:pPr>
      <w:proofErr w:type="gramStart"/>
      <w:r w:rsidRPr="007337A7">
        <w:t>d</w:t>
      </w:r>
      <w:r w:rsidR="00F42EAF" w:rsidRPr="007337A7">
        <w:t>e</w:t>
      </w:r>
      <w:r w:rsidR="00C724D7" w:rsidRPr="007337A7">
        <w:t>cide</w:t>
      </w:r>
      <w:proofErr w:type="gramEnd"/>
      <w:r w:rsidR="00C724D7" w:rsidRPr="007337A7">
        <w:t xml:space="preserve"> on</w:t>
      </w:r>
      <w:r w:rsidR="00F42EAF" w:rsidRPr="007337A7">
        <w:t xml:space="preserve"> </w:t>
      </w:r>
      <w:r w:rsidR="00C724D7" w:rsidRPr="007337A7">
        <w:t>the</w:t>
      </w:r>
      <w:r w:rsidR="00F42EAF" w:rsidRPr="007337A7">
        <w:t xml:space="preserve"> work </w:t>
      </w:r>
      <w:r w:rsidR="00116BDB" w:rsidRPr="007337A7">
        <w:t xml:space="preserve">programs </w:t>
      </w:r>
      <w:r w:rsidR="00F42EAF" w:rsidRPr="007337A7">
        <w:t xml:space="preserve">necessary </w:t>
      </w:r>
      <w:r w:rsidR="00C724D7" w:rsidRPr="007337A7">
        <w:t xml:space="preserve">to progress the process for </w:t>
      </w:r>
      <w:r w:rsidR="00116BDB" w:rsidRPr="007337A7">
        <w:t>any decision taken as a result of consultation process</w:t>
      </w:r>
      <w:r w:rsidR="007632C2" w:rsidRPr="007337A7">
        <w:t>,</w:t>
      </w:r>
      <w:r w:rsidR="00116BDB" w:rsidRPr="007337A7">
        <w:t xml:space="preserve"> </w:t>
      </w:r>
      <w:r w:rsidR="00C724D7" w:rsidRPr="007337A7">
        <w:t xml:space="preserve">or </w:t>
      </w:r>
      <w:r w:rsidR="00F42EAF" w:rsidRPr="007337A7">
        <w:t>to</w:t>
      </w:r>
      <w:r w:rsidR="00F42EAF">
        <w:t xml:space="preserve"> fill any knowledge gaps</w:t>
      </w:r>
      <w:r w:rsidR="00C724D7">
        <w:t xml:space="preserve"> highlighted by the </w:t>
      </w:r>
      <w:r w:rsidR="00327743">
        <w:t>stakeholder submissions</w:t>
      </w:r>
      <w:r w:rsidR="005E1354">
        <w:t>.</w:t>
      </w:r>
    </w:p>
    <w:p w14:paraId="0CA96069" w14:textId="77777777" w:rsidR="00256DC9" w:rsidRDefault="00256DC9" w:rsidP="00181813">
      <w:pPr>
        <w:pStyle w:val="Heading2"/>
      </w:pPr>
      <w:bookmarkStart w:id="9" w:name="_Toc478567669"/>
      <w:r>
        <w:t>Scope</w:t>
      </w:r>
      <w:bookmarkEnd w:id="9"/>
    </w:p>
    <w:p w14:paraId="58E45444" w14:textId="2F2CD01A" w:rsidR="003E1C20" w:rsidRDefault="00FE2D18" w:rsidP="001E427D">
      <w:pPr>
        <w:spacing w:before="200"/>
        <w:rPr>
          <w:rFonts w:ascii="Calibri" w:hAnsi="Calibri"/>
        </w:rPr>
      </w:pPr>
      <w:r>
        <w:rPr>
          <w:rFonts w:ascii="Calibri" w:hAnsi="Calibri"/>
        </w:rPr>
        <w:t>The Consultation RIS was drafted by the</w:t>
      </w:r>
      <w:r w:rsidR="00286A34">
        <w:rPr>
          <w:rFonts w:ascii="Calibri" w:hAnsi="Calibri"/>
        </w:rPr>
        <w:t xml:space="preserve"> </w:t>
      </w:r>
      <w:r>
        <w:rPr>
          <w:rFonts w:ascii="Calibri" w:hAnsi="Calibri"/>
        </w:rPr>
        <w:t>working group and was released for public consultation from May 2015 to the end of July 2015. This generated over 260 responses</w:t>
      </w:r>
      <w:r w:rsidR="007632C2">
        <w:rPr>
          <w:rFonts w:ascii="Calibri" w:hAnsi="Calibri"/>
        </w:rPr>
        <w:t>,</w:t>
      </w:r>
      <w:r>
        <w:rPr>
          <w:rFonts w:ascii="Calibri" w:hAnsi="Calibri"/>
        </w:rPr>
        <w:t xml:space="preserve"> of which 241 were identified as being valid</w:t>
      </w:r>
      <w:r w:rsidRPr="006D1944">
        <w:rPr>
          <w:rFonts w:ascii="Calibri" w:hAnsi="Calibri"/>
        </w:rPr>
        <w:t xml:space="preserve"> </w:t>
      </w:r>
      <w:r>
        <w:rPr>
          <w:rFonts w:ascii="Calibri" w:hAnsi="Calibri"/>
        </w:rPr>
        <w:t xml:space="preserve">after review </w:t>
      </w:r>
      <w:r w:rsidR="006F1D7B">
        <w:rPr>
          <w:rFonts w:ascii="Calibri" w:hAnsi="Calibri"/>
        </w:rPr>
        <w:t xml:space="preserve">and </w:t>
      </w:r>
      <w:r w:rsidR="00E641D0">
        <w:rPr>
          <w:rFonts w:ascii="Calibri" w:hAnsi="Calibri"/>
        </w:rPr>
        <w:t>initial scrutiny</w:t>
      </w:r>
      <w:r>
        <w:rPr>
          <w:rFonts w:ascii="Calibri" w:hAnsi="Calibri"/>
        </w:rPr>
        <w:t xml:space="preserve"> remov</w:t>
      </w:r>
      <w:r w:rsidR="00E641D0">
        <w:rPr>
          <w:rFonts w:ascii="Calibri" w:hAnsi="Calibri"/>
        </w:rPr>
        <w:t>ed</w:t>
      </w:r>
      <w:r>
        <w:rPr>
          <w:rFonts w:ascii="Calibri" w:hAnsi="Calibri"/>
        </w:rPr>
        <w:t xml:space="preserve"> repeated, blank or irrelevant submissions. </w:t>
      </w:r>
      <w:r w:rsidR="003E1C20">
        <w:rPr>
          <w:rFonts w:ascii="Calibri" w:hAnsi="Calibri"/>
        </w:rPr>
        <w:t xml:space="preserve">The contents of these </w:t>
      </w:r>
      <w:r w:rsidR="003E1C20" w:rsidRPr="001E427D">
        <w:t>submissions</w:t>
      </w:r>
      <w:r w:rsidR="003E1C20">
        <w:rPr>
          <w:rFonts w:ascii="Calibri" w:hAnsi="Calibri"/>
        </w:rPr>
        <w:t xml:space="preserve"> </w:t>
      </w:r>
      <w:r w:rsidR="000B1AE9">
        <w:rPr>
          <w:rFonts w:ascii="Calibri" w:hAnsi="Calibri"/>
        </w:rPr>
        <w:t>was</w:t>
      </w:r>
      <w:r w:rsidR="003E1C20">
        <w:rPr>
          <w:rFonts w:ascii="Calibri" w:hAnsi="Calibri"/>
        </w:rPr>
        <w:t xml:space="preserve"> used to inform the working group and RHC in making a decision on the appropriate way forward in addressing the real and perceived health implications posed by the use of lasers and IPLs in the industry.</w:t>
      </w:r>
    </w:p>
    <w:p w14:paraId="4A81906A" w14:textId="62D96203" w:rsidR="00966751" w:rsidRDefault="003E1C20" w:rsidP="001E427D">
      <w:pPr>
        <w:spacing w:before="200"/>
        <w:rPr>
          <w:rFonts w:ascii="Calibri" w:hAnsi="Calibri"/>
        </w:rPr>
      </w:pPr>
      <w:r>
        <w:rPr>
          <w:rFonts w:ascii="Calibri" w:hAnsi="Calibri"/>
        </w:rPr>
        <w:t xml:space="preserve">The </w:t>
      </w:r>
      <w:r w:rsidR="000B1AE9">
        <w:rPr>
          <w:rFonts w:ascii="Calibri" w:hAnsi="Calibri"/>
        </w:rPr>
        <w:t>anticipated Decision RIS</w:t>
      </w:r>
      <w:r w:rsidR="00733690">
        <w:rPr>
          <w:rFonts w:ascii="Calibri" w:hAnsi="Calibri"/>
        </w:rPr>
        <w:t xml:space="preserve"> </w:t>
      </w:r>
      <w:r w:rsidR="00C411D5">
        <w:rPr>
          <w:rFonts w:ascii="Calibri" w:hAnsi="Calibri"/>
        </w:rPr>
        <w:t xml:space="preserve">would be </w:t>
      </w:r>
      <w:r w:rsidR="00C411D5" w:rsidRPr="001E427D">
        <w:t>based</w:t>
      </w:r>
      <w:r w:rsidR="00C411D5">
        <w:rPr>
          <w:rFonts w:ascii="Calibri" w:hAnsi="Calibri"/>
        </w:rPr>
        <w:t xml:space="preserve"> on</w:t>
      </w:r>
      <w:r w:rsidR="00250702">
        <w:rPr>
          <w:rFonts w:ascii="Calibri" w:hAnsi="Calibri"/>
        </w:rPr>
        <w:t xml:space="preserve"> the evidence presented in the C</w:t>
      </w:r>
      <w:r w:rsidR="00C411D5">
        <w:rPr>
          <w:rFonts w:ascii="Calibri" w:hAnsi="Calibri"/>
        </w:rPr>
        <w:t>onsultation RIS and the stakeholder submissions received.</w:t>
      </w:r>
      <w:r w:rsidR="00CE27C2">
        <w:rPr>
          <w:rFonts w:ascii="Calibri" w:hAnsi="Calibri"/>
        </w:rPr>
        <w:t xml:space="preserve"> </w:t>
      </w:r>
      <w:r w:rsidR="00966751">
        <w:rPr>
          <w:rFonts w:ascii="Calibri" w:hAnsi="Calibri"/>
        </w:rPr>
        <w:t xml:space="preserve">Following the outcome of the consultation and a decision by the RHC, </w:t>
      </w:r>
      <w:r w:rsidR="000B1AE9">
        <w:rPr>
          <w:rFonts w:ascii="Calibri" w:hAnsi="Calibri"/>
        </w:rPr>
        <w:t xml:space="preserve">the anticipated Decision RIS was expected to be released </w:t>
      </w:r>
      <w:r w:rsidR="00966751">
        <w:rPr>
          <w:rFonts w:ascii="Calibri" w:hAnsi="Calibri"/>
        </w:rPr>
        <w:t>for public consultation.</w:t>
      </w:r>
    </w:p>
    <w:p w14:paraId="678E18EF" w14:textId="27F1FA44" w:rsidR="00E641D0" w:rsidRDefault="00D74CB5" w:rsidP="001E427D">
      <w:pPr>
        <w:spacing w:before="200"/>
        <w:rPr>
          <w:rFonts w:ascii="Calibri" w:hAnsi="Calibri"/>
        </w:rPr>
      </w:pPr>
      <w:r>
        <w:rPr>
          <w:rFonts w:ascii="Calibri" w:hAnsi="Calibri"/>
        </w:rPr>
        <w:t>It is the intention that t</w:t>
      </w:r>
      <w:r w:rsidR="000B1AE9">
        <w:rPr>
          <w:rFonts w:ascii="Calibri" w:hAnsi="Calibri"/>
        </w:rPr>
        <w:t>he</w:t>
      </w:r>
      <w:r w:rsidR="007632C2">
        <w:rPr>
          <w:rFonts w:ascii="Calibri" w:hAnsi="Calibri"/>
        </w:rPr>
        <w:t xml:space="preserve"> </w:t>
      </w:r>
      <w:r w:rsidR="00CE27C2">
        <w:rPr>
          <w:rFonts w:ascii="Calibri" w:hAnsi="Calibri"/>
        </w:rPr>
        <w:t xml:space="preserve">option </w:t>
      </w:r>
      <w:r w:rsidR="00966751">
        <w:rPr>
          <w:rFonts w:ascii="Calibri" w:hAnsi="Calibri"/>
        </w:rPr>
        <w:t xml:space="preserve">identified as </w:t>
      </w:r>
      <w:r w:rsidR="000B1AE9">
        <w:rPr>
          <w:rFonts w:ascii="Calibri" w:hAnsi="Calibri"/>
        </w:rPr>
        <w:t xml:space="preserve">being </w:t>
      </w:r>
      <w:r w:rsidR="00966751">
        <w:rPr>
          <w:rFonts w:ascii="Calibri" w:hAnsi="Calibri"/>
        </w:rPr>
        <w:t xml:space="preserve">the </w:t>
      </w:r>
      <w:r w:rsidR="000B1AE9">
        <w:rPr>
          <w:rFonts w:ascii="Calibri" w:hAnsi="Calibri"/>
        </w:rPr>
        <w:t>preferred</w:t>
      </w:r>
      <w:r w:rsidR="00966751">
        <w:rPr>
          <w:rFonts w:ascii="Calibri" w:hAnsi="Calibri"/>
        </w:rPr>
        <w:t xml:space="preserve"> way forward</w:t>
      </w:r>
      <w:r w:rsidR="0064434F">
        <w:rPr>
          <w:rFonts w:ascii="Calibri" w:hAnsi="Calibri"/>
        </w:rPr>
        <w:t xml:space="preserve"> </w:t>
      </w:r>
      <w:r w:rsidR="00CE27C2">
        <w:rPr>
          <w:rFonts w:ascii="Calibri" w:hAnsi="Calibri"/>
        </w:rPr>
        <w:t>would be implemented across all Australian jurisdictions</w:t>
      </w:r>
      <w:r w:rsidR="00CC7953">
        <w:rPr>
          <w:rFonts w:ascii="Calibri" w:hAnsi="Calibri"/>
        </w:rPr>
        <w:t xml:space="preserve"> after resolution of the Decision RIS</w:t>
      </w:r>
      <w:r w:rsidR="00CE27C2">
        <w:rPr>
          <w:rFonts w:ascii="Calibri" w:hAnsi="Calibri"/>
        </w:rPr>
        <w:t xml:space="preserve">. </w:t>
      </w:r>
      <w:r>
        <w:rPr>
          <w:rFonts w:ascii="Calibri" w:hAnsi="Calibri"/>
        </w:rPr>
        <w:t>However</w:t>
      </w:r>
      <w:r w:rsidR="00670AEB">
        <w:rPr>
          <w:rFonts w:ascii="Calibri" w:hAnsi="Calibri"/>
        </w:rPr>
        <w:t xml:space="preserve">, </w:t>
      </w:r>
      <w:r w:rsidR="00733690">
        <w:rPr>
          <w:rFonts w:ascii="Calibri" w:hAnsi="Calibri"/>
        </w:rPr>
        <w:t xml:space="preserve">implementation of </w:t>
      </w:r>
      <w:r>
        <w:rPr>
          <w:rFonts w:ascii="Calibri" w:hAnsi="Calibri"/>
        </w:rPr>
        <w:t xml:space="preserve">this </w:t>
      </w:r>
      <w:r w:rsidR="00733690">
        <w:rPr>
          <w:rFonts w:ascii="Calibri" w:hAnsi="Calibri"/>
        </w:rPr>
        <w:t>preferred option may not occur</w:t>
      </w:r>
      <w:r w:rsidR="00670AEB">
        <w:rPr>
          <w:rFonts w:ascii="Calibri" w:hAnsi="Calibri"/>
        </w:rPr>
        <w:t xml:space="preserve"> in jurisdictions</w:t>
      </w:r>
      <w:r w:rsidR="00CE27C2">
        <w:rPr>
          <w:rFonts w:ascii="Calibri" w:hAnsi="Calibri"/>
        </w:rPr>
        <w:t xml:space="preserve"> where regulation is already in place</w:t>
      </w:r>
      <w:r w:rsidR="00733690">
        <w:rPr>
          <w:rFonts w:ascii="Calibri" w:hAnsi="Calibri"/>
        </w:rPr>
        <w:t>.</w:t>
      </w:r>
      <w:r w:rsidR="00CE27C2">
        <w:rPr>
          <w:rFonts w:ascii="Calibri" w:hAnsi="Calibri"/>
        </w:rPr>
        <w:t xml:space="preserve"> </w:t>
      </w:r>
    </w:p>
    <w:p w14:paraId="515F6E47" w14:textId="77777777" w:rsidR="00830195" w:rsidRDefault="00022FAF" w:rsidP="00022FAF">
      <w:pPr>
        <w:pStyle w:val="Heading1"/>
      </w:pPr>
      <w:bookmarkStart w:id="10" w:name="_Toc478567670"/>
      <w:r>
        <w:t>Methods</w:t>
      </w:r>
      <w:bookmarkEnd w:id="10"/>
    </w:p>
    <w:p w14:paraId="55167162" w14:textId="77777777" w:rsidR="00830195" w:rsidRDefault="00256DC9" w:rsidP="00181813">
      <w:pPr>
        <w:pStyle w:val="Heading2"/>
      </w:pPr>
      <w:bookmarkStart w:id="11" w:name="_Toc478567671"/>
      <w:r w:rsidRPr="00256DC9">
        <w:t xml:space="preserve">Analysis of </w:t>
      </w:r>
      <w:r w:rsidR="00EF1B74">
        <w:t>p</w:t>
      </w:r>
      <w:r w:rsidRPr="00256DC9">
        <w:t xml:space="preserve">ublic </w:t>
      </w:r>
      <w:r w:rsidR="00EF1B74">
        <w:t>s</w:t>
      </w:r>
      <w:r w:rsidRPr="00256DC9">
        <w:t>ubmissions</w:t>
      </w:r>
      <w:bookmarkEnd w:id="11"/>
    </w:p>
    <w:p w14:paraId="5908A367" w14:textId="6B8E2FA8" w:rsidR="00D1344E" w:rsidRDefault="00D1344E" w:rsidP="001E427D">
      <w:pPr>
        <w:spacing w:before="200"/>
      </w:pPr>
      <w:r>
        <w:t xml:space="preserve">The Consultation RIS requested comments and feedback on specific issues outlined within the document. As stated in the </w:t>
      </w:r>
      <w:r w:rsidR="00F06265">
        <w:t xml:space="preserve">Consultation </w:t>
      </w:r>
      <w:r>
        <w:t>RIS</w:t>
      </w:r>
      <w:r w:rsidR="007632C2">
        <w:t>,</w:t>
      </w:r>
      <w:r>
        <w:t xml:space="preserve"> </w:t>
      </w:r>
      <w:r w:rsidR="0064434F">
        <w:t>stakeholders were invited to</w:t>
      </w:r>
      <w:r>
        <w:t>:</w:t>
      </w:r>
    </w:p>
    <w:p w14:paraId="3B71885A" w14:textId="15D6F6F9" w:rsidR="00D1344E" w:rsidRPr="00D1344E" w:rsidRDefault="00F66CB1" w:rsidP="00624EA7">
      <w:pPr>
        <w:pStyle w:val="ListParagraph"/>
      </w:pPr>
      <w:proofErr w:type="gramStart"/>
      <w:r>
        <w:t>p</w:t>
      </w:r>
      <w:r w:rsidR="00D1344E" w:rsidRPr="00D1344E">
        <w:t>rovide</w:t>
      </w:r>
      <w:proofErr w:type="gramEnd"/>
      <w:r w:rsidR="00D1344E" w:rsidRPr="00D1344E">
        <w:t xml:space="preserve"> feedback on whether the nature and magnitude of the problem presented </w:t>
      </w:r>
      <w:r w:rsidR="00311353">
        <w:t xml:space="preserve">was </w:t>
      </w:r>
      <w:r w:rsidR="00D1344E" w:rsidRPr="00D1344E">
        <w:t xml:space="preserve">accurate. If not, </w:t>
      </w:r>
      <w:r w:rsidR="001928D5">
        <w:t xml:space="preserve">stakeholders were asked to </w:t>
      </w:r>
      <w:r w:rsidR="00D1344E" w:rsidRPr="00D1344E">
        <w:t>provide additional details to add to or correct the</w:t>
      </w:r>
      <w:r w:rsidR="00E12094">
        <w:t xml:space="preserve"> information</w:t>
      </w:r>
    </w:p>
    <w:p w14:paraId="0D88A7AF" w14:textId="72CD5D82" w:rsidR="00D1344E" w:rsidRPr="00D1344E" w:rsidRDefault="00F66CB1" w:rsidP="00624EA7">
      <w:pPr>
        <w:pStyle w:val="ListParagraph"/>
      </w:pPr>
      <w:r>
        <w:t>p</w:t>
      </w:r>
      <w:r w:rsidR="00D1344E" w:rsidRPr="00D1344E">
        <w:t>rovide their views on the significance of the problem in jurisdictions that do not regulate IPLs and lasers</w:t>
      </w:r>
      <w:r>
        <w:t xml:space="preserve"> for cosmetic or beauty therapy</w:t>
      </w:r>
    </w:p>
    <w:p w14:paraId="4E95A6E3" w14:textId="4B894720" w:rsidR="00D1344E" w:rsidRPr="00D1344E" w:rsidRDefault="00D1344E" w:rsidP="00624EA7">
      <w:pPr>
        <w:pStyle w:val="ListParagraph"/>
      </w:pPr>
      <w:r w:rsidRPr="00D1344E">
        <w:t xml:space="preserve">comment on the options described </w:t>
      </w:r>
      <w:r w:rsidR="001928D5">
        <w:t>in the Consultation RIS</w:t>
      </w:r>
      <w:r w:rsidR="001928D5" w:rsidRPr="00D1344E">
        <w:t xml:space="preserve"> </w:t>
      </w:r>
      <w:r w:rsidRPr="00D1344E">
        <w:t>and suggest other feasible options to achieve the objective of reducing the number of serious injuries from the co</w:t>
      </w:r>
      <w:r w:rsidR="00F66CB1">
        <w:t>mmercial use of IPLs and lasers</w:t>
      </w:r>
    </w:p>
    <w:p w14:paraId="5E3022C9" w14:textId="6C7A7D0D" w:rsidR="00D1344E" w:rsidRPr="00D1344E" w:rsidRDefault="00F66CB1" w:rsidP="00624EA7">
      <w:pPr>
        <w:pStyle w:val="ListParagraph"/>
      </w:pPr>
      <w:r>
        <w:t>p</w:t>
      </w:r>
      <w:r w:rsidR="00D1344E" w:rsidRPr="00D1344E">
        <w:t>rovide feedback on the assumptions used to estimate the costs of consumer awareness campaigns, operator training</w:t>
      </w:r>
      <w:r w:rsidR="00311353">
        <w:t>,</w:t>
      </w:r>
      <w:r w:rsidR="00D1344E" w:rsidRPr="00D1344E">
        <w:t xml:space="preserve"> the</w:t>
      </w:r>
      <w:r w:rsidR="00D1344E">
        <w:t xml:space="preserve"> </w:t>
      </w:r>
      <w:r w:rsidR="00D1344E" w:rsidRPr="00D1344E">
        <w:t>production of guidance documents and the benefits of O</w:t>
      </w:r>
      <w:r>
        <w:t>ption 1 (educational awareness)</w:t>
      </w:r>
    </w:p>
    <w:p w14:paraId="77B36E6E" w14:textId="321C412D" w:rsidR="00D1344E" w:rsidRPr="00D1344E" w:rsidRDefault="00F66CB1" w:rsidP="00624EA7">
      <w:pPr>
        <w:pStyle w:val="ListParagraph"/>
      </w:pPr>
      <w:r>
        <w:t>p</w:t>
      </w:r>
      <w:r w:rsidR="00D1344E" w:rsidRPr="00D1344E">
        <w:t xml:space="preserve">rovide feedback on the assumptions used to estimate the costs and benefits of Option 2 (self-regulation through a </w:t>
      </w:r>
      <w:r>
        <w:t>voluntary accreditation scheme)</w:t>
      </w:r>
    </w:p>
    <w:p w14:paraId="39A06401" w14:textId="00FD32F1" w:rsidR="00D1344E" w:rsidRPr="00D1344E" w:rsidRDefault="00F66CB1" w:rsidP="00624EA7">
      <w:pPr>
        <w:pStyle w:val="ListParagraph"/>
      </w:pPr>
      <w:r>
        <w:t>p</w:t>
      </w:r>
      <w:r w:rsidR="00D1344E" w:rsidRPr="00D1344E">
        <w:t>rovide feedback on the percentage of the industry that has</w:t>
      </w:r>
      <w:r w:rsidR="00D1344E">
        <w:t xml:space="preserve"> </w:t>
      </w:r>
      <w:r w:rsidR="00D1344E" w:rsidRPr="00D1344E">
        <w:t>adequate qualifications and the assumptions used to</w:t>
      </w:r>
      <w:r>
        <w:t xml:space="preserve"> calculate this compliance cost</w:t>
      </w:r>
    </w:p>
    <w:p w14:paraId="59293F5F" w14:textId="0C9807FE" w:rsidR="00D1344E" w:rsidRPr="00D1344E" w:rsidRDefault="00F66CB1" w:rsidP="00624EA7">
      <w:pPr>
        <w:pStyle w:val="ListParagraph"/>
      </w:pPr>
      <w:r>
        <w:t>p</w:t>
      </w:r>
      <w:r w:rsidR="00D1344E" w:rsidRPr="00D1344E">
        <w:t>rovide feedback on the assumptions used to</w:t>
      </w:r>
      <w:r w:rsidR="00D1344E">
        <w:t xml:space="preserve"> </w:t>
      </w:r>
      <w:r w:rsidR="00D1344E" w:rsidRPr="00D1344E">
        <w:t>estimate the costs and benefits of Option 3 (licensing of operators)</w:t>
      </w:r>
    </w:p>
    <w:p w14:paraId="1E710484" w14:textId="3F7756D8" w:rsidR="00D1344E" w:rsidRPr="007337A7" w:rsidRDefault="00F66CB1" w:rsidP="00624EA7">
      <w:pPr>
        <w:pStyle w:val="ListParagraph"/>
      </w:pPr>
      <w:proofErr w:type="gramStart"/>
      <w:r>
        <w:t>c</w:t>
      </w:r>
      <w:r w:rsidR="00D1344E" w:rsidRPr="00D1344E">
        <w:t>omment</w:t>
      </w:r>
      <w:proofErr w:type="gramEnd"/>
      <w:r w:rsidR="00D1344E" w:rsidRPr="00D1344E">
        <w:t xml:space="preserve"> on the expe</w:t>
      </w:r>
      <w:r w:rsidR="00D1344E" w:rsidRPr="007337A7">
        <w:t>cted competition effects, in particular whether Option 3 would result in significa</w:t>
      </w:r>
      <w:r w:rsidR="00327743" w:rsidRPr="007337A7">
        <w:t>nt restrictions to competition.</w:t>
      </w:r>
      <w:r w:rsidR="00D1344E" w:rsidRPr="007337A7">
        <w:t xml:space="preserve"> Where possible, stakeholders </w:t>
      </w:r>
      <w:r w:rsidR="006218E7" w:rsidRPr="007337A7">
        <w:t>were</w:t>
      </w:r>
      <w:r w:rsidR="00D1344E" w:rsidRPr="007337A7">
        <w:t xml:space="preserve"> requested to prov</w:t>
      </w:r>
      <w:r w:rsidRPr="007337A7">
        <w:t>ide data to support their views</w:t>
      </w:r>
    </w:p>
    <w:p w14:paraId="70C71018" w14:textId="77777777" w:rsidR="00D1344E" w:rsidRPr="00D1344E" w:rsidRDefault="00F66CB1" w:rsidP="00624EA7">
      <w:pPr>
        <w:pStyle w:val="ListParagraph"/>
      </w:pPr>
      <w:proofErr w:type="gramStart"/>
      <w:r w:rsidRPr="007337A7">
        <w:t>p</w:t>
      </w:r>
      <w:r w:rsidR="00D1344E" w:rsidRPr="007337A7">
        <w:t>rovide</w:t>
      </w:r>
      <w:proofErr w:type="gramEnd"/>
      <w:r w:rsidR="00D1344E" w:rsidRPr="007337A7">
        <w:t xml:space="preserve"> feedback on whether there is a sufficient case for government intervention based on the natu</w:t>
      </w:r>
      <w:r w:rsidRPr="007337A7">
        <w:t>re and magnitude of th</w:t>
      </w:r>
      <w:r w:rsidR="00327743" w:rsidRPr="007337A7">
        <w:t xml:space="preserve">e </w:t>
      </w:r>
      <w:r w:rsidR="00327743">
        <w:t>problem.</w:t>
      </w:r>
    </w:p>
    <w:p w14:paraId="1FC16840" w14:textId="4E1F615C" w:rsidR="005D0A88" w:rsidRDefault="009E413F" w:rsidP="007337A7">
      <w:r>
        <w:t xml:space="preserve">The 241 </w:t>
      </w:r>
      <w:r w:rsidR="0042209C">
        <w:t xml:space="preserve">stakeholder submissions </w:t>
      </w:r>
      <w:r w:rsidR="00A45CD4">
        <w:t xml:space="preserve">received </w:t>
      </w:r>
      <w:r>
        <w:t xml:space="preserve">were reviewed </w:t>
      </w:r>
      <w:r w:rsidR="00311353">
        <w:t xml:space="preserve">and </w:t>
      </w:r>
      <w:r w:rsidR="007E5B88">
        <w:t>their response to the</w:t>
      </w:r>
      <w:r w:rsidR="001239B0">
        <w:t xml:space="preserve"> consultation</w:t>
      </w:r>
      <w:r w:rsidR="007E5B88">
        <w:t xml:space="preserve"> according to the points listed above</w:t>
      </w:r>
      <w:r w:rsidR="00311353">
        <w:t xml:space="preserve"> were analysed</w:t>
      </w:r>
      <w:r w:rsidR="007E5B88">
        <w:t xml:space="preserve">. </w:t>
      </w:r>
      <w:r w:rsidR="006218E7">
        <w:t>M</w:t>
      </w:r>
      <w:r w:rsidR="007E5B88">
        <w:t xml:space="preserve">ost </w:t>
      </w:r>
      <w:r w:rsidR="005D0A88">
        <w:t xml:space="preserve">of the </w:t>
      </w:r>
      <w:r w:rsidR="007E5B88">
        <w:t>submissions</w:t>
      </w:r>
      <w:r w:rsidR="005D0A88">
        <w:t xml:space="preserve"> highlighted a preference for </w:t>
      </w:r>
      <w:r w:rsidR="006218E7">
        <w:t xml:space="preserve">one or a combination of </w:t>
      </w:r>
      <w:r w:rsidR="005D0A88">
        <w:t xml:space="preserve">the options outlined in the </w:t>
      </w:r>
      <w:r w:rsidR="006218E7">
        <w:t xml:space="preserve">Consultation </w:t>
      </w:r>
      <w:r w:rsidR="005D0A88">
        <w:t>RIS</w:t>
      </w:r>
      <w:r w:rsidR="006218E7">
        <w:t xml:space="preserve">. Therefore, </w:t>
      </w:r>
      <w:r w:rsidR="005D0A88">
        <w:t xml:space="preserve">it was considered an appropriate starting point of the analysis to </w:t>
      </w:r>
      <w:r>
        <w:t>categorise</w:t>
      </w:r>
      <w:r w:rsidR="005D0A88">
        <w:t xml:space="preserve"> the responses in terms of their</w:t>
      </w:r>
      <w:r>
        <w:t xml:space="preserve"> </w:t>
      </w:r>
      <w:r w:rsidR="0042209C">
        <w:t>support</w:t>
      </w:r>
      <w:r>
        <w:t xml:space="preserve"> of </w:t>
      </w:r>
      <w:r w:rsidR="005D0A88">
        <w:t>each</w:t>
      </w:r>
      <w:r w:rsidR="0042209C">
        <w:t xml:space="preserve"> </w:t>
      </w:r>
      <w:r w:rsidR="005D0A88">
        <w:t>option</w:t>
      </w:r>
      <w:r>
        <w:t xml:space="preserve">. </w:t>
      </w:r>
      <w:r w:rsidR="00B93509">
        <w:t>Where provided, the respondents</w:t>
      </w:r>
      <w:r w:rsidR="00714911">
        <w:t>’</w:t>
      </w:r>
      <w:r w:rsidR="00B93509">
        <w:t xml:space="preserve"> jurisdiction of practice and profession was also noted.</w:t>
      </w:r>
      <w:r w:rsidR="000B5481">
        <w:t xml:space="preserve"> Where this information was not provided, the working group researched the jurisdiction of the respondent from information contained within the response. This information was considered relevant in order to quantify jurisdictional representation in the consultation process.</w:t>
      </w:r>
    </w:p>
    <w:p w14:paraId="59C91892" w14:textId="691F0141" w:rsidR="009E413F" w:rsidRDefault="006E7662" w:rsidP="007337A7">
      <w:r>
        <w:t>T</w:t>
      </w:r>
      <w:r w:rsidR="00877D89">
        <w:t>he submissions were</w:t>
      </w:r>
      <w:r w:rsidR="009E413F">
        <w:t xml:space="preserve"> also analysed</w:t>
      </w:r>
      <w:r w:rsidR="00877D89">
        <w:t xml:space="preserve"> </w:t>
      </w:r>
      <w:r w:rsidR="00714911">
        <w:t>according to criteria which would assist in gaining a view as to the industr</w:t>
      </w:r>
      <w:r w:rsidR="003C5C47">
        <w:t>y</w:t>
      </w:r>
      <w:r w:rsidR="00714911">
        <w:t xml:space="preserve">’s position as a whole. </w:t>
      </w:r>
      <w:r w:rsidR="00281EA5">
        <w:t>To this end, a consistent set of reference questions were developed according to the recurring nature of themes observed in the responses</w:t>
      </w:r>
      <w:r w:rsidR="00890F5B">
        <w:t xml:space="preserve"> provided</w:t>
      </w:r>
      <w:r w:rsidR="00281EA5">
        <w:t xml:space="preserve"> by stakeholders. </w:t>
      </w:r>
      <w:r w:rsidR="00890F5B">
        <w:t xml:space="preserve">These were considered indicative of a strong stakeholder focus and </w:t>
      </w:r>
      <w:r>
        <w:t>a</w:t>
      </w:r>
      <w:r w:rsidR="00890F5B">
        <w:t xml:space="preserve"> means of measuring the industry in terms of the implications of the </w:t>
      </w:r>
      <w:r w:rsidR="00392846">
        <w:t xml:space="preserve">Consultation </w:t>
      </w:r>
      <w:r w:rsidR="00890F5B">
        <w:t xml:space="preserve">RIS. </w:t>
      </w:r>
      <w:r w:rsidR="00714911">
        <w:t>This resulted in</w:t>
      </w:r>
      <w:r w:rsidR="003C5C47">
        <w:t xml:space="preserve"> the development of</w:t>
      </w:r>
      <w:r w:rsidR="00714911">
        <w:t xml:space="preserve"> </w:t>
      </w:r>
      <w:r w:rsidR="00281EA5">
        <w:t xml:space="preserve">analysis </w:t>
      </w:r>
      <w:r w:rsidR="00714911">
        <w:t>categories</w:t>
      </w:r>
      <w:r w:rsidR="00877D89">
        <w:t xml:space="preserve"> </w:t>
      </w:r>
      <w:r w:rsidR="00B52FD2">
        <w:t>including</w:t>
      </w:r>
      <w:r w:rsidR="009E413F">
        <w:t>:</w:t>
      </w:r>
    </w:p>
    <w:p w14:paraId="12C07128" w14:textId="1BC83004" w:rsidR="00520CAE" w:rsidRPr="001E427D" w:rsidRDefault="00520CAE" w:rsidP="00624EA7">
      <w:pPr>
        <w:pStyle w:val="ListParagraph"/>
      </w:pPr>
      <w:r w:rsidRPr="001E427D">
        <w:t>the specific level of support for the proposed options (i.e. full support, partial support, support with changes</w:t>
      </w:r>
      <w:r w:rsidR="00D83ED0" w:rsidRPr="001E427D">
        <w:t xml:space="preserve"> or not supported</w:t>
      </w:r>
      <w:r w:rsidR="00F66CB1">
        <w:t>)</w:t>
      </w:r>
    </w:p>
    <w:p w14:paraId="7BC1D662" w14:textId="69E6CD1C" w:rsidR="0042209C" w:rsidRPr="001E427D" w:rsidRDefault="0042209C" w:rsidP="00624EA7">
      <w:pPr>
        <w:pStyle w:val="ListParagraph"/>
      </w:pPr>
      <w:r w:rsidRPr="001E427D">
        <w:t xml:space="preserve">support </w:t>
      </w:r>
      <w:r w:rsidR="00FB084D" w:rsidRPr="001E427D">
        <w:t>for</w:t>
      </w:r>
      <w:r w:rsidRPr="001E427D">
        <w:t xml:space="preserve"> educational </w:t>
      </w:r>
      <w:r w:rsidR="00B52FD2" w:rsidRPr="001E427D">
        <w:t>requirement</w:t>
      </w:r>
      <w:r w:rsidR="001239B0" w:rsidRPr="001E427D">
        <w:t>s</w:t>
      </w:r>
      <w:r w:rsidR="00F247D1" w:rsidRPr="001E427D">
        <w:t xml:space="preserve"> (degree, diploma, short course)</w:t>
      </w:r>
    </w:p>
    <w:p w14:paraId="564A590C" w14:textId="5657AC33" w:rsidR="0042209C" w:rsidRPr="001E427D" w:rsidRDefault="0042209C" w:rsidP="00624EA7">
      <w:pPr>
        <w:pStyle w:val="ListParagraph"/>
      </w:pPr>
      <w:r w:rsidRPr="001E427D">
        <w:t>‘grandfathering’ (exempting current operators from the educational requirem</w:t>
      </w:r>
      <w:r w:rsidR="005D0A88" w:rsidRPr="001E427D">
        <w:t>en</w:t>
      </w:r>
      <w:r w:rsidRPr="001E427D">
        <w:t>ts put forward in</w:t>
      </w:r>
      <w:r w:rsidR="00B52FD2" w:rsidRPr="001E427D">
        <w:t xml:space="preserve"> option 3 of</w:t>
      </w:r>
      <w:r w:rsidRPr="001E427D">
        <w:t xml:space="preserve"> the</w:t>
      </w:r>
      <w:r w:rsidR="00B52FD2" w:rsidRPr="001E427D">
        <w:t xml:space="preserve"> Consultation </w:t>
      </w:r>
      <w:r w:rsidRPr="001E427D">
        <w:t>RIS, in recognition of their existing qualifications and experience</w:t>
      </w:r>
      <w:r w:rsidR="00B52FD2" w:rsidRPr="001E427D">
        <w:t xml:space="preserve"> and safety record)</w:t>
      </w:r>
    </w:p>
    <w:p w14:paraId="7D470D54" w14:textId="7C75F21F" w:rsidR="0042209C" w:rsidRPr="001E427D" w:rsidRDefault="00B93509" w:rsidP="00624EA7">
      <w:pPr>
        <w:pStyle w:val="ListParagraph"/>
      </w:pPr>
      <w:r w:rsidRPr="001E427D">
        <w:t xml:space="preserve">any particular </w:t>
      </w:r>
      <w:r w:rsidR="0042209C" w:rsidRPr="001E427D">
        <w:t>concerns in rela</w:t>
      </w:r>
      <w:r w:rsidR="00B52FD2" w:rsidRPr="001E427D">
        <w:t>tion to the options as proposed</w:t>
      </w:r>
    </w:p>
    <w:p w14:paraId="29D745E7" w14:textId="4AD419D0" w:rsidR="0042209C" w:rsidRPr="001E427D" w:rsidRDefault="0042209C" w:rsidP="00624EA7">
      <w:pPr>
        <w:pStyle w:val="ListParagraph"/>
      </w:pPr>
      <w:proofErr w:type="gramStart"/>
      <w:r w:rsidRPr="001E427D">
        <w:t>equipment</w:t>
      </w:r>
      <w:proofErr w:type="gramEnd"/>
      <w:r w:rsidRPr="001E427D">
        <w:t xml:space="preserve"> requirements (e</w:t>
      </w:r>
      <w:r w:rsidR="00B52FD2" w:rsidRPr="001E427D">
        <w:t>.</w:t>
      </w:r>
      <w:r w:rsidRPr="001E427D">
        <w:t>g. whether the laser/IPL devices should be registered with the Therapeutic Goods Administration</w:t>
      </w:r>
      <w:r w:rsidR="00B52FD2" w:rsidRPr="001E427D">
        <w:t xml:space="preserve"> (TGA) or </w:t>
      </w:r>
      <w:r w:rsidRPr="001E427D">
        <w:t xml:space="preserve">whether the equipment or </w:t>
      </w:r>
      <w:r w:rsidR="00B52FD2" w:rsidRPr="001E427D">
        <w:t>the premise</w:t>
      </w:r>
      <w:r w:rsidRPr="001E427D">
        <w:t>s</w:t>
      </w:r>
      <w:r w:rsidR="00B52FD2" w:rsidRPr="001E427D">
        <w:t xml:space="preserve"> themselves</w:t>
      </w:r>
      <w:r w:rsidR="001239B0" w:rsidRPr="001E427D">
        <w:t xml:space="preserve"> should be licensed)</w:t>
      </w:r>
      <w:r w:rsidR="00127825">
        <w:t>.</w:t>
      </w:r>
    </w:p>
    <w:p w14:paraId="42A18875" w14:textId="644FDFDD" w:rsidR="00877D89" w:rsidRDefault="00F95697" w:rsidP="007337A7">
      <w:r>
        <w:t>Fur</w:t>
      </w:r>
      <w:r w:rsidR="003C5C47">
        <w:t xml:space="preserve">ther, </w:t>
      </w:r>
      <w:r w:rsidR="00585B1A">
        <w:t xml:space="preserve">due to the repetition of the topics covered by these categories, their use in analysing the submissions was the only basis for comparison and quantifying </w:t>
      </w:r>
      <w:r w:rsidR="00417200">
        <w:t>the ap</w:t>
      </w:r>
      <w:r w:rsidR="00562CC9">
        <w:t>pe</w:t>
      </w:r>
      <w:r w:rsidR="00585B1A">
        <w:t xml:space="preserve">tite </w:t>
      </w:r>
      <w:r w:rsidR="00417200">
        <w:t xml:space="preserve">of stakeholders </w:t>
      </w:r>
      <w:r w:rsidR="00585B1A">
        <w:t>for the options pres</w:t>
      </w:r>
      <w:r w:rsidR="00417200">
        <w:t>e</w:t>
      </w:r>
      <w:r w:rsidR="00585B1A">
        <w:t xml:space="preserve">nted </w:t>
      </w:r>
      <w:r w:rsidR="00417200">
        <w:t>in the Consultation RIS</w:t>
      </w:r>
      <w:r w:rsidR="003C5C47">
        <w:t>.</w:t>
      </w:r>
    </w:p>
    <w:p w14:paraId="49FCCCAA" w14:textId="77777777" w:rsidR="00FE2D18" w:rsidRDefault="00AF6EA0" w:rsidP="00FE2D18">
      <w:pPr>
        <w:pStyle w:val="Heading2"/>
      </w:pPr>
      <w:bookmarkStart w:id="12" w:name="_Toc478567672"/>
      <w:r>
        <w:t>A</w:t>
      </w:r>
      <w:r w:rsidR="00FE2D18">
        <w:t xml:space="preserve">ssessment </w:t>
      </w:r>
      <w:r w:rsidR="00EF1B74">
        <w:t>m</w:t>
      </w:r>
      <w:r w:rsidR="00FE2D18">
        <w:t>ethods</w:t>
      </w:r>
      <w:bookmarkEnd w:id="12"/>
    </w:p>
    <w:p w14:paraId="02447FA3" w14:textId="60C608C1" w:rsidR="00AF6EA0" w:rsidRDefault="00AF6EA0" w:rsidP="007337A7">
      <w:r>
        <w:t xml:space="preserve">The responses were compiled into a ‘comments resolution table’ and analysed to gather information from the comments made </w:t>
      </w:r>
      <w:r w:rsidR="00127825">
        <w:t>in order</w:t>
      </w:r>
      <w:r>
        <w:t xml:space="preserve"> to </w:t>
      </w:r>
      <w:r w:rsidR="00127825">
        <w:t xml:space="preserve">assist </w:t>
      </w:r>
      <w:r>
        <w:t>the RHC in determining the way forward. Each submission was assessed and the salient comments were categorised according to the broad themes discussed above. Once appropriately assigned</w:t>
      </w:r>
      <w:r w:rsidR="006B7C96">
        <w:t xml:space="preserve"> to the categories</w:t>
      </w:r>
      <w:r w:rsidR="006E6F58">
        <w:t>,</w:t>
      </w:r>
      <w:r>
        <w:t xml:space="preserve"> </w:t>
      </w:r>
      <w:r w:rsidRPr="00D662E8">
        <w:t xml:space="preserve">an analysis was performed to determine the level of support for the proposed options and </w:t>
      </w:r>
      <w:r>
        <w:t>gain additional information regarding</w:t>
      </w:r>
      <w:r w:rsidR="004A00F8">
        <w:t xml:space="preserve"> any</w:t>
      </w:r>
      <w:r>
        <w:t xml:space="preserve"> other concerns raised.</w:t>
      </w:r>
    </w:p>
    <w:p w14:paraId="18E13695" w14:textId="77777777" w:rsidR="00AF6EA0" w:rsidRDefault="006B7C96" w:rsidP="007337A7">
      <w:r>
        <w:t xml:space="preserve">This process was conducted by a </w:t>
      </w:r>
      <w:r w:rsidR="00A67869">
        <w:t xml:space="preserve">small </w:t>
      </w:r>
      <w:r>
        <w:t xml:space="preserve">team </w:t>
      </w:r>
      <w:r w:rsidR="00A67869">
        <w:t>who split the submissions for review</w:t>
      </w:r>
      <w:r>
        <w:t>. Quality control consist</w:t>
      </w:r>
      <w:r w:rsidR="004A00F8">
        <w:t>ed</w:t>
      </w:r>
      <w:r>
        <w:t xml:space="preserve"> of cross checking the </w:t>
      </w:r>
      <w:r w:rsidR="004A00F8">
        <w:t>conclusions drawn from</w:t>
      </w:r>
      <w:r w:rsidR="00873385">
        <w:t xml:space="preserve"> </w:t>
      </w:r>
      <w:r>
        <w:t xml:space="preserve">a representative number of submissions to assure that the </w:t>
      </w:r>
      <w:r w:rsidR="004A00F8">
        <w:t xml:space="preserve">each team member attained the </w:t>
      </w:r>
      <w:r>
        <w:t xml:space="preserve">same </w:t>
      </w:r>
      <w:r w:rsidR="004A00F8">
        <w:t>results</w:t>
      </w:r>
      <w:r w:rsidR="001957FB">
        <w:t>. This was done both by open discussion to ‘calibrate’ the analysis and individual effort to assure reproducibility.</w:t>
      </w:r>
    </w:p>
    <w:p w14:paraId="12F7A59C" w14:textId="77777777" w:rsidR="00FD1099" w:rsidRDefault="00FD1099" w:rsidP="00181813">
      <w:pPr>
        <w:pStyle w:val="Heading2"/>
      </w:pPr>
      <w:bookmarkStart w:id="13" w:name="_Toc478567673"/>
      <w:r>
        <w:t>Assumptions</w:t>
      </w:r>
      <w:r w:rsidR="00E3409D">
        <w:t xml:space="preserve"> and </w:t>
      </w:r>
      <w:r w:rsidR="00EF1B74">
        <w:t>d</w:t>
      </w:r>
      <w:r w:rsidR="00E3409D">
        <w:t xml:space="preserve">efinition of </w:t>
      </w:r>
      <w:r w:rsidR="00EF1B74">
        <w:t>a</w:t>
      </w:r>
      <w:r w:rsidR="00E3409D">
        <w:t xml:space="preserve">nalysis </w:t>
      </w:r>
      <w:r w:rsidR="00EF1B74">
        <w:t>t</w:t>
      </w:r>
      <w:r w:rsidR="00E3409D">
        <w:t>erms</w:t>
      </w:r>
      <w:bookmarkEnd w:id="13"/>
    </w:p>
    <w:p w14:paraId="419913FC" w14:textId="77777777" w:rsidR="00BC7D4F" w:rsidRPr="001E427D" w:rsidRDefault="00E73B2A" w:rsidP="007337A7">
      <w:r w:rsidRPr="001E427D">
        <w:t xml:space="preserve">There were some assumptions made during the course of analysing the results. </w:t>
      </w:r>
      <w:r w:rsidR="00952B03" w:rsidRPr="001E427D">
        <w:t xml:space="preserve">As </w:t>
      </w:r>
      <w:r w:rsidR="006B655E" w:rsidRPr="001E427D">
        <w:t xml:space="preserve">the contents of the </w:t>
      </w:r>
      <w:r w:rsidR="00952B03" w:rsidRPr="001E427D">
        <w:t xml:space="preserve">submissions were broken </w:t>
      </w:r>
      <w:r w:rsidR="006B655E" w:rsidRPr="001E427D">
        <w:t>down</w:t>
      </w:r>
      <w:r w:rsidR="00952B03" w:rsidRPr="001E427D">
        <w:t xml:space="preserve"> to fit into </w:t>
      </w:r>
      <w:r w:rsidR="006B655E" w:rsidRPr="001E427D">
        <w:t xml:space="preserve">the </w:t>
      </w:r>
      <w:r w:rsidR="00952B03" w:rsidRPr="001E427D">
        <w:t xml:space="preserve">particular categories of interest, </w:t>
      </w:r>
      <w:r w:rsidR="00BC7D4F" w:rsidRPr="001E427D">
        <w:t>terminology</w:t>
      </w:r>
      <w:r w:rsidR="00952B03" w:rsidRPr="001E427D">
        <w:t xml:space="preserve"> needed to be developed in order to accurately reflect the position taken by the respondents. </w:t>
      </w:r>
    </w:p>
    <w:p w14:paraId="28A07ADF" w14:textId="77777777" w:rsidR="00520CAE" w:rsidRPr="00B1117A" w:rsidRDefault="00520CAE" w:rsidP="007337A7">
      <w:r w:rsidRPr="00B1117A">
        <w:t xml:space="preserve">The support for each option was categorised as </w:t>
      </w:r>
      <w:r w:rsidRPr="00E12094">
        <w:rPr>
          <w:i/>
        </w:rPr>
        <w:t>Full Support</w:t>
      </w:r>
      <w:r w:rsidRPr="00B1117A">
        <w:t xml:space="preserve">, </w:t>
      </w:r>
      <w:r w:rsidRPr="00E12094">
        <w:rPr>
          <w:i/>
        </w:rPr>
        <w:t>Partial/Modified Support</w:t>
      </w:r>
      <w:r w:rsidRPr="00B1117A">
        <w:t xml:space="preserve">, </w:t>
      </w:r>
      <w:r w:rsidRPr="00E12094">
        <w:rPr>
          <w:i/>
        </w:rPr>
        <w:t>Does Not Support</w:t>
      </w:r>
      <w:r w:rsidRPr="00B1117A">
        <w:t xml:space="preserve"> and </w:t>
      </w:r>
      <w:r w:rsidRPr="00E12094">
        <w:rPr>
          <w:i/>
        </w:rPr>
        <w:t>No Comment</w:t>
      </w:r>
      <w:r w:rsidRPr="00B1117A">
        <w:t xml:space="preserve">. Definitions of the </w:t>
      </w:r>
      <w:r>
        <w:t>terms used</w:t>
      </w:r>
      <w:r w:rsidRPr="00B1117A">
        <w:t xml:space="preserve"> are provided below:</w:t>
      </w:r>
    </w:p>
    <w:p w14:paraId="2F968C10" w14:textId="62B6D030" w:rsidR="00520CAE" w:rsidRPr="00022FAF" w:rsidRDefault="00520CAE" w:rsidP="00624EA7">
      <w:pPr>
        <w:pStyle w:val="ListParagraph"/>
      </w:pPr>
      <w:r w:rsidRPr="00E12094">
        <w:rPr>
          <w:i/>
        </w:rPr>
        <w:t>Full support</w:t>
      </w:r>
      <w:r w:rsidRPr="00022FAF">
        <w:t>: The respondent commented that they fully support</w:t>
      </w:r>
      <w:r w:rsidR="006E7662">
        <w:t>ed</w:t>
      </w:r>
      <w:r w:rsidRPr="00022FAF">
        <w:t xml:space="preserve"> the implementation of that option as proposed in the Consultation RIS</w:t>
      </w:r>
      <w:r w:rsidR="00F66CB1">
        <w:t>.</w:t>
      </w:r>
    </w:p>
    <w:p w14:paraId="3D880D7E" w14:textId="37F5D943" w:rsidR="00520CAE" w:rsidRPr="00022FAF" w:rsidRDefault="00520CAE" w:rsidP="00624EA7">
      <w:pPr>
        <w:pStyle w:val="ListParagraph"/>
      </w:pPr>
      <w:r w:rsidRPr="00E12094">
        <w:rPr>
          <w:i/>
        </w:rPr>
        <w:t>Partial/Modified Support</w:t>
      </w:r>
      <w:r w:rsidRPr="00022FAF">
        <w:t>: The respondent accept</w:t>
      </w:r>
      <w:r w:rsidR="006E7662">
        <w:t>ed</w:t>
      </w:r>
      <w:r w:rsidRPr="00022FAF">
        <w:t xml:space="preserve"> the general concept of the option but provided additional details how it should be modified for implementation.</w:t>
      </w:r>
    </w:p>
    <w:p w14:paraId="277A5FC9" w14:textId="6D9CA266" w:rsidR="00520CAE" w:rsidRPr="00022FAF" w:rsidRDefault="00520CAE" w:rsidP="00624EA7">
      <w:pPr>
        <w:pStyle w:val="ListParagraph"/>
      </w:pPr>
      <w:r w:rsidRPr="00E12094">
        <w:rPr>
          <w:i/>
        </w:rPr>
        <w:t>Does Not Support</w:t>
      </w:r>
      <w:r w:rsidRPr="00022FAF">
        <w:t>: The respondent clearly stated that they d</w:t>
      </w:r>
      <w:r w:rsidR="006E7662">
        <w:t>id</w:t>
      </w:r>
      <w:r w:rsidRPr="00022FAF">
        <w:t xml:space="preserve"> not support the implementation of that option.</w:t>
      </w:r>
    </w:p>
    <w:p w14:paraId="1CB960A9" w14:textId="4C0D9D37" w:rsidR="00520CAE" w:rsidRPr="00022FAF" w:rsidRDefault="00520CAE" w:rsidP="00624EA7">
      <w:pPr>
        <w:pStyle w:val="ListParagraph"/>
      </w:pPr>
      <w:r w:rsidRPr="00E12094">
        <w:rPr>
          <w:i/>
        </w:rPr>
        <w:t>No Comment</w:t>
      </w:r>
      <w:r w:rsidRPr="00022FAF">
        <w:t xml:space="preserve">: </w:t>
      </w:r>
      <w:proofErr w:type="gramStart"/>
      <w:r w:rsidR="005236DB" w:rsidRPr="00022FAF">
        <w:t>The</w:t>
      </w:r>
      <w:r w:rsidR="00EE1C58">
        <w:t>re were no</w:t>
      </w:r>
      <w:proofErr w:type="gramEnd"/>
      <w:r w:rsidR="00EE1C58">
        <w:t xml:space="preserve"> clear</w:t>
      </w:r>
      <w:r w:rsidR="005236DB">
        <w:t xml:space="preserve"> </w:t>
      </w:r>
      <w:r w:rsidRPr="00022FAF">
        <w:t>comment</w:t>
      </w:r>
      <w:r w:rsidR="00EE1C58">
        <w:t>s</w:t>
      </w:r>
      <w:r w:rsidRPr="00022FAF">
        <w:t xml:space="preserve"> on </w:t>
      </w:r>
      <w:r w:rsidR="005236DB" w:rsidRPr="00022FAF">
        <w:t>th</w:t>
      </w:r>
      <w:r w:rsidR="005236DB">
        <w:t>e</w:t>
      </w:r>
      <w:r w:rsidR="005236DB" w:rsidRPr="00022FAF">
        <w:t xml:space="preserve"> </w:t>
      </w:r>
      <w:r w:rsidRPr="00022FAF">
        <w:t>option for analysis</w:t>
      </w:r>
      <w:r w:rsidR="00F66CB1">
        <w:t>.</w:t>
      </w:r>
    </w:p>
    <w:p w14:paraId="0EBE078B" w14:textId="08EB0CB8" w:rsidR="00520CAE" w:rsidRPr="001E427D" w:rsidRDefault="005236DB" w:rsidP="00694949">
      <w:r>
        <w:t xml:space="preserve">The </w:t>
      </w:r>
      <w:r w:rsidR="001D70E6" w:rsidRPr="001E427D">
        <w:t>terms</w:t>
      </w:r>
      <w:r w:rsidR="00520CAE" w:rsidRPr="001E427D">
        <w:t xml:space="preserve"> </w:t>
      </w:r>
      <w:r w:rsidR="001D70E6" w:rsidRPr="001E427D">
        <w:t xml:space="preserve">to qualify the nature and specific level of support </w:t>
      </w:r>
      <w:r>
        <w:t xml:space="preserve">for other analysis categories </w:t>
      </w:r>
      <w:r w:rsidR="001D70E6" w:rsidRPr="001E427D">
        <w:t xml:space="preserve">are also </w:t>
      </w:r>
      <w:r w:rsidR="00520CAE" w:rsidRPr="001E427D">
        <w:t>described below:</w:t>
      </w:r>
    </w:p>
    <w:p w14:paraId="2B34124D" w14:textId="5A60A64A" w:rsidR="00520CAE" w:rsidRPr="00022FAF" w:rsidRDefault="00784819" w:rsidP="00624EA7">
      <w:pPr>
        <w:pStyle w:val="ListParagraph"/>
      </w:pPr>
      <w:r>
        <w:t>e</w:t>
      </w:r>
      <w:r w:rsidR="00520CAE" w:rsidRPr="0014491E">
        <w:t xml:space="preserve">ducation </w:t>
      </w:r>
      <w:r w:rsidR="00F66CB1">
        <w:t>r</w:t>
      </w:r>
      <w:r w:rsidR="00520CAE" w:rsidRPr="0014491E">
        <w:t>equirements (</w:t>
      </w:r>
      <w:r w:rsidR="00F66CB1">
        <w:t>d</w:t>
      </w:r>
      <w:r w:rsidR="00520CAE" w:rsidRPr="0014491E">
        <w:t xml:space="preserve">egree, 6-12 months course, </w:t>
      </w:r>
      <w:r w:rsidR="00F66CB1">
        <w:t>s</w:t>
      </w:r>
      <w:r w:rsidR="00520CAE" w:rsidRPr="0014491E">
        <w:t xml:space="preserve">hort </w:t>
      </w:r>
      <w:r w:rsidR="00F66CB1">
        <w:t>c</w:t>
      </w:r>
      <w:r w:rsidR="00520CAE" w:rsidRPr="0014491E">
        <w:t xml:space="preserve">ourse, </w:t>
      </w:r>
      <w:r w:rsidR="00F66CB1">
        <w:t>n</w:t>
      </w:r>
      <w:r w:rsidR="00520CAE" w:rsidRPr="0014491E">
        <w:t xml:space="preserve">o </w:t>
      </w:r>
      <w:r w:rsidR="00F66CB1">
        <w:t>c</w:t>
      </w:r>
      <w:r w:rsidR="00520CAE" w:rsidRPr="0014491E">
        <w:t xml:space="preserve">hange, </w:t>
      </w:r>
      <w:r w:rsidR="00F66CB1">
        <w:t>n</w:t>
      </w:r>
      <w:r w:rsidR="00520CAE" w:rsidRPr="0014491E">
        <w:t xml:space="preserve">o </w:t>
      </w:r>
      <w:r w:rsidR="00F66CB1">
        <w:t>c</w:t>
      </w:r>
      <w:r w:rsidR="00520CAE" w:rsidRPr="00022FAF">
        <w:t>omment)</w:t>
      </w:r>
    </w:p>
    <w:p w14:paraId="07AECD4C" w14:textId="48D84517" w:rsidR="00520CAE" w:rsidRPr="00022FAF" w:rsidRDefault="00784819" w:rsidP="00624EA7">
      <w:pPr>
        <w:pStyle w:val="ListParagraph"/>
      </w:pPr>
      <w:r>
        <w:t>g</w:t>
      </w:r>
      <w:r w:rsidR="00520CAE" w:rsidRPr="00022FAF">
        <w:t>randfathering (</w:t>
      </w:r>
      <w:r w:rsidR="00F66CB1">
        <w:t>d</w:t>
      </w:r>
      <w:r w:rsidR="00520CAE" w:rsidRPr="00022FAF">
        <w:t xml:space="preserve">oes not support, </w:t>
      </w:r>
      <w:r w:rsidR="00F66CB1">
        <w:t>s</w:t>
      </w:r>
      <w:r w:rsidR="00520CAE" w:rsidRPr="00022FAF">
        <w:t xml:space="preserve">upports, </w:t>
      </w:r>
      <w:r w:rsidR="00F66CB1">
        <w:t>n</w:t>
      </w:r>
      <w:r w:rsidR="00520CAE" w:rsidRPr="00022FAF">
        <w:t xml:space="preserve">o </w:t>
      </w:r>
      <w:r w:rsidR="00F66CB1">
        <w:t>c</w:t>
      </w:r>
      <w:r w:rsidR="00520CAE" w:rsidRPr="00022FAF">
        <w:t>omment)</w:t>
      </w:r>
    </w:p>
    <w:p w14:paraId="58068E5C" w14:textId="2BDF65E3" w:rsidR="00520CAE" w:rsidRPr="00022FAF" w:rsidRDefault="00784819" w:rsidP="00624EA7">
      <w:pPr>
        <w:pStyle w:val="ListParagraph"/>
      </w:pPr>
      <w:r>
        <w:t>p</w:t>
      </w:r>
      <w:r w:rsidR="00520CAE" w:rsidRPr="00022FAF">
        <w:t xml:space="preserve">otential </w:t>
      </w:r>
      <w:r>
        <w:t>i</w:t>
      </w:r>
      <w:r w:rsidR="00520CAE" w:rsidRPr="00022FAF">
        <w:t>mpacts/concerns (</w:t>
      </w:r>
      <w:r w:rsidR="00F66CB1">
        <w:t>c</w:t>
      </w:r>
      <w:r w:rsidR="00520CAE" w:rsidRPr="00022FAF">
        <w:t xml:space="preserve">lient </w:t>
      </w:r>
      <w:r w:rsidR="00F66CB1">
        <w:t>s</w:t>
      </w:r>
      <w:r w:rsidR="00520CAE" w:rsidRPr="00022FAF">
        <w:t xml:space="preserve">afety, </w:t>
      </w:r>
      <w:r w:rsidR="00F66CB1">
        <w:t>c</w:t>
      </w:r>
      <w:r w:rsidR="00520CAE" w:rsidRPr="00022FAF">
        <w:t xml:space="preserve">ost to </w:t>
      </w:r>
      <w:r w:rsidR="00F66CB1">
        <w:t>b</w:t>
      </w:r>
      <w:r w:rsidR="00520CAE" w:rsidRPr="00022FAF">
        <w:t xml:space="preserve">usiness, </w:t>
      </w:r>
      <w:r w:rsidR="00F66CB1">
        <w:t>c</w:t>
      </w:r>
      <w:r w:rsidR="00520CAE" w:rsidRPr="00022FAF">
        <w:t>ost/</w:t>
      </w:r>
      <w:r w:rsidR="00F66CB1">
        <w:t>t</w:t>
      </w:r>
      <w:r w:rsidR="00520CAE" w:rsidRPr="00022FAF">
        <w:t xml:space="preserve">ime for additional education, </w:t>
      </w:r>
      <w:r w:rsidR="00F66CB1">
        <w:t>n</w:t>
      </w:r>
      <w:r w:rsidR="00520CAE" w:rsidRPr="00022FAF">
        <w:t xml:space="preserve">o </w:t>
      </w:r>
      <w:r w:rsidR="00F66CB1">
        <w:t>c</w:t>
      </w:r>
      <w:r w:rsidR="00520CAE" w:rsidRPr="00022FAF">
        <w:t>omment)</w:t>
      </w:r>
    </w:p>
    <w:p w14:paraId="0E9050A4" w14:textId="78BCD40B" w:rsidR="00520CAE" w:rsidRPr="00022FAF" w:rsidRDefault="00784819" w:rsidP="00624EA7">
      <w:pPr>
        <w:pStyle w:val="ListParagraph"/>
      </w:pPr>
      <w:proofErr w:type="gramStart"/>
      <w:r>
        <w:t>e</w:t>
      </w:r>
      <w:r w:rsidR="00520CAE" w:rsidRPr="00022FAF">
        <w:t>quipment/</w:t>
      </w:r>
      <w:r>
        <w:t>p</w:t>
      </w:r>
      <w:r w:rsidR="00520CAE" w:rsidRPr="00022FAF">
        <w:t>remises</w:t>
      </w:r>
      <w:proofErr w:type="gramEnd"/>
      <w:r w:rsidR="00520CAE" w:rsidRPr="00022FAF">
        <w:t xml:space="preserve"> </w:t>
      </w:r>
      <w:r>
        <w:t>r</w:t>
      </w:r>
      <w:r w:rsidR="00520CAE" w:rsidRPr="00022FAF">
        <w:t>equirements (TGA/</w:t>
      </w:r>
      <w:r>
        <w:t>l</w:t>
      </w:r>
      <w:r w:rsidR="00520CAE" w:rsidRPr="00022FAF">
        <w:t>icen</w:t>
      </w:r>
      <w:r w:rsidR="00624EA7">
        <w:t>s</w:t>
      </w:r>
      <w:r w:rsidR="00520CAE" w:rsidRPr="00022FAF">
        <w:t xml:space="preserve">ing, </w:t>
      </w:r>
      <w:r>
        <w:t>n</w:t>
      </w:r>
      <w:r w:rsidR="00520CAE" w:rsidRPr="00022FAF">
        <w:t xml:space="preserve">o </w:t>
      </w:r>
      <w:r>
        <w:t>c</w:t>
      </w:r>
      <w:r w:rsidR="00520CAE" w:rsidRPr="00022FAF">
        <w:t>omment)</w:t>
      </w:r>
      <w:r w:rsidR="00327743">
        <w:t>.</w:t>
      </w:r>
    </w:p>
    <w:p w14:paraId="517268A9" w14:textId="77777777" w:rsidR="00C93D1C" w:rsidRPr="00181813" w:rsidRDefault="00022FAF" w:rsidP="00022FAF">
      <w:pPr>
        <w:pStyle w:val="Heading1"/>
      </w:pPr>
      <w:bookmarkStart w:id="14" w:name="_Toc478567674"/>
      <w:r>
        <w:t>Results</w:t>
      </w:r>
      <w:bookmarkEnd w:id="14"/>
    </w:p>
    <w:p w14:paraId="2D26075E" w14:textId="77777777" w:rsidR="003C55EB" w:rsidRDefault="003C55EB" w:rsidP="003C55EB">
      <w:pPr>
        <w:pStyle w:val="Heading2"/>
      </w:pPr>
      <w:bookmarkStart w:id="15" w:name="_Toc478567675"/>
      <w:r>
        <w:t>Analysis of</w:t>
      </w:r>
      <w:r w:rsidR="00EF1B74">
        <w:t xml:space="preserve"> r</w:t>
      </w:r>
      <w:r>
        <w:t>espondents</w:t>
      </w:r>
      <w:bookmarkEnd w:id="15"/>
    </w:p>
    <w:p w14:paraId="26F5712C" w14:textId="2C64C984" w:rsidR="00FB0D78" w:rsidRPr="001E427D" w:rsidRDefault="00C93D1C" w:rsidP="00694949">
      <w:r w:rsidRPr="001E427D">
        <w:t xml:space="preserve">The </w:t>
      </w:r>
      <w:r w:rsidR="00EE4ABB">
        <w:t>C</w:t>
      </w:r>
      <w:r w:rsidRPr="001E427D">
        <w:t>onsultation RIS generated a relatively large number of submissions from a wide range of stakeholders in every Australia</w:t>
      </w:r>
      <w:r w:rsidR="00AB0A60" w:rsidRPr="001E427D">
        <w:t>n jurisdiction.</w:t>
      </w:r>
      <w:r w:rsidR="00FB0D78" w:rsidRPr="001E427D">
        <w:t xml:space="preserve"> </w:t>
      </w:r>
      <w:r w:rsidR="00AB0A60" w:rsidRPr="001E427D">
        <w:t>S</w:t>
      </w:r>
      <w:r w:rsidR="00DD6921">
        <w:t>takeholders included:</w:t>
      </w:r>
    </w:p>
    <w:p w14:paraId="31037E86" w14:textId="77777777" w:rsidR="00FB0D78" w:rsidRDefault="00FB0D78" w:rsidP="00624EA7">
      <w:pPr>
        <w:pStyle w:val="ListParagraph"/>
      </w:pPr>
      <w:proofErr w:type="gramStart"/>
      <w:r>
        <w:t>medical</w:t>
      </w:r>
      <w:proofErr w:type="gramEnd"/>
      <w:r>
        <w:t xml:space="preserve"> professionals (de</w:t>
      </w:r>
      <w:r w:rsidR="00512C14">
        <w:t>rmatologists, plastic surgeons</w:t>
      </w:r>
      <w:r>
        <w:t>, etc.)</w:t>
      </w:r>
    </w:p>
    <w:p w14:paraId="6E19B6D7" w14:textId="77777777" w:rsidR="00FB0D78" w:rsidRDefault="00FB0D78" w:rsidP="00624EA7">
      <w:pPr>
        <w:pStyle w:val="ListParagraph"/>
      </w:pPr>
      <w:proofErr w:type="gramStart"/>
      <w:r>
        <w:t>non-medical</w:t>
      </w:r>
      <w:proofErr w:type="gramEnd"/>
      <w:r>
        <w:t xml:space="preserve"> operators (beauty therapists, tattoo removalists, etc.)</w:t>
      </w:r>
    </w:p>
    <w:p w14:paraId="6B883FFA" w14:textId="77777777" w:rsidR="00512C14" w:rsidRDefault="00512C14" w:rsidP="00624EA7">
      <w:pPr>
        <w:pStyle w:val="ListParagraph"/>
      </w:pPr>
      <w:r>
        <w:t>other medical (dentists)</w:t>
      </w:r>
    </w:p>
    <w:p w14:paraId="650B4CFC" w14:textId="77777777" w:rsidR="00512C14" w:rsidRDefault="00512C14" w:rsidP="00624EA7">
      <w:pPr>
        <w:pStyle w:val="ListParagraph"/>
      </w:pPr>
      <w:r>
        <w:t>professional associations (e.g. school of dermatologists)</w:t>
      </w:r>
    </w:p>
    <w:p w14:paraId="7D95406D" w14:textId="77777777" w:rsidR="00512C14" w:rsidRDefault="00FB0D78" w:rsidP="00624EA7">
      <w:pPr>
        <w:pStyle w:val="ListParagraph"/>
      </w:pPr>
      <w:r>
        <w:t xml:space="preserve">laser and IPL device suppliers </w:t>
      </w:r>
      <w:r w:rsidR="00ED4460">
        <w:t>or</w:t>
      </w:r>
      <w:r>
        <w:t xml:space="preserve"> manufacturers</w:t>
      </w:r>
    </w:p>
    <w:p w14:paraId="61D5907A" w14:textId="77777777" w:rsidR="00FB0D78" w:rsidRDefault="00FB0D78" w:rsidP="00624EA7">
      <w:pPr>
        <w:pStyle w:val="ListParagraph"/>
      </w:pPr>
      <w:r>
        <w:t xml:space="preserve">laser and IPL training </w:t>
      </w:r>
      <w:r w:rsidR="00AB0A60">
        <w:t xml:space="preserve">course </w:t>
      </w:r>
      <w:r>
        <w:t>providers</w:t>
      </w:r>
    </w:p>
    <w:p w14:paraId="59149453" w14:textId="7F1F9B95" w:rsidR="00FB0D78" w:rsidRDefault="000F0A04" w:rsidP="00624EA7">
      <w:pPr>
        <w:pStyle w:val="ListParagraph"/>
      </w:pPr>
      <w:proofErr w:type="gramStart"/>
      <w:r>
        <w:t>s</w:t>
      </w:r>
      <w:r w:rsidR="00FB0D78">
        <w:t>tate</w:t>
      </w:r>
      <w:proofErr w:type="gramEnd"/>
      <w:r w:rsidR="00FB0D78">
        <w:t xml:space="preserve"> and territory regulators</w:t>
      </w:r>
      <w:r w:rsidR="00784819">
        <w:t>.</w:t>
      </w:r>
    </w:p>
    <w:p w14:paraId="5C066371" w14:textId="62755B4F" w:rsidR="006E7662" w:rsidRPr="00694949" w:rsidRDefault="00F071E5" w:rsidP="00694949">
      <w:r>
        <w:t>It was noted that</w:t>
      </w:r>
      <w:r w:rsidR="006E7662">
        <w:t xml:space="preserve"> no responses w</w:t>
      </w:r>
      <w:r w:rsidR="006E7662" w:rsidRPr="00694949">
        <w:t>ere received from members of the general public or consumers.</w:t>
      </w:r>
    </w:p>
    <w:p w14:paraId="058B2599" w14:textId="78CB71EB" w:rsidR="000F0A04" w:rsidRPr="001E427D" w:rsidRDefault="000F0A04" w:rsidP="00694949">
      <w:r w:rsidRPr="00694949">
        <w:t>The relative number of responses submitted by stakeholders can be seen in Figure 3.1. Out of the stakeholder groups that identified their profession or association</w:t>
      </w:r>
      <w:r w:rsidR="00A218F5" w:rsidRPr="00694949">
        <w:t>,</w:t>
      </w:r>
      <w:r w:rsidRPr="00694949">
        <w:t xml:space="preserve"> it </w:t>
      </w:r>
      <w:r w:rsidR="00ED4460" w:rsidRPr="00694949">
        <w:t>was</w:t>
      </w:r>
      <w:r w:rsidRPr="00694949">
        <w:t xml:space="preserve"> clear that non-medical operators of lasers and IPLs represent</w:t>
      </w:r>
      <w:r w:rsidR="003C55EB" w:rsidRPr="00694949">
        <w:t>ed</w:t>
      </w:r>
      <w:r w:rsidRPr="00694949">
        <w:t xml:space="preserve"> the largest number</w:t>
      </w:r>
      <w:r w:rsidR="00A261D5" w:rsidRPr="00694949">
        <w:t xml:space="preserve"> of stakeholders that submitted </w:t>
      </w:r>
      <w:r w:rsidR="00ED4460" w:rsidRPr="00694949">
        <w:t>responses</w:t>
      </w:r>
      <w:r w:rsidR="003C55EB" w:rsidRPr="00694949">
        <w:t xml:space="preserve"> (55%)</w:t>
      </w:r>
      <w:r w:rsidR="00ED4460" w:rsidRPr="00694949">
        <w:t xml:space="preserve"> to the </w:t>
      </w:r>
      <w:r w:rsidR="00D94B57" w:rsidRPr="00694949">
        <w:t xml:space="preserve">Consultation </w:t>
      </w:r>
      <w:r w:rsidR="00ED4460" w:rsidRPr="00694949">
        <w:t>RIS. Registered medical practitio</w:t>
      </w:r>
      <w:r w:rsidR="00ED4460" w:rsidRPr="001E427D">
        <w:t>ners</w:t>
      </w:r>
      <w:r w:rsidR="00512C14" w:rsidRPr="001E427D">
        <w:t xml:space="preserve">, the majority of whom also worked in beauty therapy centres, </w:t>
      </w:r>
      <w:r w:rsidR="00ED4460" w:rsidRPr="001E427D">
        <w:t>were also highly represented in the mix</w:t>
      </w:r>
      <w:r w:rsidR="00512C14" w:rsidRPr="001E427D">
        <w:t xml:space="preserve"> </w:t>
      </w:r>
      <w:r w:rsidR="003C55EB" w:rsidRPr="001E427D">
        <w:t>(24%)</w:t>
      </w:r>
      <w:r w:rsidR="00ED4460" w:rsidRPr="001E427D">
        <w:t>.</w:t>
      </w:r>
    </w:p>
    <w:p w14:paraId="462E1235" w14:textId="1BC41709" w:rsidR="000F0A04" w:rsidRDefault="00522FA1" w:rsidP="00784819">
      <w:pPr>
        <w:jc w:val="center"/>
      </w:pPr>
      <w:r>
        <w:rPr>
          <w:noProof/>
          <w:lang w:eastAsia="en-AU"/>
        </w:rPr>
        <w:drawing>
          <wp:inline distT="0" distB="0" distL="0" distR="0" wp14:anchorId="585CEF9C" wp14:editId="17501385">
            <wp:extent cx="5475868" cy="3657600"/>
            <wp:effectExtent l="0" t="0" r="1079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7D5ADC" w14:textId="01C32D51" w:rsidR="000F0A04" w:rsidRPr="00DD6921" w:rsidRDefault="000F0A04" w:rsidP="00694949">
      <w:pPr>
        <w:pStyle w:val="Caption"/>
      </w:pPr>
      <w:r w:rsidRPr="00DD6921">
        <w:t>Figure 3.1</w:t>
      </w:r>
      <w:r w:rsidR="00ED4460" w:rsidRPr="00DD6921">
        <w:t>:</w:t>
      </w:r>
      <w:r w:rsidR="00784819">
        <w:tab/>
      </w:r>
      <w:r w:rsidR="00ED4460" w:rsidRPr="00DD6921">
        <w:t>N</w:t>
      </w:r>
      <w:r w:rsidRPr="00DD6921">
        <w:t xml:space="preserve">umber of responses by </w:t>
      </w:r>
      <w:r w:rsidR="00ED4460" w:rsidRPr="00DD6921">
        <w:t>stakeholder group</w:t>
      </w:r>
      <w:r w:rsidRPr="00DD6921">
        <w:t>.</w:t>
      </w:r>
    </w:p>
    <w:p w14:paraId="3366FDF5" w14:textId="386884BA" w:rsidR="00004D83" w:rsidRDefault="00114917" w:rsidP="00784819">
      <w:pPr>
        <w:keepLines/>
        <w:rPr>
          <w:b/>
        </w:rPr>
      </w:pPr>
      <w:r>
        <w:t>Jurisdictional information was either provided or determined for</w:t>
      </w:r>
      <w:r w:rsidR="005B67AB">
        <w:t>79%</w:t>
      </w:r>
      <w:r>
        <w:t xml:space="preserve"> of respondents</w:t>
      </w:r>
      <w:r w:rsidR="005B67AB">
        <w:t>. Th</w:t>
      </w:r>
      <w:r>
        <w:t>e</w:t>
      </w:r>
      <w:r w:rsidR="005B67AB">
        <w:t xml:space="preserve"> relative number of responses by jurisdiction, shown in </w:t>
      </w:r>
      <w:r w:rsidR="00D94B57">
        <w:t xml:space="preserve">Figure </w:t>
      </w:r>
      <w:r w:rsidR="005B67AB">
        <w:t>3.2, reflects that the majority of responses were generated from stakeholders in New South Wales</w:t>
      </w:r>
      <w:r w:rsidR="00300FB5">
        <w:t xml:space="preserve"> (25%) with Queensland (19%), Victoria (15%) and Western Australia (10%) also showing a high response rate.</w:t>
      </w:r>
    </w:p>
    <w:p w14:paraId="5024EE5F" w14:textId="77777777" w:rsidR="00004D83" w:rsidRDefault="00DB1C07" w:rsidP="00784819">
      <w:pPr>
        <w:jc w:val="center"/>
        <w:rPr>
          <w:b/>
        </w:rPr>
      </w:pPr>
      <w:r>
        <w:rPr>
          <w:noProof/>
          <w:lang w:eastAsia="en-AU"/>
        </w:rPr>
        <w:drawing>
          <wp:inline distT="0" distB="0" distL="0" distR="0" wp14:anchorId="78B0CDB4" wp14:editId="31D06D59">
            <wp:extent cx="5731510" cy="3328072"/>
            <wp:effectExtent l="0" t="0" r="2159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D9A48E" w14:textId="6C68858D" w:rsidR="00523721" w:rsidRPr="00DD6921" w:rsidRDefault="00300FB5" w:rsidP="00694949">
      <w:pPr>
        <w:pStyle w:val="Caption"/>
      </w:pPr>
      <w:r w:rsidRPr="00DD6921">
        <w:t>Figure 3.2:</w:t>
      </w:r>
      <w:r w:rsidR="00784819">
        <w:tab/>
      </w:r>
      <w:r w:rsidRPr="00DD6921">
        <w:t>R</w:t>
      </w:r>
      <w:r w:rsidR="000F0A04" w:rsidRPr="00DD6921">
        <w:t>elative number of submissions by state and territory.</w:t>
      </w:r>
    </w:p>
    <w:p w14:paraId="3F8AA098" w14:textId="77777777" w:rsidR="00983ECA" w:rsidRDefault="00983ECA" w:rsidP="007479FA">
      <w:pPr>
        <w:pStyle w:val="Heading2"/>
      </w:pPr>
      <w:bookmarkStart w:id="16" w:name="_Toc478567676"/>
      <w:r>
        <w:t xml:space="preserve">Stakeholder </w:t>
      </w:r>
      <w:r w:rsidR="00EF1B74">
        <w:t>s</w:t>
      </w:r>
      <w:r>
        <w:t xml:space="preserve">ubmission </w:t>
      </w:r>
      <w:r w:rsidR="00EF1B74">
        <w:t>a</w:t>
      </w:r>
      <w:r>
        <w:t>nalysis</w:t>
      </w:r>
      <w:bookmarkEnd w:id="16"/>
    </w:p>
    <w:p w14:paraId="443FCC39" w14:textId="46F5263A" w:rsidR="00C93D1C" w:rsidRPr="001E427D" w:rsidRDefault="00C93D1C" w:rsidP="00694949">
      <w:r w:rsidRPr="001E427D">
        <w:t>Most of the submissions received from stakeholders focussed on the preference for the options presented in the Consultation RIS, effectively rendering the invited consultation as a vote for the future direction of any oversight in the industry</w:t>
      </w:r>
      <w:r w:rsidR="00974B05">
        <w:t>.</w:t>
      </w:r>
    </w:p>
    <w:p w14:paraId="5E8A7ADA" w14:textId="2021794C" w:rsidR="0025517C" w:rsidRPr="00B1117A" w:rsidRDefault="00C93D1C" w:rsidP="00694949">
      <w:r w:rsidRPr="001E427D">
        <w:t>Further, it was observed that a large number of the submissions received contained varying degrees of supporting evidence for the</w:t>
      </w:r>
      <w:r w:rsidR="006E7662">
        <w:t>ir</w:t>
      </w:r>
      <w:r w:rsidRPr="001E427D">
        <w:t xml:space="preserve"> stated preference. Where reasoning for a preference was provided</w:t>
      </w:r>
      <w:r w:rsidR="006E7662">
        <w:t>,</w:t>
      </w:r>
      <w:r w:rsidRPr="001E427D">
        <w:t xml:space="preserve"> several respon</w:t>
      </w:r>
      <w:r w:rsidR="00A218F5">
        <w:t>dents</w:t>
      </w:r>
      <w:r w:rsidRPr="001E427D">
        <w:t xml:space="preserve"> justified their option preference citing concern for the future of their business should regulation in the form of Option 3 came into effect. On the other hand, it was noted that some submissions were identical </w:t>
      </w:r>
      <w:r w:rsidR="0025517C" w:rsidRPr="001E427D">
        <w:t xml:space="preserve">and </w:t>
      </w:r>
      <w:r w:rsidRPr="001E427D">
        <w:t xml:space="preserve">in the form of </w:t>
      </w:r>
      <w:r w:rsidR="002A452F" w:rsidRPr="001E427D">
        <w:t>‘</w:t>
      </w:r>
      <w:proofErr w:type="spellStart"/>
      <w:r w:rsidRPr="001E427D">
        <w:t>proforma</w:t>
      </w:r>
      <w:proofErr w:type="spellEnd"/>
      <w:r w:rsidR="002A452F" w:rsidRPr="001E427D">
        <w:t>’</w:t>
      </w:r>
      <w:r w:rsidRPr="001E427D">
        <w:t xml:space="preserve"> </w:t>
      </w:r>
      <w:r w:rsidR="002A452F" w:rsidRPr="001E427D">
        <w:t>(</w:t>
      </w:r>
      <w:r w:rsidR="002A452F">
        <w:t>standardised response sent in by multiple respondents</w:t>
      </w:r>
      <w:r w:rsidR="0025517C">
        <w:t xml:space="preserve"> with a common interest</w:t>
      </w:r>
      <w:r w:rsidR="002A452F">
        <w:t>)</w:t>
      </w:r>
      <w:r w:rsidRPr="001E427D">
        <w:t xml:space="preserve">. While a preference </w:t>
      </w:r>
      <w:r w:rsidR="002A452F" w:rsidRPr="001E427D">
        <w:t xml:space="preserve">for an option </w:t>
      </w:r>
      <w:r w:rsidRPr="001E427D">
        <w:t xml:space="preserve">was strongly stated in these responses, no supporting evidence for their position was provided in the context of </w:t>
      </w:r>
      <w:r w:rsidR="00004D83" w:rsidRPr="001E427D">
        <w:t xml:space="preserve">improved </w:t>
      </w:r>
      <w:r w:rsidRPr="001E427D">
        <w:t>p</w:t>
      </w:r>
      <w:r w:rsidR="00004D83" w:rsidRPr="001E427D">
        <w:t>ublic</w:t>
      </w:r>
      <w:r w:rsidRPr="001E427D">
        <w:t xml:space="preserve"> safety. Furthermore, these submissions did not address any of the other topics opened for comment in the </w:t>
      </w:r>
      <w:r w:rsidR="00D94B57">
        <w:t>C</w:t>
      </w:r>
      <w:r w:rsidR="00D94B57" w:rsidRPr="001E427D">
        <w:t xml:space="preserve">onsultation </w:t>
      </w:r>
      <w:r w:rsidRPr="001E427D">
        <w:t>RIS.</w:t>
      </w:r>
      <w:r w:rsidR="0025517C" w:rsidRPr="0025517C">
        <w:t xml:space="preserve"> </w:t>
      </w:r>
      <w:r w:rsidR="0025517C">
        <w:t xml:space="preserve">These </w:t>
      </w:r>
      <w:proofErr w:type="spellStart"/>
      <w:r w:rsidR="0025517C">
        <w:t>proforma</w:t>
      </w:r>
      <w:proofErr w:type="spellEnd"/>
      <w:r w:rsidR="0025517C">
        <w:t xml:space="preserve"> responses were identified as being provided by </w:t>
      </w:r>
      <w:r w:rsidR="005610C2">
        <w:t xml:space="preserve">both </w:t>
      </w:r>
      <w:r w:rsidR="0025517C">
        <w:t xml:space="preserve">medical professionals </w:t>
      </w:r>
      <w:r w:rsidR="005610C2">
        <w:t>and</w:t>
      </w:r>
      <w:r w:rsidR="0025517C">
        <w:t xml:space="preserve"> non-medical o</w:t>
      </w:r>
      <w:r w:rsidR="008B3EE5">
        <w:t xml:space="preserve">perators. </w:t>
      </w:r>
      <w:r w:rsidR="00B05F2B">
        <w:t xml:space="preserve">A single </w:t>
      </w:r>
      <w:proofErr w:type="spellStart"/>
      <w:r w:rsidR="00B05F2B">
        <w:t>proforma</w:t>
      </w:r>
      <w:proofErr w:type="spellEnd"/>
      <w:r w:rsidR="00B05F2B">
        <w:t xml:space="preserve"> type response was identified from a large number of medical professionals and there were two </w:t>
      </w:r>
      <w:proofErr w:type="spellStart"/>
      <w:r w:rsidR="00B05F2B">
        <w:t>proforma</w:t>
      </w:r>
      <w:proofErr w:type="spellEnd"/>
      <w:r w:rsidR="00B05F2B">
        <w:t xml:space="preserve"> type responses from non-medical</w:t>
      </w:r>
      <w:r w:rsidR="00573244">
        <w:t xml:space="preserve"> operators</w:t>
      </w:r>
      <w:r w:rsidR="00B05F2B">
        <w:t xml:space="preserve">. The </w:t>
      </w:r>
      <w:r w:rsidR="008B3EE5">
        <w:t xml:space="preserve">two </w:t>
      </w:r>
      <w:proofErr w:type="spellStart"/>
      <w:r w:rsidR="008B3EE5">
        <w:t>proforma</w:t>
      </w:r>
      <w:proofErr w:type="spellEnd"/>
      <w:r w:rsidR="0025517C">
        <w:t xml:space="preserve"> types </w:t>
      </w:r>
      <w:r w:rsidR="00B05F2B">
        <w:t xml:space="preserve">from the non-medical </w:t>
      </w:r>
      <w:r w:rsidR="00573244">
        <w:t>operators</w:t>
      </w:r>
      <w:r w:rsidR="00B05F2B">
        <w:t xml:space="preserve"> </w:t>
      </w:r>
      <w:r w:rsidR="0025517C">
        <w:t xml:space="preserve">carried a similar message. Of the 57 respondents identified as medical </w:t>
      </w:r>
      <w:r w:rsidR="005610C2">
        <w:t>professionals</w:t>
      </w:r>
      <w:r w:rsidR="0025517C">
        <w:t xml:space="preserve"> 72% provided </w:t>
      </w:r>
      <w:r w:rsidR="00113EB1">
        <w:t xml:space="preserve">the </w:t>
      </w:r>
      <w:proofErr w:type="spellStart"/>
      <w:r w:rsidR="0025517C">
        <w:t>proforma</w:t>
      </w:r>
      <w:proofErr w:type="spellEnd"/>
      <w:r w:rsidR="0025517C">
        <w:t xml:space="preserve"> response fully supporting Option 3. Of the 133 </w:t>
      </w:r>
      <w:r w:rsidR="005D66EB">
        <w:t xml:space="preserve">non-medical </w:t>
      </w:r>
      <w:r w:rsidR="0025517C">
        <w:t xml:space="preserve">operator responses, 29% submitted </w:t>
      </w:r>
      <w:proofErr w:type="spellStart"/>
      <w:r w:rsidR="0025517C">
        <w:t>proforma</w:t>
      </w:r>
      <w:proofErr w:type="spellEnd"/>
      <w:r w:rsidR="0025517C">
        <w:t xml:space="preserve"> response</w:t>
      </w:r>
      <w:r w:rsidR="005D66EB">
        <w:t>s</w:t>
      </w:r>
      <w:r w:rsidR="0025517C">
        <w:t xml:space="preserve"> that either fully supported Option 2 or a partial/modified Option 3.</w:t>
      </w:r>
    </w:p>
    <w:p w14:paraId="0197D65D" w14:textId="3F370DE2" w:rsidR="00C93D1C" w:rsidRPr="007479FA" w:rsidRDefault="007479FA" w:rsidP="00694949">
      <w:r>
        <w:t>Forty</w:t>
      </w:r>
      <w:r w:rsidR="00A218F5">
        <w:t>-</w:t>
      </w:r>
      <w:r>
        <w:t xml:space="preserve">nine of the respondents provided a detailed response requiring further evaluation against the nine questions asked of stakeholders in the Consultation RIS. </w:t>
      </w:r>
      <w:r w:rsidR="00C93D1C" w:rsidRPr="001E427D">
        <w:t>Very few of the submissions fully addressed the specific issues covered by the invited topics for consultation. Where these topics were covered</w:t>
      </w:r>
      <w:r w:rsidR="006E7662">
        <w:t>,</w:t>
      </w:r>
      <w:r w:rsidR="00C93D1C" w:rsidRPr="001E427D">
        <w:t xml:space="preserve"> a handful of respons</w:t>
      </w:r>
      <w:r w:rsidR="00DD6921">
        <w:t>es expressed concerns including:</w:t>
      </w:r>
    </w:p>
    <w:p w14:paraId="3907671B" w14:textId="046F63C0" w:rsidR="00C93D1C" w:rsidRPr="00316038" w:rsidRDefault="00DD6921" w:rsidP="00624EA7">
      <w:pPr>
        <w:pStyle w:val="ListParagraph"/>
        <w:rPr>
          <w:spacing w:val="-4"/>
        </w:rPr>
      </w:pPr>
      <w:r w:rsidRPr="00316038">
        <w:rPr>
          <w:spacing w:val="-4"/>
        </w:rPr>
        <w:t>d</w:t>
      </w:r>
      <w:r w:rsidR="00C93D1C" w:rsidRPr="00316038">
        <w:rPr>
          <w:spacing w:val="-4"/>
        </w:rPr>
        <w:t>isagreement with the estimated cost for the training proposed in the RIS i</w:t>
      </w:r>
      <w:r w:rsidRPr="00316038">
        <w:rPr>
          <w:spacing w:val="-4"/>
        </w:rPr>
        <w:t>n order to comply with Option 3</w:t>
      </w:r>
    </w:p>
    <w:p w14:paraId="6C0B4EEC" w14:textId="40526D87" w:rsidR="00C93D1C" w:rsidRDefault="00DD6921" w:rsidP="00624EA7">
      <w:pPr>
        <w:pStyle w:val="ListParagraph"/>
      </w:pPr>
      <w:proofErr w:type="gramStart"/>
      <w:r>
        <w:t>d</w:t>
      </w:r>
      <w:r w:rsidR="00C93D1C">
        <w:t>isagreement</w:t>
      </w:r>
      <w:proofErr w:type="gramEnd"/>
      <w:r w:rsidR="00C93D1C">
        <w:t xml:space="preserve"> with the level of training required to perform certain procedures</w:t>
      </w:r>
      <w:r w:rsidR="007F250B">
        <w:t>, in particular, skin rejuvenation</w:t>
      </w:r>
      <w:r w:rsidR="00A218F5">
        <w:t>,</w:t>
      </w:r>
      <w:r w:rsidR="007F250B">
        <w:t xml:space="preserve"> hair reduction and tattoo removal</w:t>
      </w:r>
      <w:r w:rsidR="00C93D1C">
        <w:t>. In these cases</w:t>
      </w:r>
      <w:r w:rsidR="00A218F5">
        <w:t>,</w:t>
      </w:r>
      <w:r w:rsidR="00C93D1C">
        <w:t xml:space="preserve"> many of the submissions provided an account of their own business experience taking into account their own qualifications and safety r</w:t>
      </w:r>
      <w:r>
        <w:t>ecord to justify their position</w:t>
      </w:r>
    </w:p>
    <w:p w14:paraId="08DFB06B" w14:textId="3540B766" w:rsidR="00C93D1C" w:rsidRDefault="00DD6921" w:rsidP="00624EA7">
      <w:pPr>
        <w:pStyle w:val="ListParagraph"/>
      </w:pPr>
      <w:proofErr w:type="gramStart"/>
      <w:r>
        <w:t>d</w:t>
      </w:r>
      <w:r w:rsidR="00C93D1C">
        <w:t>isagreement</w:t>
      </w:r>
      <w:proofErr w:type="gramEnd"/>
      <w:r w:rsidR="00C93D1C">
        <w:t xml:space="preserve"> with the extent and nature of the problem. In particular, there were a few comments which questioned the method of assessing the extent of the injuries caused by </w:t>
      </w:r>
      <w:r w:rsidR="00B562A5">
        <w:t>incorrect</w:t>
      </w:r>
      <w:r w:rsidR="00C93D1C">
        <w:t xml:space="preserve"> treatments</w:t>
      </w:r>
      <w:r w:rsidR="00A218F5">
        <w:t>,</w:t>
      </w:r>
      <w:r w:rsidR="00C93D1C">
        <w:t xml:space="preserve"> and even the actu</w:t>
      </w:r>
      <w:r>
        <w:t>al number of injuries occurring</w:t>
      </w:r>
    </w:p>
    <w:p w14:paraId="087FB5F1" w14:textId="3E1C7690" w:rsidR="00C93D1C" w:rsidRDefault="00DD6921" w:rsidP="00624EA7">
      <w:pPr>
        <w:pStyle w:val="ListParagraph"/>
      </w:pPr>
      <w:proofErr w:type="gramStart"/>
      <w:r>
        <w:t>c</w:t>
      </w:r>
      <w:r w:rsidR="00C93D1C">
        <w:t>oncern</w:t>
      </w:r>
      <w:proofErr w:type="gramEnd"/>
      <w:r w:rsidR="00C93D1C">
        <w:t xml:space="preserve"> regarding the motivation for proposed government intervention presented in Option</w:t>
      </w:r>
      <w:r>
        <w:t> </w:t>
      </w:r>
      <w:r w:rsidR="00C93D1C">
        <w:t xml:space="preserve">3. Although the RIS focused on health outcomes and safety for users of laser and IPL based cosmetic procedures, some stakeholders perceived that there was a hidden agenda of anti-competition by other stakeholder groups. In particular, many stakeholders considered the training levels required to be compliant with </w:t>
      </w:r>
      <w:r w:rsidR="00562F78">
        <w:t xml:space="preserve">Option </w:t>
      </w:r>
      <w:r w:rsidR="00C93D1C">
        <w:t>3 to be ‘over the top’ and restrictive.</w:t>
      </w:r>
    </w:p>
    <w:p w14:paraId="26739374" w14:textId="04287CD3" w:rsidR="00B10B90" w:rsidRDefault="00B10B90" w:rsidP="00B10B90">
      <w:pPr>
        <w:pStyle w:val="Heading2"/>
      </w:pPr>
      <w:bookmarkStart w:id="17" w:name="_Toc478567677"/>
      <w:r>
        <w:t xml:space="preserve">Feedback on the </w:t>
      </w:r>
      <w:r w:rsidR="00EF1B74">
        <w:t>o</w:t>
      </w:r>
      <w:r>
        <w:t xml:space="preserve">ptions presented in the </w:t>
      </w:r>
      <w:r w:rsidR="00EE4ABB">
        <w:t>C</w:t>
      </w:r>
      <w:r>
        <w:t>onsultation RIS</w:t>
      </w:r>
      <w:bookmarkEnd w:id="17"/>
    </w:p>
    <w:p w14:paraId="3AEC85C2" w14:textId="3CC4BF2F" w:rsidR="00215EE0" w:rsidRPr="001E427D" w:rsidRDefault="00B10B90" w:rsidP="00694949">
      <w:r w:rsidRPr="001E427D">
        <w:t>While analysing the common themes of stakeholder feedback to the Consultation RIS</w:t>
      </w:r>
      <w:r w:rsidR="00004D83" w:rsidRPr="001E427D">
        <w:t xml:space="preserve"> more </w:t>
      </w:r>
      <w:r w:rsidR="007479FA" w:rsidRPr="001E427D">
        <w:t>discernible trends</w:t>
      </w:r>
      <w:r w:rsidR="00004D83" w:rsidRPr="001E427D">
        <w:t xml:space="preserve"> were revealed. </w:t>
      </w:r>
      <w:r w:rsidR="00CE4419" w:rsidRPr="001E427D">
        <w:t xml:space="preserve">Figure </w:t>
      </w:r>
      <w:r w:rsidR="00075C34">
        <w:t>3</w:t>
      </w:r>
      <w:r w:rsidR="00CE4419" w:rsidRPr="001E427D">
        <w:t xml:space="preserve">.3 shows the support for each option if the information distilled from the responses is translated into </w:t>
      </w:r>
      <w:r w:rsidR="00DB45BC" w:rsidRPr="001E427D">
        <w:t>a</w:t>
      </w:r>
      <w:r w:rsidR="00CE4419" w:rsidRPr="001E427D">
        <w:t xml:space="preserve"> vote </w:t>
      </w:r>
      <w:r w:rsidR="00DB45BC" w:rsidRPr="001E427D">
        <w:t>of</w:t>
      </w:r>
      <w:r w:rsidR="00CE4419" w:rsidRPr="001E427D">
        <w:t xml:space="preserve"> </w:t>
      </w:r>
      <w:r w:rsidR="00183D1B" w:rsidRPr="001E427D">
        <w:t>the respondent’s</w:t>
      </w:r>
      <w:r w:rsidR="00CE4419" w:rsidRPr="001E427D">
        <w:t xml:space="preserve"> preference. </w:t>
      </w:r>
      <w:r w:rsidR="00DB45BC" w:rsidRPr="001E427D">
        <w:t>From this information it</w:t>
      </w:r>
      <w:r w:rsidR="00CE4419" w:rsidRPr="001E427D">
        <w:t xml:space="preserve"> is clear that</w:t>
      </w:r>
      <w:r w:rsidR="00E27DEB" w:rsidRPr="001E427D">
        <w:t>,</w:t>
      </w:r>
      <w:r w:rsidR="00CE4419" w:rsidRPr="001E427D">
        <w:t xml:space="preserve"> </w:t>
      </w:r>
      <w:r w:rsidR="00E27DEB" w:rsidRPr="001E427D">
        <w:t xml:space="preserve">overall, </w:t>
      </w:r>
      <w:r w:rsidR="00DB45BC" w:rsidRPr="001E427D">
        <w:t>the majority of</w:t>
      </w:r>
      <w:r w:rsidR="00CE4419" w:rsidRPr="001E427D">
        <w:t xml:space="preserve"> stakeholders </w:t>
      </w:r>
      <w:r w:rsidR="00DB45BC" w:rsidRPr="001E427D">
        <w:t xml:space="preserve">were in favour of some form of </w:t>
      </w:r>
      <w:r w:rsidR="009B08C8" w:rsidRPr="001E427D">
        <w:t>regulation</w:t>
      </w:r>
      <w:r w:rsidR="00DB45BC" w:rsidRPr="001E427D">
        <w:t xml:space="preserve"> to be put into place</w:t>
      </w:r>
      <w:r w:rsidR="009B08C8" w:rsidRPr="001E427D">
        <w:t xml:space="preserve">. </w:t>
      </w:r>
      <w:r w:rsidR="00DB45BC" w:rsidRPr="001E427D">
        <w:t xml:space="preserve">Although licensing as proposed by </w:t>
      </w:r>
      <w:r w:rsidR="00802C52">
        <w:t>O</w:t>
      </w:r>
      <w:r w:rsidR="00802C52" w:rsidRPr="001E427D">
        <w:t xml:space="preserve">ption </w:t>
      </w:r>
      <w:r w:rsidR="00DB45BC" w:rsidRPr="001E427D">
        <w:t>3 had the most support</w:t>
      </w:r>
      <w:r w:rsidR="00371AF7" w:rsidRPr="001E427D">
        <w:t xml:space="preserve"> (52%)</w:t>
      </w:r>
      <w:r w:rsidR="00DB45BC" w:rsidRPr="001E427D">
        <w:t>, self</w:t>
      </w:r>
      <w:r w:rsidR="004E307E" w:rsidRPr="001E427D">
        <w:t>-</w:t>
      </w:r>
      <w:r w:rsidR="00DB45BC" w:rsidRPr="001E427D">
        <w:t xml:space="preserve">regulation as proposed by </w:t>
      </w:r>
      <w:r w:rsidR="00802C52">
        <w:t>O</w:t>
      </w:r>
      <w:r w:rsidR="00802C52" w:rsidRPr="001E427D">
        <w:t>ption</w:t>
      </w:r>
      <w:r w:rsidR="00DB45BC" w:rsidRPr="001E427D">
        <w:t xml:space="preserve"> 2 also gained </w:t>
      </w:r>
      <w:r w:rsidR="00974B05">
        <w:t xml:space="preserve">support from </w:t>
      </w:r>
      <w:r w:rsidR="00371AF7" w:rsidRPr="001E427D">
        <w:t>14%</w:t>
      </w:r>
      <w:r w:rsidR="00974B05">
        <w:t xml:space="preserve"> of respondents</w:t>
      </w:r>
      <w:r w:rsidR="004E307E" w:rsidRPr="001E427D">
        <w:t>.</w:t>
      </w:r>
    </w:p>
    <w:p w14:paraId="3A9253BB" w14:textId="1AA3038E" w:rsidR="00974B05" w:rsidRPr="00B844A1" w:rsidRDefault="003F42FE" w:rsidP="00B844A1">
      <w:pPr>
        <w:jc w:val="center"/>
      </w:pPr>
      <w:r>
        <w:rPr>
          <w:noProof/>
          <w:lang w:eastAsia="en-AU"/>
        </w:rPr>
        <w:drawing>
          <wp:inline distT="0" distB="0" distL="0" distR="0" wp14:anchorId="30C09956" wp14:editId="18FBDB31">
            <wp:extent cx="5359179" cy="3361103"/>
            <wp:effectExtent l="0" t="0" r="13335"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F38197" w14:textId="4089756F" w:rsidR="004E307E" w:rsidRPr="00215EE0" w:rsidRDefault="00215EE0" w:rsidP="00316038">
      <w:pPr>
        <w:pStyle w:val="Caption"/>
        <w:spacing w:before="80" w:after="0"/>
      </w:pPr>
      <w:r w:rsidRPr="00215EE0">
        <w:t>Figure 3.3:</w:t>
      </w:r>
      <w:r w:rsidR="00316038">
        <w:tab/>
      </w:r>
      <w:r w:rsidRPr="00215EE0">
        <w:t xml:space="preserve">Results </w:t>
      </w:r>
      <w:r w:rsidRPr="00DD6921">
        <w:t>of</w:t>
      </w:r>
      <w:r w:rsidRPr="00215EE0">
        <w:t xml:space="preserve"> stakeholder preference for the options presented in the Consultation RIS.</w:t>
      </w:r>
    </w:p>
    <w:p w14:paraId="6EBF536C" w14:textId="032B98D2" w:rsidR="00E73B2A" w:rsidRPr="001E427D" w:rsidRDefault="00CE4419" w:rsidP="00694949">
      <w:r w:rsidRPr="001E427D">
        <w:t>However</w:t>
      </w:r>
      <w:r w:rsidR="009B08C8" w:rsidRPr="001E427D">
        <w:t xml:space="preserve">, when the results </w:t>
      </w:r>
      <w:r w:rsidR="00E27DEB" w:rsidRPr="001E427D">
        <w:t>were</w:t>
      </w:r>
      <w:r w:rsidR="009B08C8" w:rsidRPr="001E427D">
        <w:t xml:space="preserve"> examined more thoroughly </w:t>
      </w:r>
      <w:r w:rsidR="00705C6F" w:rsidRPr="001E427D">
        <w:t>in the context of each individual</w:t>
      </w:r>
      <w:r w:rsidR="00E27DEB" w:rsidRPr="001E427D">
        <w:t xml:space="preserve"> option </w:t>
      </w:r>
      <w:r w:rsidR="00705C6F" w:rsidRPr="001E427D">
        <w:t>as</w:t>
      </w:r>
      <w:r w:rsidR="00E27DEB" w:rsidRPr="001E427D">
        <w:t xml:space="preserve"> described in the </w:t>
      </w:r>
      <w:r w:rsidR="00802C52">
        <w:t>C</w:t>
      </w:r>
      <w:r w:rsidR="00802C52" w:rsidRPr="001E427D">
        <w:t xml:space="preserve">onsultation </w:t>
      </w:r>
      <w:r w:rsidR="00E27DEB" w:rsidRPr="001E427D">
        <w:t xml:space="preserve">RIS </w:t>
      </w:r>
      <w:r w:rsidR="00B562A5" w:rsidRPr="001E427D">
        <w:t>the stakeholder position became less obvious and</w:t>
      </w:r>
      <w:r w:rsidR="00705C6F" w:rsidRPr="001E427D">
        <w:t>,</w:t>
      </w:r>
      <w:r w:rsidR="00B562A5" w:rsidRPr="001E427D">
        <w:t xml:space="preserve"> </w:t>
      </w:r>
      <w:r w:rsidR="00705C6F" w:rsidRPr="001E427D">
        <w:t xml:space="preserve">indeed, </w:t>
      </w:r>
      <w:r w:rsidR="00B562A5" w:rsidRPr="001E427D">
        <w:t>more divided</w:t>
      </w:r>
      <w:r w:rsidR="00E27DEB" w:rsidRPr="001E427D">
        <w:t>.</w:t>
      </w:r>
      <w:r w:rsidR="004E307E" w:rsidRPr="001E427D">
        <w:t xml:space="preserve"> </w:t>
      </w:r>
    </w:p>
    <w:p w14:paraId="06819437" w14:textId="12B0F540" w:rsidR="008E1185" w:rsidRDefault="00E27DEB" w:rsidP="00694949">
      <w:r>
        <w:t>Figure 3.4 shows the level of support for Option 1. The majority of respondents made no comment about this option</w:t>
      </w:r>
      <w:r w:rsidR="00264504">
        <w:t xml:space="preserve"> </w:t>
      </w:r>
      <w:r>
        <w:t>while those who did stated that they did not support</w:t>
      </w:r>
      <w:r w:rsidRPr="00B1117A">
        <w:t xml:space="preserve"> Option 1</w:t>
      </w:r>
      <w:r>
        <w:t xml:space="preserve"> on its own. Some </w:t>
      </w:r>
      <w:r w:rsidR="00676FE8">
        <w:t xml:space="preserve">stakeholders </w:t>
      </w:r>
      <w:r>
        <w:t>noted, however,</w:t>
      </w:r>
      <w:r w:rsidRPr="00B1117A">
        <w:t xml:space="preserve"> that this </w:t>
      </w:r>
      <w:r>
        <w:t xml:space="preserve">option could </w:t>
      </w:r>
      <w:r w:rsidR="00676FE8">
        <w:t>form</w:t>
      </w:r>
      <w:r>
        <w:t xml:space="preserve"> part of the </w:t>
      </w:r>
      <w:r w:rsidR="00676FE8">
        <w:t xml:space="preserve">overall </w:t>
      </w:r>
      <w:r w:rsidRPr="00B1117A">
        <w:t xml:space="preserve">solution </w:t>
      </w:r>
      <w:r w:rsidR="00676FE8">
        <w:t>when combined with other strategies or the other options presented</w:t>
      </w:r>
      <w:r w:rsidRPr="00B1117A">
        <w:t>.</w:t>
      </w:r>
    </w:p>
    <w:p w14:paraId="7A3F4731" w14:textId="7B3BE995" w:rsidR="00BB382C" w:rsidRDefault="00BB382C" w:rsidP="00694949">
      <w:r w:rsidRPr="00DD6921">
        <w:t>Figure 3.5 shows the level of support for Option 2. A relatively small</w:t>
      </w:r>
      <w:r w:rsidR="00371AF7" w:rsidRPr="00DD6921">
        <w:t>er</w:t>
      </w:r>
      <w:r w:rsidRPr="00DD6921">
        <w:t xml:space="preserve"> proportion of respondents supported this option in full</w:t>
      </w:r>
      <w:r w:rsidR="00E6082D">
        <w:t>,</w:t>
      </w:r>
      <w:r w:rsidRPr="00DD6921">
        <w:t xml:space="preserve"> with a lar</w:t>
      </w:r>
      <w:r w:rsidR="00676FE8" w:rsidRPr="00DD6921">
        <w:t>ger group (33%) directly opposing it</w:t>
      </w:r>
      <w:r w:rsidRPr="00DD6921">
        <w:t xml:space="preserve">. The majority of respondents made no comment on this option. A number of respondents noted that this </w:t>
      </w:r>
      <w:r w:rsidR="00676FE8" w:rsidRPr="00DD6921">
        <w:t xml:space="preserve">option was effectively </w:t>
      </w:r>
      <w:r w:rsidRPr="00DD6921">
        <w:t xml:space="preserve">similar to the status quo </w:t>
      </w:r>
      <w:r w:rsidR="00371AF7" w:rsidRPr="00DD6921">
        <w:t>which</w:t>
      </w:r>
      <w:r w:rsidRPr="00DD6921">
        <w:t xml:space="preserve"> has resulted in inconsistent training </w:t>
      </w:r>
      <w:r w:rsidR="00676FE8" w:rsidRPr="00DD6921">
        <w:t xml:space="preserve">and service delivery </w:t>
      </w:r>
      <w:r w:rsidRPr="00DD6921">
        <w:t>standards</w:t>
      </w:r>
      <w:r w:rsidR="00371AF7" w:rsidRPr="00DD6921">
        <w:t xml:space="preserve">, </w:t>
      </w:r>
      <w:r w:rsidR="006E7662">
        <w:t xml:space="preserve">possibly contributing to </w:t>
      </w:r>
      <w:r w:rsidR="00371AF7" w:rsidRPr="00DD6921">
        <w:t>the injuries outlined as part of the Consultation RIS</w:t>
      </w:r>
      <w:r w:rsidR="00705C6F" w:rsidRPr="00DD6921">
        <w:t>.</w:t>
      </w:r>
    </w:p>
    <w:p w14:paraId="451A37DC" w14:textId="77777777" w:rsidR="00984373" w:rsidRDefault="00984373" w:rsidP="00984373">
      <w:r>
        <w:t xml:space="preserve">Figure 3.6 shows the level of support for Option 3. </w:t>
      </w:r>
      <w:r w:rsidRPr="00B1117A">
        <w:t xml:space="preserve">While the </w:t>
      </w:r>
      <w:r>
        <w:t>results from the options put forward in the Consultation RIS indicated</w:t>
      </w:r>
      <w:r w:rsidRPr="00B1117A">
        <w:t xml:space="preserve"> that Option 3 </w:t>
      </w:r>
      <w:r>
        <w:t>was</w:t>
      </w:r>
      <w:r w:rsidRPr="00B1117A">
        <w:t xml:space="preserve"> the preferred model</w:t>
      </w:r>
      <w:r>
        <w:t>,</w:t>
      </w:r>
      <w:r w:rsidRPr="00B1117A">
        <w:t xml:space="preserve"> </w:t>
      </w:r>
      <w:r>
        <w:t xml:space="preserve">the </w:t>
      </w:r>
      <w:r w:rsidRPr="00B1117A">
        <w:t xml:space="preserve">detailed </w:t>
      </w:r>
      <w:r>
        <w:t>review of the comments indicated that</w:t>
      </w:r>
      <w:r w:rsidRPr="00B1117A">
        <w:t xml:space="preserve"> a lower number </w:t>
      </w:r>
      <w:r>
        <w:t xml:space="preserve">of respondents </w:t>
      </w:r>
      <w:r w:rsidRPr="00B1117A">
        <w:t>support</w:t>
      </w:r>
      <w:r>
        <w:t>ed</w:t>
      </w:r>
      <w:r w:rsidRPr="00B1117A">
        <w:t xml:space="preserve"> Option 3 in full</w:t>
      </w:r>
      <w:r>
        <w:t xml:space="preserve"> (38%)</w:t>
      </w:r>
      <w:r w:rsidRPr="00B1117A">
        <w:t xml:space="preserve">. </w:t>
      </w:r>
      <w:r>
        <w:t xml:space="preserve">The analysis showed that the number of respondents who supported a partial/modified version of Option 3 (27%) and those who do not support Option 3 (12%) were slightly higher (combined 39%) than those that fully supported that option. </w:t>
      </w:r>
      <w:r w:rsidRPr="00B1117A">
        <w:t xml:space="preserve">With regard to support for Option 3 it </w:t>
      </w:r>
      <w:r>
        <w:t xml:space="preserve">was </w:t>
      </w:r>
      <w:r w:rsidRPr="00B1117A">
        <w:t xml:space="preserve">noted that </w:t>
      </w:r>
      <w:r>
        <w:t xml:space="preserve">82% </w:t>
      </w:r>
      <w:r w:rsidRPr="00B1117A">
        <w:t xml:space="preserve">of </w:t>
      </w:r>
      <w:r>
        <w:t xml:space="preserve">the registered </w:t>
      </w:r>
      <w:r w:rsidRPr="00B1117A">
        <w:t>medical p</w:t>
      </w:r>
      <w:r>
        <w:t>ractitioners</w:t>
      </w:r>
      <w:r w:rsidRPr="00B1117A">
        <w:t xml:space="preserve"> </w:t>
      </w:r>
      <w:r>
        <w:t xml:space="preserve">who responded </w:t>
      </w:r>
      <w:r w:rsidRPr="00B1117A">
        <w:t>fully support</w:t>
      </w:r>
      <w:r>
        <w:t>ed</w:t>
      </w:r>
      <w:r w:rsidRPr="00B1117A">
        <w:t xml:space="preserve"> </w:t>
      </w:r>
      <w:r>
        <w:t xml:space="preserve">the proposed model, </w:t>
      </w:r>
      <w:r w:rsidRPr="00B1117A">
        <w:t xml:space="preserve">while only </w:t>
      </w:r>
      <w:r>
        <w:t>24</w:t>
      </w:r>
      <w:r w:rsidRPr="00B1117A">
        <w:t xml:space="preserve">% of </w:t>
      </w:r>
      <w:r>
        <w:t xml:space="preserve">the non-medical </w:t>
      </w:r>
      <w:r w:rsidRPr="00B1117A">
        <w:t xml:space="preserve">operators </w:t>
      </w:r>
      <w:r>
        <w:t xml:space="preserve">who responded fully </w:t>
      </w:r>
      <w:r w:rsidRPr="00B1117A">
        <w:t>support</w:t>
      </w:r>
      <w:r>
        <w:t>ed</w:t>
      </w:r>
      <w:r w:rsidRPr="00B1117A">
        <w:t xml:space="preserve"> </w:t>
      </w:r>
      <w:r>
        <w:t>it</w:t>
      </w:r>
      <w:r w:rsidRPr="00B1117A">
        <w:t xml:space="preserve">. </w:t>
      </w:r>
    </w:p>
    <w:p w14:paraId="19DDCA5E" w14:textId="77777777" w:rsidR="00984373" w:rsidRDefault="00984373" w:rsidP="00984373">
      <w:r>
        <w:t>Analysis of the ‘</w:t>
      </w:r>
      <w:r w:rsidRPr="00B1117A">
        <w:t>does not support</w:t>
      </w:r>
      <w:r>
        <w:t>’</w:t>
      </w:r>
      <w:r w:rsidRPr="00B1117A">
        <w:t xml:space="preserve"> </w:t>
      </w:r>
      <w:r>
        <w:t xml:space="preserve">and ‘partial/modified support’ </w:t>
      </w:r>
      <w:r w:rsidRPr="00B1117A">
        <w:t xml:space="preserve">for Option 3 </w:t>
      </w:r>
      <w:r>
        <w:t xml:space="preserve">showed that 46% of non-medical </w:t>
      </w:r>
      <w:r w:rsidRPr="00B1117A">
        <w:t xml:space="preserve">operators </w:t>
      </w:r>
      <w:r>
        <w:t>and 10% of medical practitioners provided comments expressing varying degrees of opposition to this option.</w:t>
      </w:r>
    </w:p>
    <w:p w14:paraId="1F9A9FD3" w14:textId="296BCA48" w:rsidR="00984373" w:rsidRPr="00B844A1" w:rsidRDefault="00984373" w:rsidP="00B844A1">
      <w:pPr>
        <w:spacing w:line="276" w:lineRule="auto"/>
        <w:jc w:val="center"/>
      </w:pPr>
      <w:r>
        <w:rPr>
          <w:noProof/>
          <w:lang w:eastAsia="en-AU"/>
        </w:rPr>
        <w:drawing>
          <wp:inline distT="0" distB="0" distL="0" distR="0" wp14:anchorId="273BE27B" wp14:editId="314C6CD4">
            <wp:extent cx="5862385" cy="3522428"/>
            <wp:effectExtent l="0" t="0" r="24130" b="209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27B17A" w14:textId="4C54EF18" w:rsidR="00984373" w:rsidRPr="000B3720" w:rsidRDefault="00984373" w:rsidP="00984373">
      <w:pPr>
        <w:pStyle w:val="Caption"/>
      </w:pPr>
      <w:r w:rsidRPr="000B3720">
        <w:t>Figure 3.4:</w:t>
      </w:r>
      <w:r>
        <w:tab/>
      </w:r>
      <w:r w:rsidRPr="000B3720">
        <w:t xml:space="preserve">Level of support for </w:t>
      </w:r>
      <w:r>
        <w:t>O</w:t>
      </w:r>
      <w:r w:rsidRPr="000B3720">
        <w:t>ption 1.</w:t>
      </w:r>
    </w:p>
    <w:p w14:paraId="60C33221" w14:textId="77777777" w:rsidR="008E1185" w:rsidRPr="007165D2" w:rsidRDefault="007165D2" w:rsidP="00984373">
      <w:pPr>
        <w:jc w:val="center"/>
      </w:pPr>
      <w:r>
        <w:rPr>
          <w:noProof/>
          <w:lang w:eastAsia="en-AU"/>
        </w:rPr>
        <w:drawing>
          <wp:inline distT="0" distB="0" distL="0" distR="0" wp14:anchorId="3B66FC1F" wp14:editId="2C7D603C">
            <wp:extent cx="5804526" cy="3546282"/>
            <wp:effectExtent l="0" t="0" r="25400" b="165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A6B10D" w14:textId="0F60175E" w:rsidR="00F74769" w:rsidRDefault="008179B4" w:rsidP="00694949">
      <w:pPr>
        <w:pStyle w:val="Caption"/>
      </w:pPr>
      <w:r w:rsidRPr="000B3720">
        <w:t>Figure 3.5:</w:t>
      </w:r>
      <w:r w:rsidR="00694949">
        <w:tab/>
      </w:r>
      <w:r w:rsidRPr="000B3720">
        <w:t xml:space="preserve">Level of support for </w:t>
      </w:r>
      <w:r w:rsidR="00802C52">
        <w:t>O</w:t>
      </w:r>
      <w:r w:rsidR="00802C52" w:rsidRPr="000B3720">
        <w:t xml:space="preserve">ption </w:t>
      </w:r>
      <w:r w:rsidRPr="000B3720">
        <w:t>2.</w:t>
      </w:r>
    </w:p>
    <w:p w14:paraId="30D60C7B" w14:textId="77777777" w:rsidR="00984373" w:rsidRPr="00984373" w:rsidRDefault="00984373" w:rsidP="00984373"/>
    <w:p w14:paraId="4D4F5C89" w14:textId="0608E946" w:rsidR="00BB382C" w:rsidRDefault="00493A4E" w:rsidP="00984373">
      <w:pPr>
        <w:spacing w:after="120"/>
        <w:jc w:val="center"/>
        <w:rPr>
          <w:rFonts w:ascii="Calibri" w:hAnsi="Calibri"/>
        </w:rPr>
      </w:pPr>
      <w:r>
        <w:rPr>
          <w:noProof/>
          <w:lang w:eastAsia="en-AU"/>
        </w:rPr>
        <w:drawing>
          <wp:inline distT="0" distB="0" distL="0" distR="0" wp14:anchorId="3D94D7A5" wp14:editId="1221984E">
            <wp:extent cx="5734050" cy="3743325"/>
            <wp:effectExtent l="0" t="0" r="1905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9DDAB8" w14:textId="3184B27B" w:rsidR="00072738" w:rsidRDefault="00072738" w:rsidP="00694949">
      <w:pPr>
        <w:pStyle w:val="Caption"/>
      </w:pPr>
      <w:r w:rsidRPr="000B3720">
        <w:t>Figure 3.6</w:t>
      </w:r>
      <w:r w:rsidR="00694949">
        <w:t>:</w:t>
      </w:r>
      <w:r w:rsidR="00694949">
        <w:tab/>
      </w:r>
      <w:r w:rsidRPr="000B3720">
        <w:t>Level of support for option 3.</w:t>
      </w:r>
    </w:p>
    <w:p w14:paraId="5ADCB4B6" w14:textId="77777777" w:rsidR="00F74769" w:rsidRPr="00B1117A" w:rsidRDefault="00F74769" w:rsidP="00F74769">
      <w:pPr>
        <w:pStyle w:val="Heading2"/>
      </w:pPr>
      <w:bookmarkStart w:id="18" w:name="_Toc478567678"/>
      <w:r>
        <w:t xml:space="preserve">Additional </w:t>
      </w:r>
      <w:r w:rsidR="00EF1B74">
        <w:t>a</w:t>
      </w:r>
      <w:r>
        <w:t xml:space="preserve">ssessment of </w:t>
      </w:r>
      <w:r w:rsidR="00EF1B74">
        <w:t>s</w:t>
      </w:r>
      <w:r>
        <w:t>ubmissions</w:t>
      </w:r>
      <w:bookmarkEnd w:id="18"/>
    </w:p>
    <w:p w14:paraId="600D8B4C" w14:textId="77777777" w:rsidR="00F74769" w:rsidRDefault="00B10B90" w:rsidP="00694949">
      <w:r>
        <w:t>Results were also generated from the further</w:t>
      </w:r>
      <w:r w:rsidR="005610C2">
        <w:t xml:space="preserve"> </w:t>
      </w:r>
      <w:r>
        <w:t>analysis</w:t>
      </w:r>
      <w:r w:rsidR="00F74769" w:rsidRPr="00B1117A">
        <w:t xml:space="preserve"> </w:t>
      </w:r>
      <w:r w:rsidR="00F74769">
        <w:t xml:space="preserve">undertaken </w:t>
      </w:r>
      <w:r w:rsidR="00F74769" w:rsidRPr="00B1117A">
        <w:t xml:space="preserve">on </w:t>
      </w:r>
      <w:r w:rsidR="00F74769">
        <w:t>submissions regarding:</w:t>
      </w:r>
    </w:p>
    <w:p w14:paraId="02A5D302" w14:textId="77777777" w:rsidR="00F74769" w:rsidRPr="00022FAF" w:rsidRDefault="00F74769" w:rsidP="00624EA7">
      <w:pPr>
        <w:pStyle w:val="ListParagraph"/>
      </w:pPr>
      <w:r w:rsidRPr="00022FAF">
        <w:t>appropriate level of e</w:t>
      </w:r>
      <w:r w:rsidR="00DD6921">
        <w:t>ducation/qualification required</w:t>
      </w:r>
    </w:p>
    <w:p w14:paraId="2E9C9286" w14:textId="77777777" w:rsidR="00F74769" w:rsidRPr="00022FAF" w:rsidRDefault="00F74769" w:rsidP="00624EA7">
      <w:pPr>
        <w:pStyle w:val="ListParagraph"/>
      </w:pPr>
      <w:r w:rsidRPr="00022FAF">
        <w:t>grandfathering for people cur</w:t>
      </w:r>
      <w:r w:rsidR="00DD6921">
        <w:t>rently employed in the industry</w:t>
      </w:r>
    </w:p>
    <w:p w14:paraId="47ADEB42" w14:textId="77777777" w:rsidR="00F74769" w:rsidRPr="00022FAF" w:rsidRDefault="00F74769" w:rsidP="00624EA7">
      <w:pPr>
        <w:pStyle w:val="ListParagraph"/>
      </w:pPr>
      <w:r w:rsidRPr="00022FAF">
        <w:t xml:space="preserve">impacts/concerns associated with the proposals put forward in the </w:t>
      </w:r>
      <w:r w:rsidR="00DD6921">
        <w:t>Consultation RIS</w:t>
      </w:r>
    </w:p>
    <w:p w14:paraId="762725E1" w14:textId="77777777" w:rsidR="00072738" w:rsidRPr="00022FAF" w:rsidRDefault="00F74769" w:rsidP="00624EA7">
      <w:pPr>
        <w:pStyle w:val="ListParagraph"/>
      </w:pPr>
      <w:proofErr w:type="gramStart"/>
      <w:r w:rsidRPr="00022FAF">
        <w:t>consideration</w:t>
      </w:r>
      <w:proofErr w:type="gramEnd"/>
      <w:r w:rsidRPr="00022FAF">
        <w:t xml:space="preserve"> of equipment/premises requirements.</w:t>
      </w:r>
    </w:p>
    <w:p w14:paraId="2F0786D1" w14:textId="30C1277B" w:rsidR="00072738" w:rsidRPr="00683743" w:rsidRDefault="00072738" w:rsidP="00694949">
      <w:r w:rsidRPr="00E72C53">
        <w:t xml:space="preserve">Figure </w:t>
      </w:r>
      <w:r>
        <w:t>3.</w:t>
      </w:r>
      <w:r w:rsidRPr="00E72C53">
        <w:t xml:space="preserve">7 indicates </w:t>
      </w:r>
      <w:r>
        <w:t xml:space="preserve">the level of qualification </w:t>
      </w:r>
      <w:r w:rsidR="00771A79">
        <w:t xml:space="preserve">stakeholders felt was appropriate </w:t>
      </w:r>
      <w:r>
        <w:t xml:space="preserve">for </w:t>
      </w:r>
      <w:r w:rsidR="00000EFC">
        <w:t xml:space="preserve">the industry </w:t>
      </w:r>
      <w:r w:rsidR="00771A79">
        <w:t>in general</w:t>
      </w:r>
      <w:r>
        <w:t xml:space="preserve">. As demonstrated, 98 of the 241 respondents were of the view </w:t>
      </w:r>
      <w:r w:rsidRPr="00E72C53">
        <w:t xml:space="preserve">that a degree level of education, </w:t>
      </w:r>
      <w:r>
        <w:t xml:space="preserve">rather than a </w:t>
      </w:r>
      <w:r w:rsidRPr="00E72C53">
        <w:t>shorter course</w:t>
      </w:r>
      <w:r w:rsidR="00771A79">
        <w:t xml:space="preserve"> or</w:t>
      </w:r>
      <w:r>
        <w:t xml:space="preserve"> an advanced diploma</w:t>
      </w:r>
      <w:r w:rsidR="00000EFC">
        <w:t>,</w:t>
      </w:r>
      <w:r w:rsidRPr="00E72C53">
        <w:t xml:space="preserve"> should be undertaken </w:t>
      </w:r>
      <w:r>
        <w:t xml:space="preserve">as a requirement to be considered appropriately qualified to </w:t>
      </w:r>
      <w:r w:rsidR="00000EFC">
        <w:t>deliver</w:t>
      </w:r>
      <w:r>
        <w:t xml:space="preserve"> laser/IPL treatments</w:t>
      </w:r>
      <w:r w:rsidR="00000EFC">
        <w:t xml:space="preserve"> safely</w:t>
      </w:r>
      <w:r w:rsidRPr="00E72C53">
        <w:t xml:space="preserve">. Of the 98 </w:t>
      </w:r>
      <w:r>
        <w:t>responden</w:t>
      </w:r>
      <w:r w:rsidRPr="00E72C53">
        <w:t>ts who support</w:t>
      </w:r>
      <w:r>
        <w:t>ed</w:t>
      </w:r>
      <w:r w:rsidRPr="00E72C53">
        <w:t xml:space="preserve"> a degree</w:t>
      </w:r>
      <w:r>
        <w:t>,</w:t>
      </w:r>
      <w:r w:rsidRPr="00E72C53">
        <w:t xml:space="preserve"> 49% were </w:t>
      </w:r>
      <w:r w:rsidR="006F5F38">
        <w:t>registered medical practi</w:t>
      </w:r>
      <w:r w:rsidR="00D55AB5">
        <w:t>ti</w:t>
      </w:r>
      <w:r w:rsidR="006F5F38">
        <w:t>oners</w:t>
      </w:r>
      <w:r w:rsidRPr="00E72C53">
        <w:t xml:space="preserve"> and 35% were </w:t>
      </w:r>
      <w:r>
        <w:t xml:space="preserve">non-medical </w:t>
      </w:r>
      <w:proofErr w:type="gramStart"/>
      <w:r w:rsidRPr="00E72C53">
        <w:t>operators</w:t>
      </w:r>
      <w:r w:rsidR="00336CD8">
        <w:t>.</w:t>
      </w:r>
      <w:r w:rsidR="006F5F38">
        <w:t>,</w:t>
      </w:r>
      <w:proofErr w:type="gramEnd"/>
      <w:r w:rsidR="006F5F38">
        <w:t xml:space="preserve"> </w:t>
      </w:r>
      <w:r w:rsidRPr="00E72C53">
        <w:t>Of the 51 respond</w:t>
      </w:r>
      <w:r>
        <w:t>e</w:t>
      </w:r>
      <w:r w:rsidRPr="00E72C53">
        <w:t>nts supporting a 6-12 month course</w:t>
      </w:r>
      <w:r w:rsidR="00E6082D">
        <w:t>,</w:t>
      </w:r>
      <w:r w:rsidRPr="00E72C53">
        <w:t xml:space="preserve"> 78% were </w:t>
      </w:r>
      <w:r>
        <w:t xml:space="preserve">non-medical </w:t>
      </w:r>
      <w:r w:rsidRPr="00E72C53">
        <w:t>operators</w:t>
      </w:r>
      <w:r w:rsidR="00D55AB5">
        <w:t xml:space="preserve"> and 4 % were registered medical practitioners</w:t>
      </w:r>
      <w:r w:rsidRPr="00E72C53">
        <w:t>.</w:t>
      </w:r>
      <w:r>
        <w:t xml:space="preserve"> All who supported no change were non-medical operators</w:t>
      </w:r>
      <w:r w:rsidR="00F86D2D">
        <w:t>,</w:t>
      </w:r>
      <w:r>
        <w:t xml:space="preserve"> and those </w:t>
      </w:r>
      <w:r w:rsidR="00F86D2D">
        <w:t xml:space="preserve">who </w:t>
      </w:r>
      <w:r>
        <w:t xml:space="preserve">supported short courses were </w:t>
      </w:r>
      <w:r w:rsidR="00F86D2D">
        <w:t>n</w:t>
      </w:r>
      <w:r>
        <w:t>on-medical operators (82%) and suppliers (18%).</w:t>
      </w:r>
    </w:p>
    <w:p w14:paraId="050458B6" w14:textId="77777777" w:rsidR="00F74769" w:rsidRPr="00B844A1" w:rsidRDefault="005A5E7A" w:rsidP="00B844A1">
      <w:pPr>
        <w:pStyle w:val="Caption"/>
        <w:spacing w:before="240" w:after="0"/>
      </w:pPr>
      <w:r>
        <w:rPr>
          <w:noProof/>
          <w:lang w:eastAsia="en-AU"/>
        </w:rPr>
        <w:drawing>
          <wp:inline distT="0" distB="0" distL="0" distR="0" wp14:anchorId="12CBE8AE" wp14:editId="33AA1548">
            <wp:extent cx="5731510" cy="3809896"/>
            <wp:effectExtent l="0" t="0" r="21590" b="196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C721DD" w14:textId="4ABFEE1A" w:rsidR="00072738" w:rsidRPr="000B3720" w:rsidRDefault="00072738" w:rsidP="00694949">
      <w:pPr>
        <w:pStyle w:val="Caption"/>
      </w:pPr>
      <w:r w:rsidRPr="000B3720">
        <w:t>Figure 3.7</w:t>
      </w:r>
      <w:r w:rsidR="00000EFC" w:rsidRPr="000B3720">
        <w:t xml:space="preserve">: </w:t>
      </w:r>
      <w:r w:rsidR="00694949">
        <w:tab/>
      </w:r>
      <w:r w:rsidR="00000EFC" w:rsidRPr="000B3720">
        <w:t xml:space="preserve">Stakeholder feedback for appropriate </w:t>
      </w:r>
      <w:r w:rsidR="005A5E7A" w:rsidRPr="000B3720">
        <w:t>qualification</w:t>
      </w:r>
      <w:r w:rsidR="00000EFC" w:rsidRPr="000B3720">
        <w:t xml:space="preserve"> levels to deliver laser/IPL treatments.</w:t>
      </w:r>
    </w:p>
    <w:p w14:paraId="5B6B0E60" w14:textId="77777777" w:rsidR="00327743" w:rsidRDefault="00327743">
      <w:pPr>
        <w:spacing w:before="0"/>
        <w:rPr>
          <w:rFonts w:ascii="Calibri" w:hAnsi="Calibri"/>
        </w:rPr>
      </w:pPr>
      <w:r>
        <w:rPr>
          <w:rFonts w:ascii="Calibri" w:hAnsi="Calibri"/>
        </w:rPr>
        <w:br w:type="page"/>
      </w:r>
    </w:p>
    <w:p w14:paraId="351352B7" w14:textId="51131BBE" w:rsidR="00000EFC" w:rsidRDefault="00000EFC" w:rsidP="00B844A1">
      <w:r w:rsidRPr="00E72C53">
        <w:t>Grandfath</w:t>
      </w:r>
      <w:r>
        <w:t>er</w:t>
      </w:r>
      <w:r w:rsidRPr="00E72C53">
        <w:t xml:space="preserve">ing was not </w:t>
      </w:r>
      <w:r>
        <w:t>addressed</w:t>
      </w:r>
      <w:r w:rsidRPr="00E72C53">
        <w:t xml:space="preserve"> in the </w:t>
      </w:r>
      <w:r>
        <w:t>Consultation</w:t>
      </w:r>
      <w:r w:rsidRPr="00E72C53">
        <w:t xml:space="preserve"> RIS</w:t>
      </w:r>
      <w:r>
        <w:t>. However, it was raised as an issue by a number of respondents</w:t>
      </w:r>
      <w:r w:rsidR="00D44602">
        <w:t xml:space="preserve"> </w:t>
      </w:r>
      <w:r w:rsidR="00134934">
        <w:t xml:space="preserve">(14%) </w:t>
      </w:r>
      <w:r w:rsidR="00D44602">
        <w:t>as shown in Figure 3.8</w:t>
      </w:r>
      <w:r>
        <w:t>.</w:t>
      </w:r>
      <w:r w:rsidRPr="00E72C53">
        <w:t xml:space="preserve"> </w:t>
      </w:r>
      <w:r w:rsidR="00297899">
        <w:t>Of</w:t>
      </w:r>
      <w:r w:rsidRPr="00E72C53">
        <w:t xml:space="preserve"> those </w:t>
      </w:r>
      <w:r>
        <w:t xml:space="preserve">who indicated their </w:t>
      </w:r>
      <w:r w:rsidR="00297899">
        <w:t xml:space="preserve">full </w:t>
      </w:r>
      <w:r>
        <w:t>support for grandfathering</w:t>
      </w:r>
      <w:r w:rsidR="00297899">
        <w:t xml:space="preserve"> (12%), the majority </w:t>
      </w:r>
      <w:r>
        <w:t xml:space="preserve">were current operators </w:t>
      </w:r>
      <w:r w:rsidRPr="00E72C53">
        <w:t>(69%)</w:t>
      </w:r>
      <w:r>
        <w:t xml:space="preserve"> that did not meet the requirements for licensing proposed by the model in Option 3</w:t>
      </w:r>
      <w:r w:rsidRPr="00E72C53">
        <w:t>.</w:t>
      </w:r>
      <w:r w:rsidR="00BF3D1E">
        <w:t xml:space="preserve"> The respondents that offered any form of justification for this position cited their own safety record as evidence.</w:t>
      </w:r>
    </w:p>
    <w:p w14:paraId="1EFF3C3B" w14:textId="7C8C3F83" w:rsidR="00F74769" w:rsidRPr="001E427D" w:rsidRDefault="00B339E4" w:rsidP="00B844A1">
      <w:pPr>
        <w:jc w:val="center"/>
        <w:rPr>
          <w:rFonts w:ascii="Calibri" w:hAnsi="Calibri"/>
        </w:rPr>
      </w:pPr>
      <w:r w:rsidRPr="001E427D">
        <w:rPr>
          <w:rFonts w:ascii="Calibri" w:hAnsi="Calibri"/>
          <w:noProof/>
          <w:lang w:eastAsia="en-AU"/>
        </w:rPr>
        <w:drawing>
          <wp:inline distT="0" distB="0" distL="0" distR="0" wp14:anchorId="40B66B71" wp14:editId="2B6D7D9A">
            <wp:extent cx="5734050" cy="3724275"/>
            <wp:effectExtent l="0" t="0" r="1905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01D12D" w14:textId="401E37FB" w:rsidR="0068650B" w:rsidRPr="00000EFC" w:rsidRDefault="00D44602" w:rsidP="00694949">
      <w:pPr>
        <w:pStyle w:val="Caption"/>
      </w:pPr>
      <w:r>
        <w:t>Figure 3.8</w:t>
      </w:r>
      <w:r w:rsidR="0068650B" w:rsidRPr="00000EFC">
        <w:t xml:space="preserve">: </w:t>
      </w:r>
      <w:r w:rsidR="00694949">
        <w:tab/>
      </w:r>
      <w:r w:rsidR="0068650B" w:rsidRPr="00000EFC">
        <w:t xml:space="preserve">Stakeholder </w:t>
      </w:r>
      <w:r w:rsidR="0068650B">
        <w:t>support for grandfathering of existing operators</w:t>
      </w:r>
      <w:r w:rsidR="0068650B" w:rsidRPr="00000EFC">
        <w:t>.</w:t>
      </w:r>
    </w:p>
    <w:p w14:paraId="605FEC6C" w14:textId="3756ABC5" w:rsidR="00515FB3" w:rsidRDefault="00EE4ABB" w:rsidP="00694949">
      <w:r>
        <w:t xml:space="preserve">Thirty-eight per cent </w:t>
      </w:r>
      <w:r w:rsidR="00515FB3">
        <w:t xml:space="preserve">of respondents made comments that the proposed changes </w:t>
      </w:r>
      <w:r w:rsidR="00581279">
        <w:t>(</w:t>
      </w:r>
      <w:r w:rsidR="00515FB3">
        <w:t>in reference to their preferred option</w:t>
      </w:r>
      <w:r w:rsidR="00581279">
        <w:t>)</w:t>
      </w:r>
      <w:r w:rsidR="00515FB3">
        <w:t xml:space="preserve"> would have positive impacts to improve client safety</w:t>
      </w:r>
      <w:r w:rsidR="00581279">
        <w:t>,</w:t>
      </w:r>
      <w:r w:rsidR="00515FB3">
        <w:t xml:space="preserve"> or that client safety needed to be improved by making changes. Other </w:t>
      </w:r>
      <w:r w:rsidR="00C40E10">
        <w:t>respondent</w:t>
      </w:r>
      <w:r w:rsidR="00515FB3">
        <w:t xml:space="preserve">s </w:t>
      </w:r>
      <w:r w:rsidR="00C40E10">
        <w:t>expressed</w:t>
      </w:r>
      <w:r w:rsidR="00515FB3">
        <w:t xml:space="preserve"> concerns regarding </w:t>
      </w:r>
      <w:r w:rsidR="00C40E10">
        <w:t>impacts to their business</w:t>
      </w:r>
      <w:r w:rsidR="00581279">
        <w:t>,</w:t>
      </w:r>
      <w:r w:rsidR="00C40E10">
        <w:t xml:space="preserve"> where business and training costs were specifically and often identified.</w:t>
      </w:r>
      <w:r w:rsidR="00D44602">
        <w:t xml:space="preserve"> Figure 3.9 shows stakeholder response</w:t>
      </w:r>
      <w:r w:rsidR="00581279">
        <w:t>s</w:t>
      </w:r>
      <w:r w:rsidR="00D44602">
        <w:t xml:space="preserve"> to specific </w:t>
      </w:r>
      <w:r w:rsidR="001448CB">
        <w:t xml:space="preserve">matters </w:t>
      </w:r>
      <w:r w:rsidR="00D173F0">
        <w:t xml:space="preserve">in </w:t>
      </w:r>
      <w:r w:rsidR="00581279">
        <w:t xml:space="preserve">relation </w:t>
      </w:r>
      <w:r w:rsidR="00D173F0">
        <w:t xml:space="preserve">to potential </w:t>
      </w:r>
      <w:r w:rsidR="00D44602">
        <w:t>impacts in the industry should regulation proposed in</w:t>
      </w:r>
      <w:r w:rsidR="00D76E5D">
        <w:t xml:space="preserve"> </w:t>
      </w:r>
      <w:r w:rsidR="00D44602">
        <w:t>Option 3 be introduced</w:t>
      </w:r>
      <w:r w:rsidR="001448CB">
        <w:t>.</w:t>
      </w:r>
    </w:p>
    <w:p w14:paraId="3A49529F" w14:textId="77777777" w:rsidR="001448CB" w:rsidRPr="001E427D" w:rsidRDefault="001448CB" w:rsidP="001E427D">
      <w:pPr>
        <w:spacing w:before="200"/>
        <w:rPr>
          <w:rFonts w:ascii="Calibri" w:hAnsi="Calibri"/>
        </w:rPr>
      </w:pPr>
    </w:p>
    <w:p w14:paraId="2F5D24DC" w14:textId="77777777" w:rsidR="00F74769" w:rsidRPr="00515FB3" w:rsidRDefault="007205C7" w:rsidP="00B844A1">
      <w:pPr>
        <w:pStyle w:val="Caption"/>
        <w:jc w:val="center"/>
      </w:pPr>
      <w:r>
        <w:rPr>
          <w:noProof/>
          <w:lang w:eastAsia="en-AU"/>
        </w:rPr>
        <w:drawing>
          <wp:inline distT="0" distB="0" distL="0" distR="0" wp14:anchorId="235BCDB6" wp14:editId="13EF8507">
            <wp:extent cx="5731510" cy="3809896"/>
            <wp:effectExtent l="0" t="0" r="21590" b="196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8C6F6B" w14:textId="77777777" w:rsidR="00515FB3" w:rsidRPr="00B844A1" w:rsidRDefault="00515FB3" w:rsidP="00B844A1">
      <w:pPr>
        <w:pStyle w:val="Caption"/>
      </w:pPr>
      <w:r w:rsidRPr="00B844A1">
        <w:t>Figure</w:t>
      </w:r>
      <w:r w:rsidR="00D173F0" w:rsidRPr="00B844A1">
        <w:t xml:space="preserve"> 3.9:</w:t>
      </w:r>
      <w:r w:rsidR="00DD6921" w:rsidRPr="00B844A1">
        <w:tab/>
      </w:r>
      <w:r w:rsidR="00D173F0" w:rsidRPr="00B844A1">
        <w:t>Stakeholder response to potential changes that oversight of the industry may imply.</w:t>
      </w:r>
    </w:p>
    <w:p w14:paraId="079B3185" w14:textId="77777777" w:rsidR="00327743" w:rsidRDefault="00D173F0" w:rsidP="00694949">
      <w:r>
        <w:t>A</w:t>
      </w:r>
      <w:r w:rsidR="00F74769" w:rsidRPr="00B1117A">
        <w:t xml:space="preserve"> total of </w:t>
      </w:r>
      <w:r w:rsidR="00F74769">
        <w:t>20%</w:t>
      </w:r>
      <w:r w:rsidR="00F74769" w:rsidRPr="00B1117A">
        <w:t xml:space="preserve"> </w:t>
      </w:r>
      <w:r w:rsidR="00F74769">
        <w:t xml:space="preserve">of all </w:t>
      </w:r>
      <w:r w:rsidR="00F74769" w:rsidRPr="00B1117A">
        <w:t>respondents noted that some level of equipment approval (</w:t>
      </w:r>
      <w:r w:rsidR="00F74769">
        <w:t xml:space="preserve">e.g. </w:t>
      </w:r>
      <w:r w:rsidR="00F74769" w:rsidRPr="00B1117A">
        <w:t>TGA</w:t>
      </w:r>
      <w:r w:rsidR="00F74769">
        <w:t xml:space="preserve"> approval</w:t>
      </w:r>
      <w:r w:rsidR="00F74769" w:rsidRPr="00B1117A">
        <w:t xml:space="preserve">) and/or </w:t>
      </w:r>
      <w:r w:rsidR="00F74769">
        <w:t>premises</w:t>
      </w:r>
      <w:r w:rsidR="00F74769" w:rsidRPr="00B1117A">
        <w:t xml:space="preserve"> </w:t>
      </w:r>
      <w:r w:rsidR="00F74769">
        <w:t>licensing</w:t>
      </w:r>
      <w:r w:rsidR="00F74769" w:rsidRPr="00B1117A">
        <w:t xml:space="preserve"> should</w:t>
      </w:r>
      <w:r w:rsidR="00F74769">
        <w:t xml:space="preserve"> also</w:t>
      </w:r>
      <w:r w:rsidR="00F74769" w:rsidRPr="00B1117A">
        <w:t xml:space="preserve"> be required.</w:t>
      </w:r>
      <w:r>
        <w:t xml:space="preserve"> The other submissions did not provide comment on this matter.</w:t>
      </w:r>
    </w:p>
    <w:p w14:paraId="66BBECE5" w14:textId="77777777" w:rsidR="00FD1099" w:rsidRPr="00181813" w:rsidRDefault="00022FAF" w:rsidP="00022FAF">
      <w:pPr>
        <w:pStyle w:val="Heading1"/>
      </w:pPr>
      <w:bookmarkStart w:id="19" w:name="_Toc478567679"/>
      <w:r>
        <w:t>Discussion</w:t>
      </w:r>
      <w:bookmarkEnd w:id="19"/>
    </w:p>
    <w:p w14:paraId="527BECCD" w14:textId="77777777" w:rsidR="00526DCE" w:rsidRDefault="00526DCE" w:rsidP="00526DCE">
      <w:pPr>
        <w:pStyle w:val="Heading2"/>
      </w:pPr>
      <w:bookmarkStart w:id="20" w:name="_Toc478567680"/>
      <w:r>
        <w:t xml:space="preserve">Implications of </w:t>
      </w:r>
      <w:r w:rsidR="00F33204">
        <w:t xml:space="preserve">the </w:t>
      </w:r>
      <w:r w:rsidR="00EF1B74">
        <w:t>c</w:t>
      </w:r>
      <w:r>
        <w:t>onsultation</w:t>
      </w:r>
      <w:bookmarkEnd w:id="20"/>
    </w:p>
    <w:p w14:paraId="7738459E" w14:textId="261A3D70" w:rsidR="00F33204" w:rsidRPr="001E427D" w:rsidRDefault="00F33204" w:rsidP="00694949">
      <w:r w:rsidRPr="001E427D">
        <w:t>From the analysis of the 241 submissions</w:t>
      </w:r>
      <w:r w:rsidR="00581279">
        <w:t>,</w:t>
      </w:r>
      <w:r w:rsidRPr="001E427D">
        <w:t xml:space="preserve"> it was clear that very few of the respondents addressed any of </w:t>
      </w:r>
      <w:r w:rsidR="001448CB">
        <w:t xml:space="preserve">the </w:t>
      </w:r>
      <w:r w:rsidRPr="001E427D">
        <w:t>nine points invited for consultation</w:t>
      </w:r>
      <w:r w:rsidR="00581279">
        <w:t>,</w:t>
      </w:r>
      <w:r w:rsidRPr="001E427D">
        <w:t xml:space="preserve"> and those that did</w:t>
      </w:r>
      <w:r w:rsidR="00F86D2D">
        <w:t>,</w:t>
      </w:r>
      <w:r w:rsidRPr="001E427D">
        <w:t xml:space="preserve"> provided responses that were mostly </w:t>
      </w:r>
      <w:r w:rsidR="00EE4ABB">
        <w:t xml:space="preserve">subjective or </w:t>
      </w:r>
      <w:r w:rsidRPr="001E427D">
        <w:t xml:space="preserve">emotive. Some responses contained additional information disputing </w:t>
      </w:r>
      <w:r w:rsidR="006E7B00" w:rsidRPr="001E427D">
        <w:t>some of the data presented, mainly</w:t>
      </w:r>
      <w:r w:rsidRPr="001E427D">
        <w:t xml:space="preserve"> the </w:t>
      </w:r>
      <w:r w:rsidR="006E7B00" w:rsidRPr="001E427D">
        <w:t xml:space="preserve">estimated </w:t>
      </w:r>
      <w:r w:rsidRPr="001E427D">
        <w:t>cost of training as proposed in the Consultation RIS. Although these were noted, there was an insufficient volume of re</w:t>
      </w:r>
      <w:r w:rsidR="001A3B93" w:rsidRPr="001E427D">
        <w:t>sponses containing evidence or traceable data that could be added to further enhance a snapshot of the industry beyond the data given in the Consultation RIS.</w:t>
      </w:r>
      <w:r w:rsidR="001448CB">
        <w:t xml:space="preserve"> </w:t>
      </w:r>
    </w:p>
    <w:p w14:paraId="44D3B3BC" w14:textId="39CF681C" w:rsidR="005C695E" w:rsidRPr="001E427D" w:rsidRDefault="005C695E" w:rsidP="00694949">
      <w:r w:rsidRPr="001E427D">
        <w:t xml:space="preserve">When compared </w:t>
      </w:r>
      <w:r w:rsidR="00F86D2D">
        <w:t>with</w:t>
      </w:r>
      <w:r w:rsidRPr="001E427D">
        <w:t xml:space="preserve"> Aust</w:t>
      </w:r>
      <w:r w:rsidR="00A81342" w:rsidRPr="001E427D">
        <w:t xml:space="preserve">ralian population demographics from the </w:t>
      </w:r>
      <w:r w:rsidRPr="001E427D">
        <w:t>Australian Bureau of Statistics</w:t>
      </w:r>
      <w:r w:rsidR="00A81342" w:rsidRPr="001E427D">
        <w:t xml:space="preserve"> (ABS)</w:t>
      </w:r>
      <w:r w:rsidRPr="001E427D">
        <w:t>,</w:t>
      </w:r>
      <w:r w:rsidR="0003397F" w:rsidRPr="001E427D">
        <w:t xml:space="preserve"> as shown in </w:t>
      </w:r>
      <w:r w:rsidR="00250702" w:rsidRPr="001E427D">
        <w:t>Table</w:t>
      </w:r>
      <w:r w:rsidR="0003397F" w:rsidRPr="001E427D">
        <w:t xml:space="preserve"> 4.1,</w:t>
      </w:r>
      <w:r w:rsidRPr="001E427D">
        <w:t xml:space="preserve"> it can be seen that the response rate to the </w:t>
      </w:r>
      <w:r w:rsidR="00EE4ABB">
        <w:t>C</w:t>
      </w:r>
      <w:r w:rsidRPr="001E427D">
        <w:t xml:space="preserve">onsultation RIS by jurisdiction was comparable to the population of each state and territory. This gives </w:t>
      </w:r>
      <w:r w:rsidR="0003397F" w:rsidRPr="001E427D">
        <w:t xml:space="preserve">a </w:t>
      </w:r>
      <w:r w:rsidRPr="001E427D">
        <w:t xml:space="preserve">reasonable </w:t>
      </w:r>
      <w:r w:rsidR="0003397F" w:rsidRPr="001E427D">
        <w:t xml:space="preserve">measure </w:t>
      </w:r>
      <w:r w:rsidRPr="001E427D">
        <w:t xml:space="preserve">that </w:t>
      </w:r>
      <w:r w:rsidR="0003397F" w:rsidRPr="001E427D">
        <w:t>stakeholders were well represented nationally. Also, the consultation generated responses from a wide range of stakeholders (Figure 3.1).</w:t>
      </w:r>
      <w:r w:rsidR="00E94B77">
        <w:t xml:space="preserve"> Despite this correlation, it is important to note that there were no submissions from consumers or consumer groups.</w:t>
      </w:r>
    </w:p>
    <w:p w14:paraId="08A31E60" w14:textId="77777777" w:rsidR="00250702" w:rsidRPr="00250702" w:rsidRDefault="00250702" w:rsidP="00B844A1">
      <w:pPr>
        <w:pStyle w:val="Caption"/>
        <w:pageBreakBefore/>
      </w:pPr>
      <w:r w:rsidRPr="00DD6921">
        <w:t>Table</w:t>
      </w:r>
      <w:r w:rsidRPr="00250702">
        <w:t xml:space="preserve"> 4.1: </w:t>
      </w:r>
      <w:r w:rsidR="00DD6921">
        <w:tab/>
      </w:r>
      <w:r w:rsidRPr="00250702">
        <w:t>Population demographics of Australia compared to Consultation RIS response rate by jurisdiction.</w:t>
      </w:r>
    </w:p>
    <w:tbl>
      <w:tblPr>
        <w:tblStyle w:val="LightList-Accent1"/>
        <w:tblW w:w="9322" w:type="dxa"/>
        <w:tblBorders>
          <w:top w:val="single" w:sz="8" w:space="0" w:color="4E1A74"/>
          <w:left w:val="single" w:sz="8" w:space="0" w:color="4E1A74"/>
          <w:bottom w:val="single" w:sz="8" w:space="0" w:color="4E1A74"/>
          <w:right w:val="single" w:sz="8" w:space="0" w:color="4E1A74"/>
          <w:insideH w:val="single" w:sz="8" w:space="0" w:color="4E1A74"/>
        </w:tblBorders>
        <w:tblLayout w:type="fixed"/>
        <w:tblLook w:val="0420" w:firstRow="1" w:lastRow="0" w:firstColumn="0" w:lastColumn="0" w:noHBand="0" w:noVBand="1"/>
      </w:tblPr>
      <w:tblGrid>
        <w:gridCol w:w="3107"/>
        <w:gridCol w:w="3107"/>
        <w:gridCol w:w="3108"/>
      </w:tblGrid>
      <w:tr w:rsidR="00617B58" w:rsidRPr="00617B58" w14:paraId="3A1F7C03" w14:textId="77777777" w:rsidTr="00617B58">
        <w:trPr>
          <w:cnfStyle w:val="100000000000" w:firstRow="1" w:lastRow="0" w:firstColumn="0" w:lastColumn="0" w:oddVBand="0" w:evenVBand="0" w:oddHBand="0" w:evenHBand="0" w:firstRowFirstColumn="0" w:firstRowLastColumn="0" w:lastRowFirstColumn="0" w:lastRowLastColumn="0"/>
          <w:trHeight w:val="454"/>
        </w:trPr>
        <w:tc>
          <w:tcPr>
            <w:tcW w:w="3107" w:type="dxa"/>
            <w:tcBorders>
              <w:top w:val="single" w:sz="4" w:space="0" w:color="4E1A74"/>
              <w:left w:val="single" w:sz="4" w:space="0" w:color="4E1A74"/>
              <w:bottom w:val="single" w:sz="4" w:space="0" w:color="4E1A74"/>
            </w:tcBorders>
            <w:shd w:val="clear" w:color="auto" w:fill="4E1A74"/>
            <w:noWrap/>
            <w:vAlign w:val="center"/>
            <w:hideMark/>
          </w:tcPr>
          <w:p w14:paraId="74D0EBA4" w14:textId="77777777" w:rsidR="00250702" w:rsidRPr="00617B58" w:rsidRDefault="00250702" w:rsidP="00617B58">
            <w:pPr>
              <w:spacing w:before="60" w:after="60"/>
              <w:jc w:val="center"/>
              <w:rPr>
                <w:rFonts w:ascii="Calibri" w:eastAsia="Times New Roman" w:hAnsi="Calibri" w:cs="Times New Roman"/>
                <w:bCs w:val="0"/>
                <w:color w:val="FFFFFF" w:themeColor="background1"/>
                <w:lang w:eastAsia="en-AU"/>
              </w:rPr>
            </w:pPr>
            <w:r w:rsidRPr="00617B58">
              <w:rPr>
                <w:rFonts w:ascii="Calibri" w:eastAsia="Times New Roman" w:hAnsi="Calibri" w:cs="Times New Roman"/>
                <w:color w:val="FFFFFF" w:themeColor="background1"/>
                <w:lang w:eastAsia="en-AU"/>
              </w:rPr>
              <w:t>Jurisdiction</w:t>
            </w:r>
          </w:p>
        </w:tc>
        <w:tc>
          <w:tcPr>
            <w:tcW w:w="3107" w:type="dxa"/>
            <w:tcBorders>
              <w:top w:val="single" w:sz="4" w:space="0" w:color="4E1A74"/>
              <w:bottom w:val="single" w:sz="4" w:space="0" w:color="4E1A74"/>
            </w:tcBorders>
            <w:shd w:val="clear" w:color="auto" w:fill="4E1A74"/>
            <w:vAlign w:val="center"/>
            <w:hideMark/>
          </w:tcPr>
          <w:p w14:paraId="0DECD736" w14:textId="6CECD10C" w:rsidR="00250702" w:rsidRPr="00617B58" w:rsidRDefault="00250702" w:rsidP="00624EA7">
            <w:pPr>
              <w:spacing w:before="60" w:after="60"/>
              <w:jc w:val="center"/>
              <w:rPr>
                <w:rFonts w:ascii="Calibri" w:eastAsia="Times New Roman" w:hAnsi="Calibri" w:cs="Times New Roman"/>
                <w:bCs w:val="0"/>
                <w:color w:val="FFFFFF" w:themeColor="background1"/>
                <w:lang w:eastAsia="en-AU"/>
              </w:rPr>
            </w:pPr>
            <w:r w:rsidRPr="00617B58">
              <w:rPr>
                <w:rFonts w:ascii="Calibri" w:eastAsia="Times New Roman" w:hAnsi="Calibri" w:cs="Times New Roman"/>
                <w:color w:val="FFFFFF" w:themeColor="background1"/>
                <w:lang w:eastAsia="en-AU"/>
              </w:rPr>
              <w:t>Percentage of National Population (ABS</w:t>
            </w:r>
            <w:r w:rsidR="00A81342" w:rsidRPr="00617B58">
              <w:rPr>
                <w:rFonts w:ascii="Calibri" w:eastAsia="Times New Roman" w:hAnsi="Calibri" w:cs="Times New Roman"/>
                <w:color w:val="FFFFFF" w:themeColor="background1"/>
                <w:lang w:eastAsia="en-AU"/>
              </w:rPr>
              <w:t xml:space="preserve"> 2016</w:t>
            </w:r>
            <w:r w:rsidRPr="00617B58">
              <w:rPr>
                <w:rFonts w:ascii="Calibri" w:eastAsia="Times New Roman" w:hAnsi="Calibri" w:cs="Times New Roman"/>
                <w:color w:val="FFFFFF" w:themeColor="background1"/>
                <w:lang w:eastAsia="en-AU"/>
              </w:rPr>
              <w:t>)</w:t>
            </w:r>
          </w:p>
        </w:tc>
        <w:tc>
          <w:tcPr>
            <w:tcW w:w="3108" w:type="dxa"/>
            <w:tcBorders>
              <w:top w:val="single" w:sz="4" w:space="0" w:color="4E1A74"/>
              <w:bottom w:val="single" w:sz="4" w:space="0" w:color="4E1A74"/>
              <w:right w:val="single" w:sz="4" w:space="0" w:color="4E1A74"/>
            </w:tcBorders>
            <w:shd w:val="clear" w:color="auto" w:fill="4E1A74"/>
            <w:vAlign w:val="center"/>
            <w:hideMark/>
          </w:tcPr>
          <w:p w14:paraId="5208E3FF" w14:textId="77777777" w:rsidR="00250702" w:rsidRPr="00617B58" w:rsidRDefault="00250702" w:rsidP="00617B58">
            <w:pPr>
              <w:spacing w:before="60" w:after="60"/>
              <w:jc w:val="center"/>
              <w:rPr>
                <w:rFonts w:ascii="Calibri" w:eastAsia="Times New Roman" w:hAnsi="Calibri" w:cs="Times New Roman"/>
                <w:bCs w:val="0"/>
                <w:color w:val="FFFFFF" w:themeColor="background1"/>
                <w:lang w:eastAsia="en-AU"/>
              </w:rPr>
            </w:pPr>
            <w:r w:rsidRPr="00617B58">
              <w:rPr>
                <w:rFonts w:ascii="Calibri" w:eastAsia="Times New Roman" w:hAnsi="Calibri" w:cs="Times New Roman"/>
                <w:color w:val="FFFFFF" w:themeColor="background1"/>
                <w:lang w:eastAsia="en-AU"/>
              </w:rPr>
              <w:t>Percentage of Responses to Consultation RIS</w:t>
            </w:r>
          </w:p>
        </w:tc>
      </w:tr>
      <w:tr w:rsidR="00250702" w:rsidRPr="00250702" w14:paraId="69B347D7" w14:textId="77777777" w:rsidTr="00617B58">
        <w:trPr>
          <w:cnfStyle w:val="000000100000" w:firstRow="0" w:lastRow="0" w:firstColumn="0" w:lastColumn="0" w:oddVBand="0" w:evenVBand="0" w:oddHBand="1" w:evenHBand="0" w:firstRowFirstColumn="0" w:firstRowLastColumn="0" w:lastRowFirstColumn="0" w:lastRowLastColumn="0"/>
          <w:trHeight w:val="435"/>
        </w:trPr>
        <w:tc>
          <w:tcPr>
            <w:tcW w:w="3107" w:type="dxa"/>
            <w:tcBorders>
              <w:top w:val="single" w:sz="4" w:space="0" w:color="4E1A74"/>
            </w:tcBorders>
            <w:noWrap/>
            <w:vAlign w:val="center"/>
            <w:hideMark/>
          </w:tcPr>
          <w:p w14:paraId="64E558C7"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NSW</w:t>
            </w:r>
          </w:p>
        </w:tc>
        <w:tc>
          <w:tcPr>
            <w:tcW w:w="3107" w:type="dxa"/>
            <w:tcBorders>
              <w:top w:val="single" w:sz="4" w:space="0" w:color="4E1A74"/>
            </w:tcBorders>
            <w:noWrap/>
            <w:vAlign w:val="center"/>
            <w:hideMark/>
          </w:tcPr>
          <w:p w14:paraId="4D8BB464" w14:textId="079346E0"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32</w:t>
            </w:r>
          </w:p>
        </w:tc>
        <w:tc>
          <w:tcPr>
            <w:tcW w:w="3108" w:type="dxa"/>
            <w:tcBorders>
              <w:top w:val="single" w:sz="4" w:space="0" w:color="4E1A74"/>
            </w:tcBorders>
            <w:noWrap/>
            <w:vAlign w:val="center"/>
            <w:hideMark/>
          </w:tcPr>
          <w:p w14:paraId="039441F7"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25</w:t>
            </w:r>
          </w:p>
        </w:tc>
      </w:tr>
      <w:tr w:rsidR="00250702" w:rsidRPr="00250702" w14:paraId="66129115" w14:textId="77777777" w:rsidTr="00617B58">
        <w:trPr>
          <w:trHeight w:val="435"/>
        </w:trPr>
        <w:tc>
          <w:tcPr>
            <w:tcW w:w="3107" w:type="dxa"/>
            <w:noWrap/>
            <w:vAlign w:val="center"/>
            <w:hideMark/>
          </w:tcPr>
          <w:p w14:paraId="1DD7FC44"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VIC</w:t>
            </w:r>
          </w:p>
        </w:tc>
        <w:tc>
          <w:tcPr>
            <w:tcW w:w="3107" w:type="dxa"/>
            <w:noWrap/>
            <w:vAlign w:val="center"/>
            <w:hideMark/>
          </w:tcPr>
          <w:p w14:paraId="01F58B88" w14:textId="3812B8C5"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25</w:t>
            </w:r>
          </w:p>
        </w:tc>
        <w:tc>
          <w:tcPr>
            <w:tcW w:w="3108" w:type="dxa"/>
            <w:noWrap/>
            <w:vAlign w:val="center"/>
            <w:hideMark/>
          </w:tcPr>
          <w:p w14:paraId="43F6972E"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w:t>
            </w:r>
          </w:p>
        </w:tc>
      </w:tr>
      <w:tr w:rsidR="00250702" w:rsidRPr="00250702" w14:paraId="28F3633C" w14:textId="77777777" w:rsidTr="00617B58">
        <w:trPr>
          <w:cnfStyle w:val="000000100000" w:firstRow="0" w:lastRow="0" w:firstColumn="0" w:lastColumn="0" w:oddVBand="0" w:evenVBand="0" w:oddHBand="1" w:evenHBand="0" w:firstRowFirstColumn="0" w:firstRowLastColumn="0" w:lastRowFirstColumn="0" w:lastRowLastColumn="0"/>
          <w:trHeight w:val="435"/>
        </w:trPr>
        <w:tc>
          <w:tcPr>
            <w:tcW w:w="3107" w:type="dxa"/>
            <w:noWrap/>
            <w:vAlign w:val="center"/>
            <w:hideMark/>
          </w:tcPr>
          <w:p w14:paraId="7154CD82"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QLD</w:t>
            </w:r>
          </w:p>
        </w:tc>
        <w:tc>
          <w:tcPr>
            <w:tcW w:w="3107" w:type="dxa"/>
            <w:noWrap/>
            <w:vAlign w:val="center"/>
            <w:hideMark/>
          </w:tcPr>
          <w:p w14:paraId="5D5CF03B" w14:textId="41473CA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20</w:t>
            </w:r>
          </w:p>
        </w:tc>
        <w:tc>
          <w:tcPr>
            <w:tcW w:w="3108" w:type="dxa"/>
            <w:noWrap/>
            <w:vAlign w:val="center"/>
            <w:hideMark/>
          </w:tcPr>
          <w:p w14:paraId="5178F8F3"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19</w:t>
            </w:r>
          </w:p>
        </w:tc>
      </w:tr>
      <w:tr w:rsidR="00250702" w:rsidRPr="00250702" w14:paraId="5182813E" w14:textId="77777777" w:rsidTr="00617B58">
        <w:trPr>
          <w:trHeight w:val="435"/>
        </w:trPr>
        <w:tc>
          <w:tcPr>
            <w:tcW w:w="3107" w:type="dxa"/>
            <w:noWrap/>
            <w:vAlign w:val="center"/>
            <w:hideMark/>
          </w:tcPr>
          <w:p w14:paraId="1C32D049"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SA</w:t>
            </w:r>
          </w:p>
        </w:tc>
        <w:tc>
          <w:tcPr>
            <w:tcW w:w="3107" w:type="dxa"/>
            <w:noWrap/>
            <w:vAlign w:val="center"/>
            <w:hideMark/>
          </w:tcPr>
          <w:p w14:paraId="646D520A" w14:textId="64EE9966"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w:t>
            </w:r>
          </w:p>
        </w:tc>
        <w:tc>
          <w:tcPr>
            <w:tcW w:w="3108" w:type="dxa"/>
            <w:noWrap/>
            <w:vAlign w:val="center"/>
            <w:hideMark/>
          </w:tcPr>
          <w:p w14:paraId="50F13B73"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5</w:t>
            </w:r>
          </w:p>
        </w:tc>
      </w:tr>
      <w:tr w:rsidR="00250702" w:rsidRPr="00250702" w14:paraId="37B84A16" w14:textId="77777777" w:rsidTr="00617B58">
        <w:trPr>
          <w:cnfStyle w:val="000000100000" w:firstRow="0" w:lastRow="0" w:firstColumn="0" w:lastColumn="0" w:oddVBand="0" w:evenVBand="0" w:oddHBand="1" w:evenHBand="0" w:firstRowFirstColumn="0" w:firstRowLastColumn="0" w:lastRowFirstColumn="0" w:lastRowLastColumn="0"/>
          <w:trHeight w:val="435"/>
        </w:trPr>
        <w:tc>
          <w:tcPr>
            <w:tcW w:w="3107" w:type="dxa"/>
            <w:noWrap/>
            <w:vAlign w:val="center"/>
            <w:hideMark/>
          </w:tcPr>
          <w:p w14:paraId="16A518E5"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WA</w:t>
            </w:r>
          </w:p>
        </w:tc>
        <w:tc>
          <w:tcPr>
            <w:tcW w:w="3107" w:type="dxa"/>
            <w:noWrap/>
            <w:vAlign w:val="center"/>
            <w:hideMark/>
          </w:tcPr>
          <w:p w14:paraId="56B8B5D9"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w:t>
            </w:r>
          </w:p>
        </w:tc>
        <w:tc>
          <w:tcPr>
            <w:tcW w:w="3108" w:type="dxa"/>
            <w:noWrap/>
            <w:vAlign w:val="center"/>
            <w:hideMark/>
          </w:tcPr>
          <w:p w14:paraId="07252991"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10</w:t>
            </w:r>
          </w:p>
        </w:tc>
      </w:tr>
      <w:tr w:rsidR="00250702" w:rsidRPr="00250702" w14:paraId="459F16E4" w14:textId="77777777" w:rsidTr="00617B58">
        <w:trPr>
          <w:trHeight w:val="435"/>
        </w:trPr>
        <w:tc>
          <w:tcPr>
            <w:tcW w:w="3107" w:type="dxa"/>
            <w:noWrap/>
            <w:vAlign w:val="center"/>
            <w:hideMark/>
          </w:tcPr>
          <w:p w14:paraId="33FF007D"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TAS</w:t>
            </w:r>
          </w:p>
        </w:tc>
        <w:tc>
          <w:tcPr>
            <w:tcW w:w="3107" w:type="dxa"/>
            <w:noWrap/>
            <w:vAlign w:val="center"/>
            <w:hideMark/>
          </w:tcPr>
          <w:p w14:paraId="58C294B9"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3108" w:type="dxa"/>
            <w:noWrap/>
            <w:vAlign w:val="center"/>
            <w:hideMark/>
          </w:tcPr>
          <w:p w14:paraId="3BD06AD4"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w:t>
            </w:r>
          </w:p>
        </w:tc>
      </w:tr>
      <w:tr w:rsidR="00250702" w:rsidRPr="00250702" w14:paraId="1CC6716B" w14:textId="77777777" w:rsidTr="00617B58">
        <w:trPr>
          <w:cnfStyle w:val="000000100000" w:firstRow="0" w:lastRow="0" w:firstColumn="0" w:lastColumn="0" w:oddVBand="0" w:evenVBand="0" w:oddHBand="1" w:evenHBand="0" w:firstRowFirstColumn="0" w:firstRowLastColumn="0" w:lastRowFirstColumn="0" w:lastRowLastColumn="0"/>
          <w:trHeight w:val="435"/>
        </w:trPr>
        <w:tc>
          <w:tcPr>
            <w:tcW w:w="3107" w:type="dxa"/>
            <w:noWrap/>
            <w:vAlign w:val="center"/>
            <w:hideMark/>
          </w:tcPr>
          <w:p w14:paraId="033DF46F"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NT</w:t>
            </w:r>
          </w:p>
        </w:tc>
        <w:tc>
          <w:tcPr>
            <w:tcW w:w="3107" w:type="dxa"/>
            <w:noWrap/>
            <w:vAlign w:val="center"/>
            <w:hideMark/>
          </w:tcPr>
          <w:p w14:paraId="7AD7045D"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w:t>
            </w:r>
          </w:p>
        </w:tc>
        <w:tc>
          <w:tcPr>
            <w:tcW w:w="3108" w:type="dxa"/>
            <w:noWrap/>
            <w:vAlign w:val="center"/>
            <w:hideMark/>
          </w:tcPr>
          <w:p w14:paraId="25CF4CEA" w14:textId="77777777" w:rsidR="00250702" w:rsidRPr="00250702" w:rsidRDefault="000B3AE5"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w:t>
            </w:r>
          </w:p>
        </w:tc>
      </w:tr>
      <w:tr w:rsidR="00250702" w:rsidRPr="00250702" w14:paraId="36991953" w14:textId="77777777" w:rsidTr="00617B58">
        <w:trPr>
          <w:trHeight w:val="435"/>
        </w:trPr>
        <w:tc>
          <w:tcPr>
            <w:tcW w:w="3107" w:type="dxa"/>
            <w:noWrap/>
            <w:vAlign w:val="center"/>
            <w:hideMark/>
          </w:tcPr>
          <w:p w14:paraId="03F9E97F"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ACT</w:t>
            </w:r>
          </w:p>
        </w:tc>
        <w:tc>
          <w:tcPr>
            <w:tcW w:w="3107" w:type="dxa"/>
            <w:noWrap/>
            <w:vAlign w:val="center"/>
            <w:hideMark/>
          </w:tcPr>
          <w:p w14:paraId="257F5586" w14:textId="77777777" w:rsidR="00250702" w:rsidRPr="00250702" w:rsidRDefault="00557111" w:rsidP="0038548C">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3108" w:type="dxa"/>
            <w:noWrap/>
            <w:vAlign w:val="center"/>
            <w:hideMark/>
          </w:tcPr>
          <w:p w14:paraId="2100CBD9" w14:textId="77777777" w:rsidR="00250702" w:rsidRPr="00250702" w:rsidRDefault="00250702" w:rsidP="0038548C">
            <w:pPr>
              <w:jc w:val="center"/>
              <w:rPr>
                <w:rFonts w:ascii="Calibri" w:eastAsia="Times New Roman" w:hAnsi="Calibri" w:cs="Times New Roman"/>
                <w:color w:val="000000"/>
                <w:lang w:eastAsia="en-AU"/>
              </w:rPr>
            </w:pPr>
            <w:r w:rsidRPr="00250702">
              <w:rPr>
                <w:rFonts w:ascii="Calibri" w:eastAsia="Times New Roman" w:hAnsi="Calibri" w:cs="Times New Roman"/>
                <w:color w:val="000000"/>
                <w:lang w:eastAsia="en-AU"/>
              </w:rPr>
              <w:t>1.7</w:t>
            </w:r>
          </w:p>
        </w:tc>
      </w:tr>
    </w:tbl>
    <w:p w14:paraId="2A6D68A9" w14:textId="2AA275A1" w:rsidR="00AB7FFD" w:rsidRPr="001E427D" w:rsidRDefault="00E94B77" w:rsidP="00694949">
      <w:r>
        <w:t>I</w:t>
      </w:r>
      <w:r w:rsidR="0003397F" w:rsidRPr="001E427D">
        <w:t xml:space="preserve">t was decided by the working group that value could be gained by gathering data on the </w:t>
      </w:r>
      <w:r w:rsidR="00AB7FFD" w:rsidRPr="001E427D">
        <w:t xml:space="preserve">collective </w:t>
      </w:r>
      <w:r w:rsidR="0003397F" w:rsidRPr="001E427D">
        <w:t xml:space="preserve">opinion of industry as a whole as to the way forward. This was achieved by measuring the preference </w:t>
      </w:r>
      <w:r w:rsidR="00AB7FFD" w:rsidRPr="001E427D">
        <w:t xml:space="preserve">by stakeholders </w:t>
      </w:r>
      <w:r w:rsidR="0003397F" w:rsidRPr="001E427D">
        <w:t xml:space="preserve">for the </w:t>
      </w:r>
      <w:r w:rsidR="00AB7FFD" w:rsidRPr="001E427D">
        <w:t xml:space="preserve">proposed </w:t>
      </w:r>
      <w:r w:rsidR="0003397F" w:rsidRPr="001E427D">
        <w:t>options for oversight presented in the Consultation RIS</w:t>
      </w:r>
      <w:r w:rsidR="00F86D2D">
        <w:t>.</w:t>
      </w:r>
      <w:r w:rsidR="0003397F" w:rsidRPr="001E427D">
        <w:t xml:space="preserve"> </w:t>
      </w:r>
    </w:p>
    <w:p w14:paraId="0B07EB14" w14:textId="77777777" w:rsidR="00135F69" w:rsidRPr="001E427D" w:rsidRDefault="008672E1" w:rsidP="00694949">
      <w:r w:rsidRPr="001E427D">
        <w:t>From th</w:t>
      </w:r>
      <w:r w:rsidR="0003397F" w:rsidRPr="001E427D">
        <w:t>e</w:t>
      </w:r>
      <w:r w:rsidRPr="001E427D">
        <w:t xml:space="preserve"> </w:t>
      </w:r>
      <w:r w:rsidR="008601AA">
        <w:t>analysis</w:t>
      </w:r>
      <w:r w:rsidR="007D2825">
        <w:t>, there</w:t>
      </w:r>
      <w:r w:rsidR="008601AA">
        <w:t xml:space="preserve"> </w:t>
      </w:r>
      <w:r w:rsidR="007D2825">
        <w:t xml:space="preserve">was an indication that </w:t>
      </w:r>
      <w:r w:rsidR="008601AA">
        <w:t xml:space="preserve">the industry supported </w:t>
      </w:r>
      <w:r w:rsidRPr="001E427D">
        <w:t xml:space="preserve">some form of oversight or </w:t>
      </w:r>
      <w:r w:rsidR="008601AA">
        <w:t>guidance</w:t>
      </w:r>
      <w:r w:rsidR="00135F69">
        <w:t xml:space="preserve"> (Figure 3.3)</w:t>
      </w:r>
      <w:r w:rsidR="008601AA">
        <w:t>.</w:t>
      </w:r>
      <w:r w:rsidR="00135F69">
        <w:t xml:space="preserve"> </w:t>
      </w:r>
      <w:r w:rsidR="00135F69" w:rsidRPr="001E427D">
        <w:t>However, when the responses to Option</w:t>
      </w:r>
      <w:r w:rsidR="00135F69">
        <w:t>s</w:t>
      </w:r>
      <w:r w:rsidR="00135F69" w:rsidRPr="001E427D">
        <w:t xml:space="preserve"> 2 and 3 were examined more closely, it was observed that a large proportion of stakeholders supported the proposal conditionally</w:t>
      </w:r>
      <w:r w:rsidR="00135F69">
        <w:t>,</w:t>
      </w:r>
      <w:r w:rsidR="00135F69" w:rsidRPr="001E427D">
        <w:t xml:space="preserve"> and suggested a range of modifications to the proposed model. This was particularly evident for Option 3. The essence of most responses, whether they fully or partially supported the models proposed</w:t>
      </w:r>
      <w:r w:rsidR="00135F69">
        <w:t>,</w:t>
      </w:r>
      <w:r w:rsidR="00135F69" w:rsidRPr="001E427D">
        <w:t xml:space="preserve"> relied on an opinion to justify their position. Whatever the position taken, no new data was submitted supporting improved public safety in the context of their preference.</w:t>
      </w:r>
    </w:p>
    <w:p w14:paraId="4254D743" w14:textId="6DCF212E" w:rsidR="001A3B93" w:rsidRPr="001E427D" w:rsidRDefault="00BF00C5" w:rsidP="00694949">
      <w:r w:rsidRPr="001E427D">
        <w:t>The data in F</w:t>
      </w:r>
      <w:r w:rsidR="00AB7FFD" w:rsidRPr="001E427D">
        <w:t xml:space="preserve">igure 3.9 </w:t>
      </w:r>
      <w:r w:rsidR="007D2825">
        <w:t xml:space="preserve">indicated </w:t>
      </w:r>
      <w:r w:rsidR="00AB7FFD" w:rsidRPr="001E427D">
        <w:t xml:space="preserve">that the primary motivator for </w:t>
      </w:r>
      <w:r w:rsidR="00135F69">
        <w:t>changes in oversight</w:t>
      </w:r>
      <w:r w:rsidRPr="001E427D">
        <w:t xml:space="preserve"> of the industry </w:t>
      </w:r>
      <w:r w:rsidR="00AB7FFD" w:rsidRPr="001E427D">
        <w:t xml:space="preserve">was client safety. </w:t>
      </w:r>
      <w:r w:rsidR="00BA724C" w:rsidRPr="001E427D">
        <w:t xml:space="preserve">Further, supporters of grandfathering clauses in any potential future regulation of the industry cited their client safety record as a justification </w:t>
      </w:r>
      <w:r w:rsidR="00AB7FFD" w:rsidRPr="001E427D">
        <w:t>for</w:t>
      </w:r>
      <w:r w:rsidR="00BA724C" w:rsidRPr="001E427D">
        <w:t xml:space="preserve"> their position.</w:t>
      </w:r>
      <w:r w:rsidR="00A81342" w:rsidRPr="001E427D">
        <w:t xml:space="preserve"> </w:t>
      </w:r>
      <w:r w:rsidR="00104B08" w:rsidRPr="001E427D">
        <w:t>T</w:t>
      </w:r>
      <w:r w:rsidR="00A81342" w:rsidRPr="001E427D">
        <w:t xml:space="preserve">hese respondents provided data on </w:t>
      </w:r>
      <w:r w:rsidR="00104B08" w:rsidRPr="001E427D">
        <w:t xml:space="preserve">the </w:t>
      </w:r>
      <w:r w:rsidR="00A81342" w:rsidRPr="001E427D">
        <w:t xml:space="preserve">number of procedures </w:t>
      </w:r>
      <w:r w:rsidR="00104B08" w:rsidRPr="001E427D">
        <w:t xml:space="preserve">they </w:t>
      </w:r>
      <w:r w:rsidR="007D2825">
        <w:t xml:space="preserve">had </w:t>
      </w:r>
      <w:r w:rsidR="00A81342" w:rsidRPr="001E427D">
        <w:t xml:space="preserve">performed compared </w:t>
      </w:r>
      <w:r w:rsidR="007D2825">
        <w:t>with</w:t>
      </w:r>
      <w:r w:rsidR="00A81342" w:rsidRPr="001E427D">
        <w:t xml:space="preserve"> the number of injuries</w:t>
      </w:r>
      <w:r w:rsidR="00104B08" w:rsidRPr="001E427D">
        <w:t xml:space="preserve"> that were caused. This indicated an impressive safety record, however</w:t>
      </w:r>
      <w:r w:rsidR="00135F69">
        <w:t>,</w:t>
      </w:r>
      <w:r w:rsidR="00104B08" w:rsidRPr="001E427D">
        <w:t xml:space="preserve"> it should be noted that the data was self-reported by the operator</w:t>
      </w:r>
      <w:r w:rsidR="007D2825">
        <w:t>s</w:t>
      </w:r>
      <w:r w:rsidR="00104B08" w:rsidRPr="001E427D">
        <w:t xml:space="preserve"> and not confirmed </w:t>
      </w:r>
      <w:r w:rsidR="007D2825">
        <w:t xml:space="preserve">via </w:t>
      </w:r>
      <w:r w:rsidR="00104B08" w:rsidRPr="001E427D">
        <w:t xml:space="preserve">independent </w:t>
      </w:r>
      <w:r w:rsidR="007D2825">
        <w:t>reporting</w:t>
      </w:r>
      <w:r w:rsidR="00104B08" w:rsidRPr="001E427D">
        <w:t>.</w:t>
      </w:r>
    </w:p>
    <w:p w14:paraId="7954F0B7" w14:textId="634C0BCB" w:rsidR="005342EF" w:rsidRPr="001E427D" w:rsidRDefault="0065212B" w:rsidP="00694949">
      <w:r w:rsidRPr="001E427D">
        <w:t>There was also division on the level of education</w:t>
      </w:r>
      <w:r w:rsidR="002044D1" w:rsidRPr="001E427D">
        <w:t xml:space="preserve"> considered to be appropriate for the application of laser or IPL treatments. Although the majority of stakeholders indicated that a </w:t>
      </w:r>
      <w:r w:rsidR="00F4408F">
        <w:t xml:space="preserve">bachelor </w:t>
      </w:r>
      <w:r w:rsidR="002044D1" w:rsidRPr="001E427D">
        <w:t xml:space="preserve">degree </w:t>
      </w:r>
      <w:r w:rsidR="00F4408F">
        <w:t xml:space="preserve">level of education </w:t>
      </w:r>
      <w:r w:rsidR="002044D1" w:rsidRPr="001E427D">
        <w:t>was required as a minimum qualification, a large number of responses pointed to short courses and advanced diplomas as adequate. Again, there was no</w:t>
      </w:r>
      <w:r w:rsidR="00A64D6D" w:rsidRPr="001E427D">
        <w:t xml:space="preserve"> additional data provided to demonstrate any effect on public safety based on level of qualification of operators.</w:t>
      </w:r>
    </w:p>
    <w:p w14:paraId="4AA394AA" w14:textId="77777777" w:rsidR="00FD1099" w:rsidRDefault="008368B9" w:rsidP="00526DCE">
      <w:pPr>
        <w:pStyle w:val="Heading2"/>
      </w:pPr>
      <w:bookmarkStart w:id="21" w:name="_Toc478567681"/>
      <w:r>
        <w:t xml:space="preserve">Radiation Health Committee </w:t>
      </w:r>
      <w:r w:rsidR="00EF1B74">
        <w:t>d</w:t>
      </w:r>
      <w:r w:rsidR="00526DCE">
        <w:t>ecision</w:t>
      </w:r>
      <w:r w:rsidR="000174B3">
        <w:t xml:space="preserve"> and </w:t>
      </w:r>
      <w:r w:rsidR="00EF1B74">
        <w:t>r</w:t>
      </w:r>
      <w:r w:rsidR="000174B3">
        <w:t>ationale</w:t>
      </w:r>
      <w:bookmarkEnd w:id="21"/>
    </w:p>
    <w:p w14:paraId="008B2517" w14:textId="65384697" w:rsidR="00250702" w:rsidRPr="001E427D" w:rsidRDefault="00250A41" w:rsidP="00694949">
      <w:r w:rsidRPr="001E427D">
        <w:t>From the results of analysis of stakeholder submissions</w:t>
      </w:r>
      <w:r w:rsidR="00581279">
        <w:t>,</w:t>
      </w:r>
      <w:r w:rsidRPr="001E427D">
        <w:t xml:space="preserve"> it could be seen that there was a strong push for some form of oversight </w:t>
      </w:r>
      <w:r w:rsidR="00444C41" w:rsidRPr="001E427D">
        <w:t>for</w:t>
      </w:r>
      <w:r w:rsidRPr="001E427D">
        <w:t xml:space="preserve"> use of laser</w:t>
      </w:r>
      <w:r w:rsidR="00444C41" w:rsidRPr="001E427D">
        <w:t>s</w:t>
      </w:r>
      <w:r w:rsidRPr="001E427D">
        <w:t xml:space="preserve"> and IPLs</w:t>
      </w:r>
      <w:r w:rsidR="00444C41" w:rsidRPr="001E427D">
        <w:t xml:space="preserve"> in beauty and cosmetic therapies. The main driver for this change was concern for client safety. However, in context of the options presented in the Consultation RIS, stakeholders were notably divided as to the model which would promote </w:t>
      </w:r>
      <w:r w:rsidR="00B5551B">
        <w:t>good</w:t>
      </w:r>
      <w:r w:rsidR="00B5551B" w:rsidRPr="001E427D">
        <w:t xml:space="preserve"> </w:t>
      </w:r>
      <w:r w:rsidR="00444C41" w:rsidRPr="001E427D">
        <w:t xml:space="preserve">practice while </w:t>
      </w:r>
      <w:r w:rsidR="00581279">
        <w:t>e</w:t>
      </w:r>
      <w:r w:rsidR="00444C41" w:rsidRPr="001E427D">
        <w:t>nsuring business continuity for non-medical operators of these devices</w:t>
      </w:r>
    </w:p>
    <w:p w14:paraId="751A82F9" w14:textId="6FFAB902" w:rsidR="00444C41" w:rsidRPr="001E427D" w:rsidRDefault="00444C41" w:rsidP="00694949">
      <w:r w:rsidRPr="001E427D">
        <w:t xml:space="preserve">The injury statistics presented in the Consultation RIS were reliant on self-reporting by </w:t>
      </w:r>
      <w:r w:rsidR="00852BCF" w:rsidRPr="001E427D">
        <w:t>stakeholders. Further, the information was</w:t>
      </w:r>
      <w:r w:rsidR="00F4408F">
        <w:t xml:space="preserve"> </w:t>
      </w:r>
      <w:r w:rsidR="00852BCF" w:rsidRPr="001E427D">
        <w:t xml:space="preserve">only captured </w:t>
      </w:r>
      <w:r w:rsidR="007D2825">
        <w:t>from</w:t>
      </w:r>
      <w:r w:rsidR="00852BCF" w:rsidRPr="001E427D">
        <w:t xml:space="preserve"> a small part of the industry (10%) and </w:t>
      </w:r>
      <w:r w:rsidR="009919A8" w:rsidRPr="001E427D">
        <w:t>the survey responses came from a number of sources, some anonymous and some from indirect sources such as insurance providers and hospitals who only treated the injuries. Therefore, it is not clear what proportion of injuries were caused by medical professionals or non-medical operators from the information provided. The consultation process did not provide any significant information to address this knowledge gap.</w:t>
      </w:r>
    </w:p>
    <w:p w14:paraId="151F7D54" w14:textId="248487EF" w:rsidR="00EB463E" w:rsidRPr="001E427D" w:rsidRDefault="00392D0D" w:rsidP="00694949">
      <w:r w:rsidRPr="001E427D">
        <w:t>Due to the significant gaps in knowledge concerning health outcomes and causes of injuries</w:t>
      </w:r>
      <w:r w:rsidR="00581279">
        <w:t>,</w:t>
      </w:r>
      <w:r w:rsidRPr="001E427D">
        <w:t xml:space="preserve"> and a lack of evidence and verified data, support </w:t>
      </w:r>
      <w:r w:rsidR="00EB463E" w:rsidRPr="001E427D">
        <w:t xml:space="preserve">for </w:t>
      </w:r>
      <w:r w:rsidRPr="001E427D">
        <w:t xml:space="preserve">the adoption of any of the </w:t>
      </w:r>
      <w:r w:rsidR="00841FC0" w:rsidRPr="001E427D">
        <w:t>three options</w:t>
      </w:r>
      <w:r w:rsidRPr="001E427D">
        <w:t xml:space="preserve"> proposed </w:t>
      </w:r>
      <w:r w:rsidR="00841FC0" w:rsidRPr="001E427D">
        <w:t>in</w:t>
      </w:r>
      <w:r w:rsidRPr="001E427D">
        <w:t xml:space="preserve"> the Consultation RIS</w:t>
      </w:r>
      <w:r w:rsidR="00EB463E" w:rsidRPr="001E427D">
        <w:t xml:space="preserve"> could not be justified</w:t>
      </w:r>
      <w:r w:rsidRPr="001E427D">
        <w:t xml:space="preserve">. </w:t>
      </w:r>
      <w:r w:rsidR="00F4408F">
        <w:t xml:space="preserve">It was </w:t>
      </w:r>
      <w:r w:rsidR="00EB463E" w:rsidRPr="001E427D">
        <w:t xml:space="preserve">concluded that there was insufficient information to substantiate the cost versus benefit estimations that would be required for a Decision RIS to be developed and therefore the </w:t>
      </w:r>
      <w:r w:rsidR="005C0ED4" w:rsidRPr="001E427D">
        <w:t>RHC</w:t>
      </w:r>
      <w:r w:rsidR="00EB463E" w:rsidRPr="001E427D">
        <w:t xml:space="preserve"> agreed not to proceed with a Decision RIS.</w:t>
      </w:r>
    </w:p>
    <w:p w14:paraId="7417A98C" w14:textId="3AF90432" w:rsidR="00825DB8" w:rsidRPr="001E427D" w:rsidRDefault="009E12E5" w:rsidP="00694949">
      <w:r w:rsidRPr="001E427D">
        <w:t>However, due to the industry’s overall agreement that some form of oversight should be put into place</w:t>
      </w:r>
      <w:r w:rsidR="007D2825">
        <w:t xml:space="preserve"> and due to inconsistencies in the terminology and perspectives given in the responses received</w:t>
      </w:r>
      <w:r w:rsidRPr="001E427D">
        <w:t xml:space="preserve">, it was decided that </w:t>
      </w:r>
      <w:r w:rsidR="007D2825">
        <w:t xml:space="preserve">there would be merit in producing a </w:t>
      </w:r>
      <w:r w:rsidR="00F4408F">
        <w:t xml:space="preserve">guidance </w:t>
      </w:r>
      <w:r w:rsidR="00581279">
        <w:t>material</w:t>
      </w:r>
      <w:r w:rsidRPr="001E427D">
        <w:t xml:space="preserve">. This </w:t>
      </w:r>
      <w:r w:rsidR="00581279">
        <w:t>g</w:t>
      </w:r>
      <w:r w:rsidRPr="001E427D">
        <w:t xml:space="preserve">uidance </w:t>
      </w:r>
      <w:r w:rsidR="00581279">
        <w:t>material</w:t>
      </w:r>
      <w:r w:rsidR="000335B7">
        <w:t xml:space="preserve"> </w:t>
      </w:r>
      <w:r w:rsidRPr="001E427D">
        <w:t xml:space="preserve">would be based on current </w:t>
      </w:r>
      <w:r w:rsidR="00B5551B">
        <w:t>good</w:t>
      </w:r>
      <w:r w:rsidR="00B5551B" w:rsidRPr="001E427D">
        <w:t xml:space="preserve"> </w:t>
      </w:r>
      <w:r w:rsidRPr="001E427D">
        <w:t>practice and safety standards in the application of laser and IPL treatments</w:t>
      </w:r>
      <w:r w:rsidR="00825DB8" w:rsidRPr="001E427D">
        <w:t xml:space="preserve"> for beauty therapy and cosmetic procedures. </w:t>
      </w:r>
    </w:p>
    <w:p w14:paraId="4AD05C3D" w14:textId="77777777" w:rsidR="00825DB8" w:rsidRPr="001E427D" w:rsidRDefault="005F491C" w:rsidP="00694949">
      <w:r w:rsidRPr="001E427D">
        <w:t>Although adoption of the guidance will not be mandatory</w:t>
      </w:r>
      <w:r w:rsidR="00F809E2">
        <w:t>,</w:t>
      </w:r>
      <w:r w:rsidRPr="001E427D">
        <w:t xml:space="preserve"> t</w:t>
      </w:r>
      <w:r w:rsidR="00825DB8" w:rsidRPr="001E427D">
        <w:t xml:space="preserve">he objectives of this strategy </w:t>
      </w:r>
      <w:r w:rsidR="00E230B1" w:rsidRPr="001E427D">
        <w:t>are:</w:t>
      </w:r>
    </w:p>
    <w:p w14:paraId="366F7E15" w14:textId="6461C175" w:rsidR="00825DB8" w:rsidRDefault="00825DB8" w:rsidP="00624EA7">
      <w:pPr>
        <w:pStyle w:val="ListParagraph"/>
      </w:pPr>
      <w:r>
        <w:t xml:space="preserve">to promote a nationally available </w:t>
      </w:r>
      <w:r w:rsidR="00E230B1">
        <w:t xml:space="preserve">and recognised </w:t>
      </w:r>
      <w:r>
        <w:t xml:space="preserve">safety </w:t>
      </w:r>
      <w:r w:rsidR="00E230B1">
        <w:t>benchmark</w:t>
      </w:r>
      <w:r>
        <w:t xml:space="preserve"> for </w:t>
      </w:r>
      <w:r w:rsidR="000A2C70">
        <w:t xml:space="preserve">service providers in </w:t>
      </w:r>
      <w:r>
        <w:t>the industry</w:t>
      </w:r>
      <w:r w:rsidR="005F491C">
        <w:t xml:space="preserve"> to measure their own safety perfor</w:t>
      </w:r>
      <w:r w:rsidR="000A2C70">
        <w:t>ma</w:t>
      </w:r>
      <w:r w:rsidR="005F491C">
        <w:t>nce</w:t>
      </w:r>
    </w:p>
    <w:p w14:paraId="6E44B103" w14:textId="77777777" w:rsidR="00825DB8" w:rsidRDefault="00292084" w:rsidP="00624EA7">
      <w:pPr>
        <w:pStyle w:val="ListParagraph"/>
      </w:pPr>
      <w:proofErr w:type="gramStart"/>
      <w:r>
        <w:t>to</w:t>
      </w:r>
      <w:proofErr w:type="gramEnd"/>
      <w:r>
        <w:t xml:space="preserve"> </w:t>
      </w:r>
      <w:r w:rsidR="005F491C">
        <w:t>assist</w:t>
      </w:r>
      <w:r>
        <w:t xml:space="preserve"> consumers </w:t>
      </w:r>
      <w:r w:rsidR="005F491C">
        <w:t>in making informed decisions as to which</w:t>
      </w:r>
      <w:r>
        <w:t xml:space="preserve"> service providers </w:t>
      </w:r>
      <w:r w:rsidR="000A2C70">
        <w:t>they choose for their treatments</w:t>
      </w:r>
      <w:r w:rsidR="00DD6921">
        <w:t>.</w:t>
      </w:r>
    </w:p>
    <w:p w14:paraId="5C47A192" w14:textId="613ABC13" w:rsidR="005C0ED4" w:rsidRPr="001E427D" w:rsidRDefault="00E230B1" w:rsidP="00694949">
      <w:r w:rsidRPr="001E427D">
        <w:t xml:space="preserve">The </w:t>
      </w:r>
      <w:r w:rsidR="00F809E2">
        <w:t>g</w:t>
      </w:r>
      <w:r w:rsidRPr="001E427D">
        <w:t xml:space="preserve">uidance </w:t>
      </w:r>
      <w:r w:rsidR="00F809E2">
        <w:t xml:space="preserve">material </w:t>
      </w:r>
      <w:r w:rsidRPr="001E427D">
        <w:t xml:space="preserve">will contain information on </w:t>
      </w:r>
      <w:r w:rsidR="007D2825">
        <w:t>matters</w:t>
      </w:r>
      <w:r w:rsidR="007D2825" w:rsidRPr="001E427D">
        <w:t xml:space="preserve"> </w:t>
      </w:r>
      <w:r w:rsidRPr="001E427D">
        <w:t xml:space="preserve">relevant </w:t>
      </w:r>
      <w:r w:rsidR="00DB6D1D" w:rsidRPr="001E427D">
        <w:t xml:space="preserve">to safety in applying laser and IPL based </w:t>
      </w:r>
      <w:r w:rsidR="00E53E0A" w:rsidRPr="001E427D">
        <w:t>procedures</w:t>
      </w:r>
      <w:r w:rsidR="00DB6D1D" w:rsidRPr="001E427D">
        <w:t xml:space="preserve"> including</w:t>
      </w:r>
      <w:r w:rsidR="00F809E2">
        <w:t>,</w:t>
      </w:r>
      <w:r w:rsidR="00DB6D1D" w:rsidRPr="001E427D">
        <w:t xml:space="preserve"> but not limited to:</w:t>
      </w:r>
    </w:p>
    <w:p w14:paraId="430E4404" w14:textId="77777777" w:rsidR="00292084" w:rsidRDefault="005C0ED4" w:rsidP="00624EA7">
      <w:pPr>
        <w:pStyle w:val="ListParagraph"/>
      </w:pPr>
      <w:r>
        <w:t xml:space="preserve">appropriate </w:t>
      </w:r>
      <w:r w:rsidR="00E230B1">
        <w:t>qualificat</w:t>
      </w:r>
      <w:r w:rsidR="00DB6D1D">
        <w:t>ions</w:t>
      </w:r>
      <w:r>
        <w:t>, training</w:t>
      </w:r>
      <w:r w:rsidR="00DB6D1D">
        <w:t xml:space="preserve"> and experience recommended for certain procedures</w:t>
      </w:r>
    </w:p>
    <w:p w14:paraId="15542F76" w14:textId="77777777" w:rsidR="005C0ED4" w:rsidRDefault="005C0ED4" w:rsidP="00624EA7">
      <w:pPr>
        <w:pStyle w:val="ListParagraph"/>
      </w:pPr>
      <w:r>
        <w:t>equipment and maintenance</w:t>
      </w:r>
    </w:p>
    <w:p w14:paraId="59AD8BD2" w14:textId="254E216F" w:rsidR="00DB6D1D" w:rsidRDefault="005C0ED4" w:rsidP="00624EA7">
      <w:pPr>
        <w:pStyle w:val="ListParagraph"/>
      </w:pPr>
      <w:r>
        <w:t xml:space="preserve">patient care including </w:t>
      </w:r>
      <w:r w:rsidR="00DB6D1D">
        <w:t xml:space="preserve">medical clearance of </w:t>
      </w:r>
      <w:r w:rsidR="007D2825">
        <w:t>certain conditions</w:t>
      </w:r>
      <w:r w:rsidR="00DB6D1D">
        <w:t xml:space="preserve"> before any treatment is applied</w:t>
      </w:r>
    </w:p>
    <w:p w14:paraId="71D9DBD7" w14:textId="77777777" w:rsidR="00DB6D1D" w:rsidRDefault="00DB6D1D" w:rsidP="00624EA7">
      <w:pPr>
        <w:pStyle w:val="ListParagraph"/>
      </w:pPr>
      <w:r>
        <w:t>laser and IPL radiation hazards to patients and operators</w:t>
      </w:r>
    </w:p>
    <w:p w14:paraId="4DD3BE2A" w14:textId="77777777" w:rsidR="005C0ED4" w:rsidRDefault="005C0ED4" w:rsidP="00624EA7">
      <w:pPr>
        <w:pStyle w:val="ListParagraph"/>
      </w:pPr>
      <w:proofErr w:type="gramStart"/>
      <w:r>
        <w:t>injury</w:t>
      </w:r>
      <w:proofErr w:type="gramEnd"/>
      <w:r>
        <w:t xml:space="preserve"> reporting</w:t>
      </w:r>
      <w:r w:rsidR="00DD6921">
        <w:t>.</w:t>
      </w:r>
    </w:p>
    <w:p w14:paraId="4F334339" w14:textId="4B3F9856" w:rsidR="009F4D4F" w:rsidRPr="001E427D" w:rsidRDefault="009F4D4F" w:rsidP="00694949">
      <w:r w:rsidRPr="001E427D">
        <w:t xml:space="preserve">The guidance </w:t>
      </w:r>
      <w:r w:rsidR="00F809E2">
        <w:t>material</w:t>
      </w:r>
      <w:r w:rsidR="00F809E2" w:rsidRPr="001E427D">
        <w:t xml:space="preserve"> </w:t>
      </w:r>
      <w:r w:rsidRPr="001E427D">
        <w:t xml:space="preserve">will be accompanied by safety promotional material such as fact </w:t>
      </w:r>
      <w:proofErr w:type="gramStart"/>
      <w:r w:rsidRPr="001E427D">
        <w:t>sheets,</w:t>
      </w:r>
      <w:proofErr w:type="gramEnd"/>
      <w:r w:rsidRPr="001E427D">
        <w:t xml:space="preserve"> brochures and </w:t>
      </w:r>
      <w:r w:rsidR="00B844A1">
        <w:t>f</w:t>
      </w:r>
      <w:r w:rsidRPr="001E427D">
        <w:t xml:space="preserve">requently </w:t>
      </w:r>
      <w:r w:rsidR="00B844A1">
        <w:t>a</w:t>
      </w:r>
      <w:r w:rsidRPr="001E427D">
        <w:t xml:space="preserve">sked </w:t>
      </w:r>
      <w:r w:rsidR="00B844A1">
        <w:t>q</w:t>
      </w:r>
      <w:r w:rsidRPr="001E427D">
        <w:t xml:space="preserve">uestions aimed at informing the Australian public about the </w:t>
      </w:r>
      <w:r w:rsidR="000335B7">
        <w:t>guidance material</w:t>
      </w:r>
      <w:r w:rsidR="000335B7" w:rsidRPr="001E427D">
        <w:t xml:space="preserve"> </w:t>
      </w:r>
      <w:r w:rsidRPr="001E427D">
        <w:t xml:space="preserve">and outlining the hazards and potential health implications of undergoing </w:t>
      </w:r>
      <w:r w:rsidR="008875AF" w:rsidRPr="001E427D">
        <w:t>laser and IPL based</w:t>
      </w:r>
      <w:r w:rsidR="004F3E4A" w:rsidRPr="001E427D">
        <w:t xml:space="preserve"> cosmetic therapy.</w:t>
      </w:r>
      <w:r w:rsidRPr="001E427D">
        <w:t xml:space="preserve"> </w:t>
      </w:r>
    </w:p>
    <w:p w14:paraId="7CA6C61C" w14:textId="77777777" w:rsidR="00FD1099" w:rsidRPr="00181813" w:rsidRDefault="00022FAF" w:rsidP="00022FAF">
      <w:pPr>
        <w:pStyle w:val="Heading1"/>
      </w:pPr>
      <w:bookmarkStart w:id="22" w:name="_Toc478567682"/>
      <w:r>
        <w:t>Conclusion</w:t>
      </w:r>
      <w:bookmarkEnd w:id="22"/>
    </w:p>
    <w:p w14:paraId="250B094C" w14:textId="1926EBDD" w:rsidR="007F250B" w:rsidRDefault="000D5552" w:rsidP="00694949">
      <w:r>
        <w:t xml:space="preserve">The Consultation RIS for the use of lasers and IPLs in the cosmetic and beauty therapy industry released for public comment in 2015 received </w:t>
      </w:r>
      <w:r w:rsidR="007D2825">
        <w:t xml:space="preserve">a large </w:t>
      </w:r>
      <w:r>
        <w:t xml:space="preserve">volume of submissions from stakeholders. </w:t>
      </w:r>
      <w:r w:rsidR="007D2825">
        <w:t xml:space="preserve">Unfortunately, no responses at all were received from </w:t>
      </w:r>
      <w:r w:rsidR="00365EF4">
        <w:t>consumers</w:t>
      </w:r>
      <w:r w:rsidR="007D2825">
        <w:t xml:space="preserve">. </w:t>
      </w:r>
      <w:r w:rsidR="008556ED">
        <w:t xml:space="preserve">A ‘comments resolution table’ was created </w:t>
      </w:r>
      <w:r w:rsidR="008556ED" w:rsidRPr="00B1117A">
        <w:t xml:space="preserve">from the </w:t>
      </w:r>
      <w:r>
        <w:t xml:space="preserve">241 </w:t>
      </w:r>
      <w:r w:rsidR="00F809E2">
        <w:t xml:space="preserve">submissions, </w:t>
      </w:r>
      <w:r>
        <w:t>and from</w:t>
      </w:r>
      <w:r w:rsidR="008556ED">
        <w:t xml:space="preserve"> this a </w:t>
      </w:r>
      <w:r w:rsidR="008556ED" w:rsidRPr="00B1117A">
        <w:t xml:space="preserve">comprehensive analysis of the </w:t>
      </w:r>
      <w:r w:rsidR="008556ED">
        <w:t>submissions</w:t>
      </w:r>
      <w:r w:rsidR="008556ED" w:rsidRPr="00B1117A">
        <w:t xml:space="preserve"> received was performed. The analysis </w:t>
      </w:r>
      <w:r w:rsidR="008556ED">
        <w:t xml:space="preserve">was undertaken by </w:t>
      </w:r>
      <w:r w:rsidR="008556ED" w:rsidRPr="00B1117A">
        <w:t xml:space="preserve">a working group </w:t>
      </w:r>
      <w:r w:rsidR="008556ED">
        <w:t xml:space="preserve">that </w:t>
      </w:r>
      <w:r w:rsidR="008556ED" w:rsidRPr="00B1117A">
        <w:t>review</w:t>
      </w:r>
      <w:r w:rsidR="008556ED">
        <w:t>ed</w:t>
      </w:r>
      <w:r w:rsidR="008556ED" w:rsidRPr="00B1117A">
        <w:t xml:space="preserve"> each </w:t>
      </w:r>
      <w:r w:rsidR="008556ED">
        <w:t>submission</w:t>
      </w:r>
      <w:r>
        <w:t>. Very few respondents addressed the specific topics invited for consultation as outlined. Where these areas were covered</w:t>
      </w:r>
      <w:r w:rsidR="00F809E2">
        <w:t>,</w:t>
      </w:r>
      <w:r>
        <w:t xml:space="preserve"> a qualitative overview was conducted and some of the major themes were extracted. </w:t>
      </w:r>
      <w:r w:rsidR="007F250B">
        <w:t>The comments focussed broadly around aspects including:</w:t>
      </w:r>
    </w:p>
    <w:p w14:paraId="33707C75" w14:textId="1CCC1CEB" w:rsidR="007F250B" w:rsidRDefault="007F250B" w:rsidP="00624EA7">
      <w:pPr>
        <w:pStyle w:val="ListParagraph"/>
      </w:pPr>
      <w:r>
        <w:t xml:space="preserve">quality of injury data presented in the </w:t>
      </w:r>
      <w:r w:rsidR="00EE4ABB">
        <w:t>C</w:t>
      </w:r>
      <w:r>
        <w:t>onsultation RIS</w:t>
      </w:r>
    </w:p>
    <w:p w14:paraId="7D6351CB" w14:textId="28BE9A73" w:rsidR="007F250B" w:rsidRDefault="007F250B" w:rsidP="00624EA7">
      <w:pPr>
        <w:pStyle w:val="ListParagraph"/>
      </w:pPr>
      <w:r>
        <w:t xml:space="preserve">competition implications to businesses </w:t>
      </w:r>
      <w:r w:rsidR="007D2825">
        <w:t xml:space="preserve">if </w:t>
      </w:r>
      <w:r>
        <w:t xml:space="preserve">licensing in the form of Option 3 </w:t>
      </w:r>
      <w:r w:rsidR="00365EF4">
        <w:t xml:space="preserve">was </w:t>
      </w:r>
      <w:r>
        <w:t>introduced</w:t>
      </w:r>
    </w:p>
    <w:p w14:paraId="6645C8E9" w14:textId="77777777" w:rsidR="007F250B" w:rsidRDefault="00A53B0B" w:rsidP="00624EA7">
      <w:pPr>
        <w:pStyle w:val="ListParagraph"/>
      </w:pPr>
      <w:r>
        <w:t>costs of training to be compliant with licensing</w:t>
      </w:r>
    </w:p>
    <w:p w14:paraId="1E398FB4" w14:textId="57B3A6BC" w:rsidR="00A53B0B" w:rsidRPr="007F250B" w:rsidRDefault="00A53B0B" w:rsidP="00624EA7">
      <w:pPr>
        <w:pStyle w:val="ListParagraph"/>
      </w:pPr>
      <w:proofErr w:type="gramStart"/>
      <w:r>
        <w:t>necessity</w:t>
      </w:r>
      <w:proofErr w:type="gramEnd"/>
      <w:r>
        <w:t xml:space="preserve"> f</w:t>
      </w:r>
      <w:r w:rsidR="007D2825">
        <w:t>or</w:t>
      </w:r>
      <w:r>
        <w:t xml:space="preserve"> high levels of training for certain procedures</w:t>
      </w:r>
      <w:r w:rsidR="00EE4ABB">
        <w:t>.</w:t>
      </w:r>
    </w:p>
    <w:p w14:paraId="214AA5F0" w14:textId="77777777" w:rsidR="008556ED" w:rsidRPr="00694949" w:rsidRDefault="00A53B0B" w:rsidP="00694949">
      <w:r>
        <w:t>As most stakeholders stated a</w:t>
      </w:r>
      <w:r w:rsidR="008556ED" w:rsidRPr="00B1117A">
        <w:t xml:space="preserve"> </w:t>
      </w:r>
      <w:r>
        <w:t xml:space="preserve">preference for </w:t>
      </w:r>
      <w:r w:rsidRPr="00694949">
        <w:t>the oversight models presented</w:t>
      </w:r>
      <w:r w:rsidR="00F809E2" w:rsidRPr="00694949">
        <w:t>,</w:t>
      </w:r>
      <w:r w:rsidRPr="00694949">
        <w:t xml:space="preserve"> the submissions were </w:t>
      </w:r>
      <w:r w:rsidR="008556ED" w:rsidRPr="00694949">
        <w:t xml:space="preserve">assessed </w:t>
      </w:r>
      <w:r w:rsidRPr="00694949">
        <w:t xml:space="preserve">for </w:t>
      </w:r>
      <w:r w:rsidR="008556ED" w:rsidRPr="00694949">
        <w:t xml:space="preserve">the level of support for each of the options provided in the Consultation RIS. </w:t>
      </w:r>
      <w:r w:rsidRPr="00694949">
        <w:t>In addition, s</w:t>
      </w:r>
      <w:r w:rsidR="008556ED" w:rsidRPr="00694949">
        <w:t xml:space="preserve">ome further assessment was performed regarding the level of support for education level, grandfathering, </w:t>
      </w:r>
      <w:r w:rsidRPr="00694949">
        <w:t xml:space="preserve">concerns and </w:t>
      </w:r>
      <w:r w:rsidR="008556ED" w:rsidRPr="00694949">
        <w:t>impacts</w:t>
      </w:r>
      <w:r w:rsidR="00F809E2" w:rsidRPr="00694949">
        <w:t>,</w:t>
      </w:r>
      <w:r w:rsidR="008556ED" w:rsidRPr="00694949">
        <w:t xml:space="preserve"> and equipment/premises requirements.</w:t>
      </w:r>
    </w:p>
    <w:p w14:paraId="47CCAED8" w14:textId="634CE810" w:rsidR="008556ED" w:rsidRPr="00694949" w:rsidRDefault="00A53B0B" w:rsidP="00694949">
      <w:r w:rsidRPr="00694949">
        <w:t>This review indicated</w:t>
      </w:r>
      <w:r w:rsidR="008556ED" w:rsidRPr="00694949">
        <w:t xml:space="preserve"> that while there </w:t>
      </w:r>
      <w:r w:rsidR="007D2825" w:rsidRPr="00694949">
        <w:t>wa</w:t>
      </w:r>
      <w:r w:rsidR="008556ED" w:rsidRPr="00694949">
        <w:t>s a high level of support for Option 3</w:t>
      </w:r>
      <w:r w:rsidR="007D2825" w:rsidRPr="00694949">
        <w:t xml:space="preserve"> from the medical practitioners</w:t>
      </w:r>
      <w:r w:rsidR="008556ED" w:rsidRPr="00694949">
        <w:t>, there was a similar combined response rate supporting a modified version of Option 3 and those expressly not supporting Option 3</w:t>
      </w:r>
      <w:r w:rsidRPr="00694949">
        <w:t xml:space="preserve"> or indicating support for Option 2. From this information</w:t>
      </w:r>
      <w:r w:rsidR="00F809E2" w:rsidRPr="00694949">
        <w:t>,</w:t>
      </w:r>
      <w:r w:rsidRPr="00694949">
        <w:t xml:space="preserve"> it </w:t>
      </w:r>
      <w:r w:rsidR="007D2825" w:rsidRPr="00694949">
        <w:t xml:space="preserve">was </w:t>
      </w:r>
      <w:r w:rsidRPr="00694949">
        <w:t xml:space="preserve">inferred that the majority of stakeholders were in favour of some form of oversight </w:t>
      </w:r>
      <w:r w:rsidR="007D2825" w:rsidRPr="00694949">
        <w:t>for</w:t>
      </w:r>
      <w:r w:rsidRPr="00694949">
        <w:t xml:space="preserve"> the industry.</w:t>
      </w:r>
    </w:p>
    <w:p w14:paraId="125C7953" w14:textId="77777777" w:rsidR="002E4285" w:rsidRPr="00694949" w:rsidRDefault="00A53B0B" w:rsidP="00694949">
      <w:r w:rsidRPr="00694949">
        <w:t>Aside from the information gained in the prefer</w:t>
      </w:r>
      <w:r w:rsidR="008C54DA" w:rsidRPr="00694949">
        <w:t>ence for a way forward</w:t>
      </w:r>
      <w:r w:rsidRPr="00694949">
        <w:t xml:space="preserve">, no significant additional data was </w:t>
      </w:r>
      <w:r w:rsidR="008C54DA" w:rsidRPr="00694949">
        <w:t>received regarding injuries, business implications or health outcomes from any of the options presented. Therefore</w:t>
      </w:r>
      <w:r w:rsidR="009720FC" w:rsidRPr="00694949">
        <w:t>,</w:t>
      </w:r>
      <w:r w:rsidR="008C54DA" w:rsidRPr="00694949">
        <w:t xml:space="preserve"> there was insufficient evidence to support a justification to adopt or implement any of the options outlined in the Consultation RIS for oversight of the industry. </w:t>
      </w:r>
    </w:p>
    <w:p w14:paraId="00A72B5D" w14:textId="23CAC82E" w:rsidR="002E4285" w:rsidRPr="001E427D" w:rsidRDefault="008C54DA" w:rsidP="00694949">
      <w:r w:rsidRPr="00694949">
        <w:t xml:space="preserve">It was decided by the RHC that a positive step to </w:t>
      </w:r>
      <w:r w:rsidR="002E4285" w:rsidRPr="00694949">
        <w:t>contributin</w:t>
      </w:r>
      <w:r w:rsidR="002E4285">
        <w:t xml:space="preserve">g to safety in the delivery of these services would be to engage an expert group to publish </w:t>
      </w:r>
      <w:r w:rsidR="00403B11">
        <w:t>g</w:t>
      </w:r>
      <w:r w:rsidR="002E4285">
        <w:t xml:space="preserve">uidance </w:t>
      </w:r>
      <w:r w:rsidR="00403B11">
        <w:t>material</w:t>
      </w:r>
      <w:r w:rsidR="006B189C">
        <w:t>.</w:t>
      </w:r>
      <w:r w:rsidR="002E4285">
        <w:t xml:space="preserve"> The guidance </w:t>
      </w:r>
      <w:r w:rsidR="00403B11">
        <w:t xml:space="preserve">material </w:t>
      </w:r>
      <w:r w:rsidR="002E4285">
        <w:t xml:space="preserve">would be accompanied by </w:t>
      </w:r>
      <w:r w:rsidR="002E4285" w:rsidRPr="001E427D">
        <w:t xml:space="preserve">fact </w:t>
      </w:r>
      <w:proofErr w:type="gramStart"/>
      <w:r w:rsidR="002E4285" w:rsidRPr="001E427D">
        <w:t>sheets,</w:t>
      </w:r>
      <w:proofErr w:type="gramEnd"/>
      <w:r w:rsidR="002E4285" w:rsidRPr="001E427D">
        <w:t xml:space="preserve"> brochures and </w:t>
      </w:r>
      <w:r w:rsidR="00B844A1">
        <w:t>f</w:t>
      </w:r>
      <w:r w:rsidR="002E4285" w:rsidRPr="001E427D">
        <w:t xml:space="preserve">requently </w:t>
      </w:r>
      <w:r w:rsidR="00B844A1">
        <w:t>a</w:t>
      </w:r>
      <w:r w:rsidR="002E4285" w:rsidRPr="001E427D">
        <w:t xml:space="preserve">sked </w:t>
      </w:r>
      <w:r w:rsidR="00B844A1">
        <w:t>q</w:t>
      </w:r>
      <w:r w:rsidR="002E4285" w:rsidRPr="001E427D">
        <w:t xml:space="preserve">uestions aimed at informing the Australian public about </w:t>
      </w:r>
      <w:r w:rsidR="00403B11">
        <w:t>risks</w:t>
      </w:r>
      <w:r w:rsidR="002E4285" w:rsidRPr="001E427D">
        <w:t xml:space="preserve"> and</w:t>
      </w:r>
      <w:r w:rsidR="00403B11">
        <w:t xml:space="preserve"> </w:t>
      </w:r>
      <w:r w:rsidR="002E4285" w:rsidRPr="001E427D">
        <w:t xml:space="preserve">potential health implications of undergoing laser and IPL based cosmetic therapy. The adoption of this </w:t>
      </w:r>
      <w:r w:rsidR="00403B11">
        <w:t xml:space="preserve">guidance material </w:t>
      </w:r>
      <w:r w:rsidR="002E4285" w:rsidRPr="001E427D">
        <w:t xml:space="preserve">would at provide a means by which services could measure their safety performance against </w:t>
      </w:r>
      <w:r w:rsidR="00B5551B">
        <w:t>good</w:t>
      </w:r>
      <w:r w:rsidR="00B5551B" w:rsidRPr="001E427D">
        <w:t xml:space="preserve"> </w:t>
      </w:r>
      <w:r w:rsidR="002E4285" w:rsidRPr="001E427D">
        <w:t>practice.</w:t>
      </w:r>
    </w:p>
    <w:p w14:paraId="283749D5" w14:textId="77777777" w:rsidR="00181813" w:rsidRDefault="00022FAF" w:rsidP="00972F0F">
      <w:pPr>
        <w:pStyle w:val="Heading1"/>
        <w:pageBreakBefore/>
      </w:pPr>
      <w:bookmarkStart w:id="23" w:name="_Toc478567683"/>
      <w:r>
        <w:t>References</w:t>
      </w:r>
      <w:bookmarkEnd w:id="23"/>
    </w:p>
    <w:p w14:paraId="6C1828F3" w14:textId="77777777" w:rsidR="009119EA" w:rsidRPr="00694949" w:rsidRDefault="009119EA" w:rsidP="00694949">
      <w:pPr>
        <w:ind w:left="720" w:hanging="720"/>
      </w:pPr>
      <w:r w:rsidRPr="009119EA">
        <w:t xml:space="preserve">AS/NZS IEC 60825.1. 2014. Safety </w:t>
      </w:r>
      <w:r w:rsidRPr="00694949">
        <w:t xml:space="preserve">of laser products - Equipment classification and requirements. </w:t>
      </w:r>
      <w:proofErr w:type="gramStart"/>
      <w:r w:rsidRPr="00694949">
        <w:t>Standards Australia Sydney and Standards New Zealand Wellington.</w:t>
      </w:r>
      <w:proofErr w:type="gramEnd"/>
    </w:p>
    <w:p w14:paraId="75E7DCEF" w14:textId="77777777" w:rsidR="00300FB5" w:rsidRPr="00694949" w:rsidRDefault="00F749B2" w:rsidP="00694949">
      <w:pPr>
        <w:ind w:left="720" w:hanging="720"/>
      </w:pPr>
      <w:proofErr w:type="gramStart"/>
      <w:r w:rsidRPr="00694949">
        <w:t>Australian Bureau of Statistics</w:t>
      </w:r>
      <w:r w:rsidR="003F3E6D" w:rsidRPr="00694949">
        <w:t xml:space="preserve">, </w:t>
      </w:r>
      <w:r w:rsidR="009119EA" w:rsidRPr="00694949">
        <w:t>2016.</w:t>
      </w:r>
      <w:proofErr w:type="gramEnd"/>
      <w:r w:rsidR="003F3E6D" w:rsidRPr="00694949">
        <w:t xml:space="preserve"> </w:t>
      </w:r>
      <w:proofErr w:type="gramStart"/>
      <w:r w:rsidR="003F3E6D" w:rsidRPr="00694949">
        <w:t>3101.0–</w:t>
      </w:r>
      <w:r w:rsidRPr="00694949">
        <w:t>Australian Demographic Statistics</w:t>
      </w:r>
      <w:r w:rsidR="003F3E6D" w:rsidRPr="00694949">
        <w:t>.</w:t>
      </w:r>
      <w:proofErr w:type="gramEnd"/>
    </w:p>
    <w:p w14:paraId="5B13BF93" w14:textId="13208AC7" w:rsidR="00300FB5" w:rsidRPr="00694949" w:rsidRDefault="003F3E6D" w:rsidP="00694949">
      <w:pPr>
        <w:ind w:left="720" w:hanging="720"/>
      </w:pPr>
      <w:r w:rsidRPr="00694949">
        <w:t xml:space="preserve">Available from </w:t>
      </w:r>
      <w:hyperlink r:id="rId34" w:history="1">
        <w:r w:rsidR="00300FB5" w:rsidRPr="00694949">
          <w:rPr>
            <w:rStyle w:val="Hyperlink"/>
          </w:rPr>
          <w:t>http://www.abs.gov.au/ausstats/abs@.nsf/mf/3101.0</w:t>
        </w:r>
      </w:hyperlink>
      <w:r w:rsidR="009119EA" w:rsidRPr="00694949">
        <w:t xml:space="preserve"> [Last u</w:t>
      </w:r>
      <w:r w:rsidRPr="00694949">
        <w:t xml:space="preserve">pdated </w:t>
      </w:r>
      <w:r w:rsidR="009119EA" w:rsidRPr="00694949">
        <w:t>December2016]</w:t>
      </w:r>
    </w:p>
    <w:p w14:paraId="480EDC87" w14:textId="77777777" w:rsidR="00F749B2" w:rsidRDefault="009119EA" w:rsidP="00694949">
      <w:pPr>
        <w:ind w:left="720" w:hanging="720"/>
      </w:pPr>
      <w:proofErr w:type="gramStart"/>
      <w:r w:rsidRPr="00694949">
        <w:t>Australian Radiation Protection and Nuclear Safety Agency (ARPANSA), 2015.</w:t>
      </w:r>
      <w:proofErr w:type="gramEnd"/>
      <w:r w:rsidRPr="00694949">
        <w:t xml:space="preserve"> </w:t>
      </w:r>
      <w:r w:rsidR="00F749B2" w:rsidRPr="00694949">
        <w:t>Regulatory Impact Statement</w:t>
      </w:r>
      <w:r w:rsidRPr="00694949">
        <w:t>-Intense Pulsed Light sources (IPL</w:t>
      </w:r>
      <w:r>
        <w:t>s) and Lasers for Cosmetic or Beauty Therapy Consultation Draft – May 2015.</w:t>
      </w:r>
    </w:p>
    <w:p w14:paraId="1FA942E5" w14:textId="0A7A69DA" w:rsidR="00F749B2" w:rsidRPr="00300FB5" w:rsidRDefault="00F749B2" w:rsidP="00924BAB"/>
    <w:sectPr w:rsidR="00F749B2" w:rsidRPr="00300FB5" w:rsidSect="00C25D42">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AE675" w14:textId="77777777" w:rsidR="00EE4ABB" w:rsidRDefault="00EE4ABB" w:rsidP="00BA1618">
      <w:pPr>
        <w:spacing w:line="240" w:lineRule="auto"/>
      </w:pPr>
      <w:r>
        <w:separator/>
      </w:r>
    </w:p>
  </w:endnote>
  <w:endnote w:type="continuationSeparator" w:id="0">
    <w:p w14:paraId="1445CBEA" w14:textId="77777777" w:rsidR="00EE4ABB" w:rsidRDefault="00EE4ABB" w:rsidP="00BA1618">
      <w:pPr>
        <w:spacing w:line="240" w:lineRule="auto"/>
      </w:pPr>
      <w:r>
        <w:continuationSeparator/>
      </w:r>
    </w:p>
  </w:endnote>
  <w:endnote w:type="continuationNotice" w:id="1">
    <w:p w14:paraId="790EFFC9" w14:textId="77777777" w:rsidR="00EE4ABB" w:rsidRDefault="00EE4AB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AC3E" w14:textId="77777777" w:rsidR="00EE4ABB" w:rsidRPr="00D41478" w:rsidRDefault="00EE4ABB" w:rsidP="00C25D42">
    <w:pPr>
      <w:pStyle w:val="Footer"/>
      <w:tabs>
        <w:tab w:val="clear" w:pos="4513"/>
        <w:tab w:val="clear" w:pos="9026"/>
        <w:tab w:val="left" w:pos="4253"/>
        <w:tab w:val="right" w:pos="9639"/>
      </w:tabs>
      <w:spacing w:before="480"/>
      <w:rPr>
        <w:color w:val="444444"/>
        <w:sz w:val="16"/>
        <w:szCs w:val="18"/>
      </w:rPr>
    </w:pPr>
    <w:r w:rsidRPr="00D41478">
      <w:rPr>
        <w:noProof/>
        <w:color w:val="444444"/>
        <w:sz w:val="18"/>
        <w:lang w:eastAsia="en-AU"/>
      </w:rPr>
      <w:drawing>
        <wp:anchor distT="0" distB="0" distL="114300" distR="114300" simplePos="0" relativeHeight="251674624" behindDoc="0" locked="1" layoutInCell="1" allowOverlap="1" wp14:anchorId="2A81791A" wp14:editId="440FA539">
          <wp:simplePos x="0" y="0"/>
          <wp:positionH relativeFrom="column">
            <wp:posOffset>0</wp:posOffset>
          </wp:positionH>
          <wp:positionV relativeFrom="paragraph">
            <wp:posOffset>163830</wp:posOffset>
          </wp:positionV>
          <wp:extent cx="6119495" cy="546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4610"/>
                  </a:xfrm>
                  <a:prstGeom prst="rect">
                    <a:avLst/>
                  </a:prstGeom>
                </pic:spPr>
              </pic:pic>
            </a:graphicData>
          </a:graphic>
          <wp14:sizeRelH relativeFrom="page">
            <wp14:pctWidth>0</wp14:pctWidth>
          </wp14:sizeRelH>
          <wp14:sizeRelV relativeFrom="page">
            <wp14:pctHeight>0</wp14:pctHeight>
          </wp14:sizeRelV>
        </wp:anchor>
      </w:drawing>
    </w:r>
    <w:r w:rsidRPr="00D41478">
      <w:rPr>
        <w:color w:val="444444"/>
        <w:sz w:val="16"/>
      </w:rPr>
      <w:t>619 Lower Plenty Road, Yallambie VIC 3085</w:t>
    </w:r>
    <w:r w:rsidRPr="00D41478">
      <w:rPr>
        <w:color w:val="444444"/>
        <w:sz w:val="16"/>
      </w:rPr>
      <w:tab/>
      <w:t>38–40 Urunga Parade, Miranda NSW 2228</w:t>
    </w:r>
    <w:r w:rsidRPr="00D41478">
      <w:rPr>
        <w:color w:val="444444"/>
        <w:sz w:val="16"/>
      </w:rPr>
      <w:tab/>
      <w:t>info@arpansa.gov.au</w:t>
    </w:r>
    <w:r w:rsidRPr="00D41478">
      <w:rPr>
        <w:color w:val="444444"/>
        <w:sz w:val="16"/>
      </w:rPr>
      <w:br/>
    </w:r>
    <w:r w:rsidRPr="00D41478">
      <w:rPr>
        <w:color w:val="444444"/>
        <w:sz w:val="16"/>
        <w:szCs w:val="18"/>
      </w:rPr>
      <w:t>+61 3 9433 2211</w:t>
    </w:r>
    <w:r w:rsidRPr="00D41478">
      <w:rPr>
        <w:color w:val="444444"/>
        <w:sz w:val="16"/>
        <w:szCs w:val="18"/>
      </w:rPr>
      <w:tab/>
      <w:t>PO Box 655, Miranda 1490</w:t>
    </w:r>
    <w:r w:rsidRPr="00D41478">
      <w:rPr>
        <w:color w:val="444444"/>
        <w:sz w:val="16"/>
        <w:szCs w:val="18"/>
      </w:rPr>
      <w:tab/>
      <w:t>arpansa.gov.au</w:t>
    </w:r>
    <w:r w:rsidRPr="00D41478">
      <w:rPr>
        <w:color w:val="444444"/>
        <w:sz w:val="16"/>
        <w:szCs w:val="18"/>
      </w:rPr>
      <w:br/>
    </w:r>
    <w:r w:rsidRPr="00D41478">
      <w:rPr>
        <w:color w:val="444444"/>
        <w:sz w:val="16"/>
        <w:szCs w:val="18"/>
      </w:rPr>
      <w:tab/>
      <w:t>+61 2 9541 8333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85FF" w14:textId="4A20101B" w:rsidR="00EE4ABB" w:rsidRDefault="00EE4ABB" w:rsidP="002724B6">
    <w:pPr>
      <w:tabs>
        <w:tab w:val="right" w:pos="9639"/>
      </w:tabs>
      <w:spacing w:before="480"/>
      <w:rPr>
        <w:color w:val="595959" w:themeColor="text1" w:themeTint="A6"/>
        <w:sz w:val="16"/>
        <w:szCs w:val="18"/>
      </w:rPr>
    </w:pPr>
    <w:r w:rsidRPr="005172A7">
      <w:rPr>
        <w:noProof/>
        <w:sz w:val="18"/>
        <w:lang w:eastAsia="en-AU"/>
      </w:rPr>
      <w:drawing>
        <wp:anchor distT="0" distB="0" distL="114300" distR="114300" simplePos="0" relativeHeight="251663360" behindDoc="0" locked="1" layoutInCell="1" allowOverlap="1" wp14:anchorId="57A250A6" wp14:editId="26F30628">
          <wp:simplePos x="0" y="0"/>
          <wp:positionH relativeFrom="column">
            <wp:posOffset>0</wp:posOffset>
          </wp:positionH>
          <wp:positionV relativeFrom="paragraph">
            <wp:posOffset>193675</wp:posOffset>
          </wp:positionV>
          <wp:extent cx="6120000" cy="54000"/>
          <wp:effectExtent l="0" t="0" r="0" b="3175"/>
          <wp:wrapTopAndBottom/>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16"/>
        <w:szCs w:val="18"/>
      </w:rPr>
      <w:t xml:space="preserve">Analysis of Public Submissions – Consultation </w:t>
    </w:r>
    <w:r w:rsidRPr="000C5545">
      <w:rPr>
        <w:color w:val="595959" w:themeColor="text1" w:themeTint="A6"/>
        <w:sz w:val="16"/>
        <w:szCs w:val="18"/>
      </w:rPr>
      <w:t>Regulatory Impact Statement in the use of</w:t>
    </w:r>
    <w:r>
      <w:rPr>
        <w:color w:val="595959" w:themeColor="text1" w:themeTint="A6"/>
        <w:sz w:val="16"/>
        <w:szCs w:val="18"/>
      </w:rPr>
      <w:tab/>
    </w:r>
    <w:r w:rsidRPr="000C5545">
      <w:rPr>
        <w:color w:val="595959" w:themeColor="text1" w:themeTint="A6"/>
        <w:sz w:val="16"/>
        <w:szCs w:val="18"/>
      </w:rPr>
      <w:fldChar w:fldCharType="begin"/>
    </w:r>
    <w:r w:rsidRPr="000C5545">
      <w:rPr>
        <w:color w:val="595959" w:themeColor="text1" w:themeTint="A6"/>
        <w:sz w:val="16"/>
        <w:szCs w:val="18"/>
      </w:rPr>
      <w:instrText xml:space="preserve"> PAGE   \* MERGEFORMAT </w:instrText>
    </w:r>
    <w:r w:rsidRPr="000C5545">
      <w:rPr>
        <w:color w:val="595959" w:themeColor="text1" w:themeTint="A6"/>
        <w:sz w:val="16"/>
        <w:szCs w:val="18"/>
      </w:rPr>
      <w:fldChar w:fldCharType="separate"/>
    </w:r>
    <w:r w:rsidR="00D41478">
      <w:rPr>
        <w:noProof/>
        <w:color w:val="595959" w:themeColor="text1" w:themeTint="A6"/>
        <w:sz w:val="16"/>
        <w:szCs w:val="18"/>
      </w:rPr>
      <w:t>i</w:t>
    </w:r>
    <w:r w:rsidRPr="000C5545">
      <w:rPr>
        <w:noProof/>
        <w:color w:val="595959" w:themeColor="text1" w:themeTint="A6"/>
        <w:sz w:val="16"/>
        <w:szCs w:val="18"/>
      </w:rPr>
      <w:fldChar w:fldCharType="end"/>
    </w:r>
    <w:r>
      <w:rPr>
        <w:color w:val="595959" w:themeColor="text1" w:themeTint="A6"/>
        <w:sz w:val="16"/>
        <w:szCs w:val="18"/>
      </w:rPr>
      <w:br/>
    </w:r>
    <w:r w:rsidRPr="000C5545">
      <w:rPr>
        <w:color w:val="595959" w:themeColor="text1" w:themeTint="A6"/>
        <w:sz w:val="16"/>
        <w:szCs w:val="18"/>
      </w:rPr>
      <w:t>Intense Pulsed Light (IPLs) Sources and Lasers for Cosmetic or Beauty Therapy</w:t>
    </w:r>
  </w:p>
  <w:p w14:paraId="15066EDF" w14:textId="0ABEF21D" w:rsidR="00EE4ABB" w:rsidRPr="007E0CA9" w:rsidRDefault="00EE4ABB" w:rsidP="002808E0">
    <w:pPr>
      <w:tabs>
        <w:tab w:val="right" w:pos="8789"/>
      </w:tabs>
      <w:spacing w:before="0"/>
      <w:ind w:right="851"/>
      <w:rPr>
        <w:color w:val="595959" w:themeColor="text1" w:themeTint="A6"/>
        <w:sz w:val="16"/>
        <w:szCs w:val="18"/>
      </w:rPr>
    </w:pPr>
    <w:r>
      <w:rPr>
        <w:color w:val="595959" w:themeColor="text1" w:themeTint="A6"/>
        <w:sz w:val="16"/>
        <w:szCs w:val="18"/>
      </w:rPr>
      <w:t>Technical Report 177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9ABF" w14:textId="77777777" w:rsidR="00EE4ABB" w:rsidRPr="00FC63EA" w:rsidRDefault="00EE4ABB" w:rsidP="000C5545">
    <w:pPr>
      <w:tabs>
        <w:tab w:val="right" w:pos="9072"/>
      </w:tabs>
      <w:ind w:right="567"/>
      <w:rPr>
        <w:color w:val="595959" w:themeColor="text1" w:themeTint="A6"/>
        <w:sz w:val="16"/>
        <w:szCs w:val="18"/>
      </w:rPr>
    </w:pPr>
    <w:r w:rsidRPr="005172A7">
      <w:rPr>
        <w:noProof/>
        <w:sz w:val="18"/>
        <w:lang w:eastAsia="en-AU"/>
      </w:rPr>
      <w:drawing>
        <wp:anchor distT="0" distB="0" distL="114300" distR="114300" simplePos="0" relativeHeight="251661312" behindDoc="0" locked="0" layoutInCell="1" allowOverlap="1" wp14:anchorId="66BB29E7" wp14:editId="35436AFF">
          <wp:simplePos x="0" y="0"/>
          <wp:positionH relativeFrom="column">
            <wp:posOffset>-6985</wp:posOffset>
          </wp:positionH>
          <wp:positionV relativeFrom="paragraph">
            <wp:posOffset>64770</wp:posOffset>
          </wp:positionV>
          <wp:extent cx="5813425" cy="53975"/>
          <wp:effectExtent l="0" t="0" r="0" b="3175"/>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3425" cy="53975"/>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16"/>
        <w:szCs w:val="18"/>
      </w:rPr>
      <w:t>Technical Report No. 1##</w:t>
    </w:r>
    <w:proofErr w:type="spellStart"/>
    <w:r>
      <w:rPr>
        <w:color w:val="595959" w:themeColor="text1" w:themeTint="A6"/>
        <w:sz w:val="16"/>
        <w:szCs w:val="18"/>
      </w:rPr>
      <w:t>lj;lkj</w:t>
    </w:r>
    <w:proofErr w:type="spellEnd"/>
    <w:r>
      <w:rPr>
        <w:color w:val="595959" w:themeColor="text1" w:themeTint="A6"/>
        <w:sz w:val="16"/>
        <w:szCs w:val="18"/>
      </w:rPr>
      <w:tab/>
    </w:r>
    <w:r w:rsidRPr="000C5545">
      <w:rPr>
        <w:color w:val="595959" w:themeColor="text1" w:themeTint="A6"/>
        <w:sz w:val="16"/>
        <w:szCs w:val="18"/>
      </w:rPr>
      <w:fldChar w:fldCharType="begin"/>
    </w:r>
    <w:r w:rsidRPr="000C5545">
      <w:rPr>
        <w:color w:val="595959" w:themeColor="text1" w:themeTint="A6"/>
        <w:sz w:val="16"/>
        <w:szCs w:val="18"/>
      </w:rPr>
      <w:instrText xml:space="preserve"> PAGE   \* MERGEFORMAT </w:instrText>
    </w:r>
    <w:r w:rsidRPr="000C5545">
      <w:rPr>
        <w:color w:val="595959" w:themeColor="text1" w:themeTint="A6"/>
        <w:sz w:val="16"/>
        <w:szCs w:val="18"/>
      </w:rPr>
      <w:fldChar w:fldCharType="separate"/>
    </w:r>
    <w:r>
      <w:rPr>
        <w:noProof/>
        <w:color w:val="595959" w:themeColor="text1" w:themeTint="A6"/>
        <w:sz w:val="16"/>
        <w:szCs w:val="18"/>
      </w:rPr>
      <w:t>i</w:t>
    </w:r>
    <w:r w:rsidRPr="000C5545">
      <w:rPr>
        <w:noProof/>
        <w:color w:val="595959" w:themeColor="text1" w:themeTint="A6"/>
        <w:sz w:val="16"/>
        <w:szCs w:val="18"/>
      </w:rPr>
      <w:fldChar w:fldCharType="end"/>
    </w:r>
    <w:r>
      <w:rPr>
        <w:noProof/>
        <w:color w:val="595959" w:themeColor="text1" w:themeTint="A6"/>
        <w:sz w:val="16"/>
        <w:szCs w:val="18"/>
      </w:rPr>
      <w:br/>
    </w:r>
    <w:r>
      <w:rPr>
        <w:color w:val="595959" w:themeColor="text1" w:themeTint="A6"/>
        <w:sz w:val="16"/>
        <w:szCs w:val="18"/>
      </w:rPr>
      <w:t xml:space="preserve">Analysis of Public Submissions – Consultation </w:t>
    </w:r>
    <w:r w:rsidRPr="000C5545">
      <w:rPr>
        <w:color w:val="595959" w:themeColor="text1" w:themeTint="A6"/>
        <w:sz w:val="16"/>
        <w:szCs w:val="18"/>
      </w:rPr>
      <w:t>Regulatory Impact Statement in the use of Intense Pulsed Light (IPLs) Sources and Lasers for Cosmetic or Beauty Therapy</w:t>
    </w:r>
    <w:r>
      <w:rPr>
        <w:color w:val="595959" w:themeColor="text1" w:themeTint="A6"/>
        <w:sz w:val="16"/>
        <w:szCs w:val="18"/>
      </w:rPr>
      <w:t xml:space="preserve"> – </w:t>
    </w:r>
    <w:r w:rsidRPr="000C5545">
      <w:rPr>
        <w:color w:val="595959" w:themeColor="text1" w:themeTint="A6"/>
        <w:sz w:val="16"/>
        <w:szCs w:val="18"/>
      </w:rPr>
      <w:t>Radiation Health Committee Decision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E7D01" w14:textId="77777777" w:rsidR="00EE4ABB" w:rsidRDefault="00EE4ABB" w:rsidP="00BA1618">
      <w:pPr>
        <w:spacing w:line="240" w:lineRule="auto"/>
      </w:pPr>
      <w:r>
        <w:separator/>
      </w:r>
    </w:p>
  </w:footnote>
  <w:footnote w:type="continuationSeparator" w:id="0">
    <w:p w14:paraId="5C499B48" w14:textId="77777777" w:rsidR="00EE4ABB" w:rsidRDefault="00EE4ABB" w:rsidP="00BA1618">
      <w:pPr>
        <w:spacing w:line="240" w:lineRule="auto"/>
      </w:pPr>
      <w:r>
        <w:continuationSeparator/>
      </w:r>
    </w:p>
  </w:footnote>
  <w:footnote w:type="continuationNotice" w:id="1">
    <w:p w14:paraId="684EA5A2" w14:textId="77777777" w:rsidR="00EE4ABB" w:rsidRDefault="00EE4ABB">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37253" w14:textId="50D79039" w:rsidR="00EE4ABB" w:rsidRPr="0039255A" w:rsidRDefault="00EE4ABB" w:rsidP="0039255A">
    <w:pPr>
      <w:pStyle w:val="Header"/>
    </w:pPr>
    <w:r>
      <w:rPr>
        <w:noProof/>
        <w:lang w:eastAsia="en-AU"/>
      </w:rPr>
      <w:drawing>
        <wp:inline distT="0" distB="0" distL="0" distR="0" wp14:anchorId="78C4B55E" wp14:editId="2D6ECF1C">
          <wp:extent cx="6120384"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384" cy="7315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5D36D" w14:textId="77777777" w:rsidR="00EE4ABB" w:rsidRDefault="00EE4A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D238D"/>
    <w:multiLevelType w:val="hybridMultilevel"/>
    <w:tmpl w:val="0E7CFFA6"/>
    <w:lvl w:ilvl="0" w:tplc="DAE29B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00923D6"/>
    <w:multiLevelType w:val="multilevel"/>
    <w:tmpl w:val="EAD455F4"/>
    <w:lvl w:ilvl="0">
      <w:start w:val="1"/>
      <w:numFmt w:val="bullet"/>
      <w:pStyle w:val="ListParagraph"/>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338511A"/>
    <w:multiLevelType w:val="multilevel"/>
    <w:tmpl w:val="5D76E81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10A033E"/>
    <w:multiLevelType w:val="multilevel"/>
    <w:tmpl w:val="884C5C12"/>
    <w:lvl w:ilvl="0">
      <w:start w:val="1"/>
      <w:numFmt w:val="decimal"/>
      <w:pStyle w:val="Heading1"/>
      <w:lvlText w:val="%1."/>
      <w:lvlJc w:val="left"/>
      <w:pPr>
        <w:ind w:left="737" w:hanging="737"/>
      </w:pPr>
      <w:rPr>
        <w:rFonts w:ascii="Calibri" w:hAnsi="Calibri" w:hint="default"/>
        <w:b/>
        <w:i w:val="0"/>
        <w:color w:val="4E1A74"/>
        <w:sz w:val="32"/>
      </w:rPr>
    </w:lvl>
    <w:lvl w:ilvl="1">
      <w:start w:val="1"/>
      <w:numFmt w:val="decimal"/>
      <w:pStyle w:val="Heading2"/>
      <w:lvlText w:val="%1.%2"/>
      <w:lvlJc w:val="left"/>
      <w:pPr>
        <w:tabs>
          <w:tab w:val="num" w:pos="737"/>
        </w:tabs>
        <w:ind w:left="737" w:hanging="737"/>
      </w:pPr>
      <w:rPr>
        <w:rFonts w:ascii="Calibri" w:hAnsi="Calibri" w:hint="default"/>
        <w:b/>
        <w:i w:val="0"/>
        <w:color w:val="4E1A74"/>
        <w:sz w:val="26"/>
      </w:rPr>
    </w:lvl>
    <w:lvl w:ilvl="2">
      <w:start w:val="1"/>
      <w:numFmt w:val="lowerRoman"/>
      <w:lvlText w:val="%3."/>
      <w:lvlJc w:val="righ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righ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right"/>
      <w:pPr>
        <w:ind w:left="737" w:hanging="737"/>
      </w:pPr>
      <w:rPr>
        <w:rFonts w:hint="default"/>
      </w:rPr>
    </w:lvl>
  </w:abstractNum>
  <w:num w:numId="1">
    <w:abstractNumId w:val="0"/>
  </w:num>
  <w:num w:numId="2">
    <w:abstractNumId w:val="3"/>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3"/>
  </w:num>
  <w:num w:numId="29">
    <w:abstractNumId w:val="3"/>
  </w:num>
  <w:num w:numId="30">
    <w:abstractNumId w:val="3"/>
  </w:num>
  <w:num w:numId="31">
    <w:abstractNumId w:val="3"/>
  </w:num>
  <w:num w:numId="32">
    <w:abstractNumId w:val="3"/>
  </w:num>
  <w:num w:numId="33">
    <w:abstractNumId w:val="2"/>
  </w:num>
  <w:num w:numId="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58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195"/>
    <w:rsid w:val="00000EFC"/>
    <w:rsid w:val="00001DE3"/>
    <w:rsid w:val="00004D83"/>
    <w:rsid w:val="000130DD"/>
    <w:rsid w:val="0001579A"/>
    <w:rsid w:val="000174B3"/>
    <w:rsid w:val="00022FAF"/>
    <w:rsid w:val="000335B7"/>
    <w:rsid w:val="0003397F"/>
    <w:rsid w:val="00051092"/>
    <w:rsid w:val="00066DB7"/>
    <w:rsid w:val="00072738"/>
    <w:rsid w:val="00075C34"/>
    <w:rsid w:val="0007671D"/>
    <w:rsid w:val="00077266"/>
    <w:rsid w:val="000772BA"/>
    <w:rsid w:val="0009610E"/>
    <w:rsid w:val="000A0AF6"/>
    <w:rsid w:val="000A2C70"/>
    <w:rsid w:val="000B0A48"/>
    <w:rsid w:val="000B1AE9"/>
    <w:rsid w:val="000B3720"/>
    <w:rsid w:val="000B3AE5"/>
    <w:rsid w:val="000B5481"/>
    <w:rsid w:val="000C0390"/>
    <w:rsid w:val="000C5545"/>
    <w:rsid w:val="000D5552"/>
    <w:rsid w:val="000E5A6E"/>
    <w:rsid w:val="000F0A04"/>
    <w:rsid w:val="000F217F"/>
    <w:rsid w:val="00103289"/>
    <w:rsid w:val="00104B08"/>
    <w:rsid w:val="00113EB1"/>
    <w:rsid w:val="00114917"/>
    <w:rsid w:val="00116199"/>
    <w:rsid w:val="00116BDB"/>
    <w:rsid w:val="0012248A"/>
    <w:rsid w:val="001239B0"/>
    <w:rsid w:val="0012472C"/>
    <w:rsid w:val="00127825"/>
    <w:rsid w:val="00127C11"/>
    <w:rsid w:val="001313A8"/>
    <w:rsid w:val="00134934"/>
    <w:rsid w:val="00135F69"/>
    <w:rsid w:val="00137DF4"/>
    <w:rsid w:val="001448CB"/>
    <w:rsid w:val="0014491E"/>
    <w:rsid w:val="00145F7A"/>
    <w:rsid w:val="00156AF6"/>
    <w:rsid w:val="00165E2B"/>
    <w:rsid w:val="00172934"/>
    <w:rsid w:val="00176504"/>
    <w:rsid w:val="0017797D"/>
    <w:rsid w:val="00181813"/>
    <w:rsid w:val="00183D1B"/>
    <w:rsid w:val="001928D5"/>
    <w:rsid w:val="00195472"/>
    <w:rsid w:val="001957FB"/>
    <w:rsid w:val="001A3B93"/>
    <w:rsid w:val="001A6BA2"/>
    <w:rsid w:val="001B4ED0"/>
    <w:rsid w:val="001B58F3"/>
    <w:rsid w:val="001C2303"/>
    <w:rsid w:val="001D70E6"/>
    <w:rsid w:val="001E427D"/>
    <w:rsid w:val="002044D1"/>
    <w:rsid w:val="00207306"/>
    <w:rsid w:val="00211C54"/>
    <w:rsid w:val="00215EE0"/>
    <w:rsid w:val="00250702"/>
    <w:rsid w:val="00250A41"/>
    <w:rsid w:val="0025517C"/>
    <w:rsid w:val="00256DC9"/>
    <w:rsid w:val="00263E95"/>
    <w:rsid w:val="00264504"/>
    <w:rsid w:val="002652B2"/>
    <w:rsid w:val="00266C64"/>
    <w:rsid w:val="002724B6"/>
    <w:rsid w:val="00272DE4"/>
    <w:rsid w:val="00275845"/>
    <w:rsid w:val="002808E0"/>
    <w:rsid w:val="00281EA5"/>
    <w:rsid w:val="00286A34"/>
    <w:rsid w:val="00286B38"/>
    <w:rsid w:val="00292084"/>
    <w:rsid w:val="00297899"/>
    <w:rsid w:val="002A1C16"/>
    <w:rsid w:val="002A452F"/>
    <w:rsid w:val="002A6ABA"/>
    <w:rsid w:val="002A6DA7"/>
    <w:rsid w:val="002C1153"/>
    <w:rsid w:val="002D1117"/>
    <w:rsid w:val="002D5FB7"/>
    <w:rsid w:val="002D6E00"/>
    <w:rsid w:val="002E30A2"/>
    <w:rsid w:val="002E346F"/>
    <w:rsid w:val="002E4285"/>
    <w:rsid w:val="002F594C"/>
    <w:rsid w:val="00300FB5"/>
    <w:rsid w:val="003032F7"/>
    <w:rsid w:val="00311353"/>
    <w:rsid w:val="00316038"/>
    <w:rsid w:val="00324A22"/>
    <w:rsid w:val="00327743"/>
    <w:rsid w:val="00334902"/>
    <w:rsid w:val="0033623A"/>
    <w:rsid w:val="00336CD8"/>
    <w:rsid w:val="00345F88"/>
    <w:rsid w:val="00357848"/>
    <w:rsid w:val="00365EF4"/>
    <w:rsid w:val="00371AF7"/>
    <w:rsid w:val="0037255E"/>
    <w:rsid w:val="0037723B"/>
    <w:rsid w:val="0038255B"/>
    <w:rsid w:val="0038548C"/>
    <w:rsid w:val="003906C2"/>
    <w:rsid w:val="0039255A"/>
    <w:rsid w:val="00392846"/>
    <w:rsid w:val="00392D0D"/>
    <w:rsid w:val="0039566E"/>
    <w:rsid w:val="00396B09"/>
    <w:rsid w:val="003A2E12"/>
    <w:rsid w:val="003B0F93"/>
    <w:rsid w:val="003C55EB"/>
    <w:rsid w:val="003C5C47"/>
    <w:rsid w:val="003C5D6E"/>
    <w:rsid w:val="003C7CB2"/>
    <w:rsid w:val="003D5EAA"/>
    <w:rsid w:val="003E0A82"/>
    <w:rsid w:val="003E1C20"/>
    <w:rsid w:val="003E3F63"/>
    <w:rsid w:val="003F3E6D"/>
    <w:rsid w:val="003F42FE"/>
    <w:rsid w:val="003F5339"/>
    <w:rsid w:val="00403B11"/>
    <w:rsid w:val="00410EC3"/>
    <w:rsid w:val="004116B9"/>
    <w:rsid w:val="00416455"/>
    <w:rsid w:val="00417200"/>
    <w:rsid w:val="0042209C"/>
    <w:rsid w:val="00444C41"/>
    <w:rsid w:val="00451CDC"/>
    <w:rsid w:val="00470893"/>
    <w:rsid w:val="0047477F"/>
    <w:rsid w:val="004756C4"/>
    <w:rsid w:val="004768CB"/>
    <w:rsid w:val="004864E1"/>
    <w:rsid w:val="00493A4E"/>
    <w:rsid w:val="004A00F8"/>
    <w:rsid w:val="004A1C92"/>
    <w:rsid w:val="004A51B7"/>
    <w:rsid w:val="004A6415"/>
    <w:rsid w:val="004A7BF8"/>
    <w:rsid w:val="004C5E7A"/>
    <w:rsid w:val="004C786D"/>
    <w:rsid w:val="004D257A"/>
    <w:rsid w:val="004E0575"/>
    <w:rsid w:val="004E307E"/>
    <w:rsid w:val="004F3E4A"/>
    <w:rsid w:val="004F6762"/>
    <w:rsid w:val="004F67B4"/>
    <w:rsid w:val="00501476"/>
    <w:rsid w:val="00507FED"/>
    <w:rsid w:val="00512C14"/>
    <w:rsid w:val="00513425"/>
    <w:rsid w:val="00515FB3"/>
    <w:rsid w:val="00520CAE"/>
    <w:rsid w:val="00522FA1"/>
    <w:rsid w:val="005236DB"/>
    <w:rsid w:val="00523721"/>
    <w:rsid w:val="00524A6D"/>
    <w:rsid w:val="00526DCE"/>
    <w:rsid w:val="005326D8"/>
    <w:rsid w:val="005342EF"/>
    <w:rsid w:val="005351CB"/>
    <w:rsid w:val="00546FC8"/>
    <w:rsid w:val="00557111"/>
    <w:rsid w:val="0056035D"/>
    <w:rsid w:val="005610C2"/>
    <w:rsid w:val="00562CC9"/>
    <w:rsid w:val="00562F78"/>
    <w:rsid w:val="00573244"/>
    <w:rsid w:val="00581279"/>
    <w:rsid w:val="00581825"/>
    <w:rsid w:val="00585B1A"/>
    <w:rsid w:val="00586D10"/>
    <w:rsid w:val="005A48A9"/>
    <w:rsid w:val="005A5BF6"/>
    <w:rsid w:val="005A5E7A"/>
    <w:rsid w:val="005B67AB"/>
    <w:rsid w:val="005C0ED4"/>
    <w:rsid w:val="005C695E"/>
    <w:rsid w:val="005D0A88"/>
    <w:rsid w:val="005D66EB"/>
    <w:rsid w:val="005E1354"/>
    <w:rsid w:val="005F2D56"/>
    <w:rsid w:val="005F491C"/>
    <w:rsid w:val="00602D8B"/>
    <w:rsid w:val="00617B58"/>
    <w:rsid w:val="006218E7"/>
    <w:rsid w:val="00624EA7"/>
    <w:rsid w:val="00625573"/>
    <w:rsid w:val="006302A2"/>
    <w:rsid w:val="00636886"/>
    <w:rsid w:val="006374FC"/>
    <w:rsid w:val="0064434F"/>
    <w:rsid w:val="006507A8"/>
    <w:rsid w:val="0065212B"/>
    <w:rsid w:val="0065707B"/>
    <w:rsid w:val="00661A55"/>
    <w:rsid w:val="00670AEB"/>
    <w:rsid w:val="00671E9A"/>
    <w:rsid w:val="00674B18"/>
    <w:rsid w:val="0067625F"/>
    <w:rsid w:val="00676FE8"/>
    <w:rsid w:val="00682C1E"/>
    <w:rsid w:val="0068650B"/>
    <w:rsid w:val="00694949"/>
    <w:rsid w:val="00695857"/>
    <w:rsid w:val="0069613B"/>
    <w:rsid w:val="006A107F"/>
    <w:rsid w:val="006B189C"/>
    <w:rsid w:val="006B2096"/>
    <w:rsid w:val="006B38EF"/>
    <w:rsid w:val="006B655E"/>
    <w:rsid w:val="006B7C96"/>
    <w:rsid w:val="006C6AE8"/>
    <w:rsid w:val="006C7F22"/>
    <w:rsid w:val="006D2D20"/>
    <w:rsid w:val="006D523C"/>
    <w:rsid w:val="006E3FD7"/>
    <w:rsid w:val="006E6F58"/>
    <w:rsid w:val="006E7662"/>
    <w:rsid w:val="006E7B00"/>
    <w:rsid w:val="006F1D7B"/>
    <w:rsid w:val="006F2958"/>
    <w:rsid w:val="006F5F38"/>
    <w:rsid w:val="00705C6F"/>
    <w:rsid w:val="00714911"/>
    <w:rsid w:val="007165D2"/>
    <w:rsid w:val="007205C7"/>
    <w:rsid w:val="00733690"/>
    <w:rsid w:val="007337A7"/>
    <w:rsid w:val="007447EB"/>
    <w:rsid w:val="007479FA"/>
    <w:rsid w:val="007503F8"/>
    <w:rsid w:val="007565ED"/>
    <w:rsid w:val="0076190C"/>
    <w:rsid w:val="007632C2"/>
    <w:rsid w:val="00771A79"/>
    <w:rsid w:val="00784819"/>
    <w:rsid w:val="00784CCC"/>
    <w:rsid w:val="0079230D"/>
    <w:rsid w:val="00792974"/>
    <w:rsid w:val="007A3288"/>
    <w:rsid w:val="007B3AD0"/>
    <w:rsid w:val="007C7E8A"/>
    <w:rsid w:val="007D2825"/>
    <w:rsid w:val="007D4D18"/>
    <w:rsid w:val="007E0CA9"/>
    <w:rsid w:val="007E5B88"/>
    <w:rsid w:val="007E5DD1"/>
    <w:rsid w:val="007F250B"/>
    <w:rsid w:val="007F3920"/>
    <w:rsid w:val="007F6ADD"/>
    <w:rsid w:val="00802C52"/>
    <w:rsid w:val="00810085"/>
    <w:rsid w:val="008120CC"/>
    <w:rsid w:val="008179B4"/>
    <w:rsid w:val="00821A74"/>
    <w:rsid w:val="00824C39"/>
    <w:rsid w:val="00825DB8"/>
    <w:rsid w:val="00826AB4"/>
    <w:rsid w:val="00830195"/>
    <w:rsid w:val="00832A26"/>
    <w:rsid w:val="008368B9"/>
    <w:rsid w:val="00841015"/>
    <w:rsid w:val="00841FC0"/>
    <w:rsid w:val="00842133"/>
    <w:rsid w:val="008526A6"/>
    <w:rsid w:val="00852BCF"/>
    <w:rsid w:val="008539BE"/>
    <w:rsid w:val="008556ED"/>
    <w:rsid w:val="008601AA"/>
    <w:rsid w:val="008672E1"/>
    <w:rsid w:val="00867575"/>
    <w:rsid w:val="00870787"/>
    <w:rsid w:val="008723EE"/>
    <w:rsid w:val="00873385"/>
    <w:rsid w:val="00877D89"/>
    <w:rsid w:val="008875AF"/>
    <w:rsid w:val="00890F5B"/>
    <w:rsid w:val="008A3441"/>
    <w:rsid w:val="008B3EE5"/>
    <w:rsid w:val="008C54DA"/>
    <w:rsid w:val="008D400E"/>
    <w:rsid w:val="008E1185"/>
    <w:rsid w:val="008F462C"/>
    <w:rsid w:val="00901986"/>
    <w:rsid w:val="009119EA"/>
    <w:rsid w:val="00914BD0"/>
    <w:rsid w:val="00924BAB"/>
    <w:rsid w:val="00930FEC"/>
    <w:rsid w:val="00931A81"/>
    <w:rsid w:val="00932F91"/>
    <w:rsid w:val="00934D73"/>
    <w:rsid w:val="00952B03"/>
    <w:rsid w:val="00956AF1"/>
    <w:rsid w:val="00961AB4"/>
    <w:rsid w:val="00966751"/>
    <w:rsid w:val="00970FF3"/>
    <w:rsid w:val="009720FC"/>
    <w:rsid w:val="00972F0F"/>
    <w:rsid w:val="0097327A"/>
    <w:rsid w:val="00974B05"/>
    <w:rsid w:val="00983123"/>
    <w:rsid w:val="009836B6"/>
    <w:rsid w:val="00983AAE"/>
    <w:rsid w:val="00983ECA"/>
    <w:rsid w:val="009841CA"/>
    <w:rsid w:val="00984373"/>
    <w:rsid w:val="00987D21"/>
    <w:rsid w:val="00987E05"/>
    <w:rsid w:val="009919A8"/>
    <w:rsid w:val="009A0CD6"/>
    <w:rsid w:val="009B08C8"/>
    <w:rsid w:val="009B6BF4"/>
    <w:rsid w:val="009C1B7A"/>
    <w:rsid w:val="009E12E5"/>
    <w:rsid w:val="009E413F"/>
    <w:rsid w:val="009F4D4F"/>
    <w:rsid w:val="00A11047"/>
    <w:rsid w:val="00A15021"/>
    <w:rsid w:val="00A218F5"/>
    <w:rsid w:val="00A261D5"/>
    <w:rsid w:val="00A41B06"/>
    <w:rsid w:val="00A45CD4"/>
    <w:rsid w:val="00A46643"/>
    <w:rsid w:val="00A50E65"/>
    <w:rsid w:val="00A53B0B"/>
    <w:rsid w:val="00A64D6D"/>
    <w:rsid w:val="00A67869"/>
    <w:rsid w:val="00A70929"/>
    <w:rsid w:val="00A7581E"/>
    <w:rsid w:val="00A81099"/>
    <w:rsid w:val="00A81342"/>
    <w:rsid w:val="00A87CE1"/>
    <w:rsid w:val="00A91326"/>
    <w:rsid w:val="00AA446E"/>
    <w:rsid w:val="00AA6D68"/>
    <w:rsid w:val="00AB0A60"/>
    <w:rsid w:val="00AB1B40"/>
    <w:rsid w:val="00AB7FFD"/>
    <w:rsid w:val="00AC09DC"/>
    <w:rsid w:val="00AC4A5C"/>
    <w:rsid w:val="00AE47DE"/>
    <w:rsid w:val="00AF50F0"/>
    <w:rsid w:val="00AF6EA0"/>
    <w:rsid w:val="00B05F2B"/>
    <w:rsid w:val="00B10A0B"/>
    <w:rsid w:val="00B10B90"/>
    <w:rsid w:val="00B15E75"/>
    <w:rsid w:val="00B23505"/>
    <w:rsid w:val="00B24FAA"/>
    <w:rsid w:val="00B339E4"/>
    <w:rsid w:val="00B33E4D"/>
    <w:rsid w:val="00B35BC7"/>
    <w:rsid w:val="00B4425F"/>
    <w:rsid w:val="00B52FD2"/>
    <w:rsid w:val="00B5551B"/>
    <w:rsid w:val="00B562A5"/>
    <w:rsid w:val="00B62156"/>
    <w:rsid w:val="00B67822"/>
    <w:rsid w:val="00B71705"/>
    <w:rsid w:val="00B844A1"/>
    <w:rsid w:val="00B8452E"/>
    <w:rsid w:val="00B84C37"/>
    <w:rsid w:val="00B9245B"/>
    <w:rsid w:val="00B93509"/>
    <w:rsid w:val="00B93D42"/>
    <w:rsid w:val="00B9583C"/>
    <w:rsid w:val="00BA1618"/>
    <w:rsid w:val="00BA439C"/>
    <w:rsid w:val="00BA724C"/>
    <w:rsid w:val="00BB382C"/>
    <w:rsid w:val="00BB57C9"/>
    <w:rsid w:val="00BC7D4F"/>
    <w:rsid w:val="00BE13E3"/>
    <w:rsid w:val="00BE567C"/>
    <w:rsid w:val="00BF00C5"/>
    <w:rsid w:val="00BF04C6"/>
    <w:rsid w:val="00BF150B"/>
    <w:rsid w:val="00BF3D1E"/>
    <w:rsid w:val="00BF549D"/>
    <w:rsid w:val="00C07A68"/>
    <w:rsid w:val="00C16C84"/>
    <w:rsid w:val="00C1765D"/>
    <w:rsid w:val="00C25D42"/>
    <w:rsid w:val="00C40E10"/>
    <w:rsid w:val="00C411D5"/>
    <w:rsid w:val="00C43199"/>
    <w:rsid w:val="00C67BA7"/>
    <w:rsid w:val="00C724D7"/>
    <w:rsid w:val="00C81112"/>
    <w:rsid w:val="00C93D1C"/>
    <w:rsid w:val="00C9624B"/>
    <w:rsid w:val="00CA3230"/>
    <w:rsid w:val="00CA3240"/>
    <w:rsid w:val="00CB3C4A"/>
    <w:rsid w:val="00CB58CA"/>
    <w:rsid w:val="00CB68E6"/>
    <w:rsid w:val="00CC1171"/>
    <w:rsid w:val="00CC7953"/>
    <w:rsid w:val="00CD7C7D"/>
    <w:rsid w:val="00CD7CC0"/>
    <w:rsid w:val="00CE27C2"/>
    <w:rsid w:val="00CE4419"/>
    <w:rsid w:val="00CF1D75"/>
    <w:rsid w:val="00D1344E"/>
    <w:rsid w:val="00D144C4"/>
    <w:rsid w:val="00D145C9"/>
    <w:rsid w:val="00D173F0"/>
    <w:rsid w:val="00D26273"/>
    <w:rsid w:val="00D41478"/>
    <w:rsid w:val="00D44602"/>
    <w:rsid w:val="00D55AB5"/>
    <w:rsid w:val="00D603C8"/>
    <w:rsid w:val="00D6750D"/>
    <w:rsid w:val="00D725A2"/>
    <w:rsid w:val="00D74CB5"/>
    <w:rsid w:val="00D76E5D"/>
    <w:rsid w:val="00D83ED0"/>
    <w:rsid w:val="00D91F8F"/>
    <w:rsid w:val="00D929CA"/>
    <w:rsid w:val="00D94B57"/>
    <w:rsid w:val="00D94CD9"/>
    <w:rsid w:val="00DA319B"/>
    <w:rsid w:val="00DB1C07"/>
    <w:rsid w:val="00DB3890"/>
    <w:rsid w:val="00DB45BC"/>
    <w:rsid w:val="00DB6D1D"/>
    <w:rsid w:val="00DD0722"/>
    <w:rsid w:val="00DD4B0A"/>
    <w:rsid w:val="00DD4BB9"/>
    <w:rsid w:val="00DD6921"/>
    <w:rsid w:val="00DE5851"/>
    <w:rsid w:val="00DF35D3"/>
    <w:rsid w:val="00E00A84"/>
    <w:rsid w:val="00E06DAF"/>
    <w:rsid w:val="00E12094"/>
    <w:rsid w:val="00E12875"/>
    <w:rsid w:val="00E230B1"/>
    <w:rsid w:val="00E27DEB"/>
    <w:rsid w:val="00E3409D"/>
    <w:rsid w:val="00E355AE"/>
    <w:rsid w:val="00E53E0A"/>
    <w:rsid w:val="00E6082D"/>
    <w:rsid w:val="00E628E8"/>
    <w:rsid w:val="00E641D0"/>
    <w:rsid w:val="00E73B2A"/>
    <w:rsid w:val="00E94B77"/>
    <w:rsid w:val="00E951B5"/>
    <w:rsid w:val="00E95FDC"/>
    <w:rsid w:val="00EA47A0"/>
    <w:rsid w:val="00EA69B8"/>
    <w:rsid w:val="00EA722D"/>
    <w:rsid w:val="00EB01F2"/>
    <w:rsid w:val="00EB463E"/>
    <w:rsid w:val="00EC4636"/>
    <w:rsid w:val="00ED4460"/>
    <w:rsid w:val="00EE131D"/>
    <w:rsid w:val="00EE1C58"/>
    <w:rsid w:val="00EE4ABB"/>
    <w:rsid w:val="00EF1B74"/>
    <w:rsid w:val="00F031E5"/>
    <w:rsid w:val="00F06265"/>
    <w:rsid w:val="00F071E5"/>
    <w:rsid w:val="00F1553A"/>
    <w:rsid w:val="00F20A2F"/>
    <w:rsid w:val="00F20C1F"/>
    <w:rsid w:val="00F24098"/>
    <w:rsid w:val="00F247D1"/>
    <w:rsid w:val="00F24BF0"/>
    <w:rsid w:val="00F33204"/>
    <w:rsid w:val="00F37A3C"/>
    <w:rsid w:val="00F42EAF"/>
    <w:rsid w:val="00F4408F"/>
    <w:rsid w:val="00F4609C"/>
    <w:rsid w:val="00F47AEA"/>
    <w:rsid w:val="00F66CB1"/>
    <w:rsid w:val="00F670D9"/>
    <w:rsid w:val="00F70E0A"/>
    <w:rsid w:val="00F7291A"/>
    <w:rsid w:val="00F74769"/>
    <w:rsid w:val="00F749B2"/>
    <w:rsid w:val="00F80483"/>
    <w:rsid w:val="00F809E2"/>
    <w:rsid w:val="00F86D2D"/>
    <w:rsid w:val="00F91127"/>
    <w:rsid w:val="00F94ADB"/>
    <w:rsid w:val="00F95311"/>
    <w:rsid w:val="00F95697"/>
    <w:rsid w:val="00FA0EB4"/>
    <w:rsid w:val="00FA3CC8"/>
    <w:rsid w:val="00FB084D"/>
    <w:rsid w:val="00FB0D78"/>
    <w:rsid w:val="00FB249B"/>
    <w:rsid w:val="00FC30DD"/>
    <w:rsid w:val="00FC4DA9"/>
    <w:rsid w:val="00FC63EA"/>
    <w:rsid w:val="00FD1099"/>
    <w:rsid w:val="00FE037F"/>
    <w:rsid w:val="00FE2D18"/>
    <w:rsid w:val="00FF2A23"/>
    <w:rsid w:val="00FF3C56"/>
    <w:rsid w:val="00FF72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7EE8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E0"/>
    <w:pPr>
      <w:spacing w:before="240" w:after="0" w:line="264" w:lineRule="auto"/>
    </w:pPr>
    <w:rPr>
      <w:color w:val="444448"/>
    </w:rPr>
  </w:style>
  <w:style w:type="paragraph" w:styleId="Heading1">
    <w:name w:val="heading 1"/>
    <w:basedOn w:val="Normal"/>
    <w:next w:val="Normal"/>
    <w:link w:val="Heading1Char"/>
    <w:uiPriority w:val="9"/>
    <w:qFormat/>
    <w:rsid w:val="007337A7"/>
    <w:pPr>
      <w:keepNext/>
      <w:keepLines/>
      <w:numPr>
        <w:numId w:val="2"/>
      </w:numPr>
      <w:spacing w:before="480"/>
      <w:outlineLvl w:val="0"/>
    </w:pPr>
    <w:rPr>
      <w:rFonts w:eastAsiaTheme="majorEastAsia" w:cstheme="majorBidi"/>
      <w:b/>
      <w:bCs/>
      <w:color w:val="4E1A74"/>
      <w:sz w:val="32"/>
      <w:szCs w:val="28"/>
    </w:rPr>
  </w:style>
  <w:style w:type="paragraph" w:styleId="Heading2">
    <w:name w:val="heading 2"/>
    <w:basedOn w:val="Normal"/>
    <w:next w:val="Normal"/>
    <w:link w:val="Heading2Char"/>
    <w:uiPriority w:val="9"/>
    <w:unhideWhenUsed/>
    <w:qFormat/>
    <w:rsid w:val="007337A7"/>
    <w:pPr>
      <w:keepNext/>
      <w:keepLines/>
      <w:numPr>
        <w:ilvl w:val="1"/>
        <w:numId w:val="2"/>
      </w:numPr>
      <w:spacing w:before="200"/>
      <w:outlineLvl w:val="1"/>
    </w:pPr>
    <w:rPr>
      <w:rFonts w:eastAsiaTheme="majorEastAsia" w:cstheme="majorBidi"/>
      <w:b/>
      <w:bCs/>
      <w:color w:val="4E1A74"/>
      <w:sz w:val="26"/>
      <w:szCs w:val="26"/>
    </w:rPr>
  </w:style>
  <w:style w:type="paragraph" w:styleId="Heading3">
    <w:name w:val="heading 3"/>
    <w:basedOn w:val="Normal"/>
    <w:next w:val="Normal"/>
    <w:link w:val="Heading3Char"/>
    <w:uiPriority w:val="9"/>
    <w:unhideWhenUsed/>
    <w:qFormat/>
    <w:rsid w:val="001E427D"/>
    <w:pPr>
      <w:keepNext/>
      <w:keepLines/>
      <w:spacing w:before="200"/>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rsid w:val="00694949"/>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EA7"/>
    <w:pPr>
      <w:numPr>
        <w:numId w:val="34"/>
      </w:numPr>
      <w:spacing w:before="120"/>
    </w:pPr>
  </w:style>
  <w:style w:type="character" w:customStyle="1" w:styleId="Heading1Char">
    <w:name w:val="Heading 1 Char"/>
    <w:basedOn w:val="DefaultParagraphFont"/>
    <w:link w:val="Heading1"/>
    <w:uiPriority w:val="9"/>
    <w:rsid w:val="007337A7"/>
    <w:rPr>
      <w:rFonts w:eastAsiaTheme="majorEastAsia" w:cstheme="majorBidi"/>
      <w:b/>
      <w:bCs/>
      <w:color w:val="4E1A74"/>
      <w:sz w:val="32"/>
      <w:szCs w:val="28"/>
    </w:rPr>
  </w:style>
  <w:style w:type="paragraph" w:styleId="TOCHeading">
    <w:name w:val="TOC Heading"/>
    <w:basedOn w:val="Heading1"/>
    <w:next w:val="Normal"/>
    <w:uiPriority w:val="39"/>
    <w:unhideWhenUsed/>
    <w:qFormat/>
    <w:rsid w:val="00181813"/>
    <w:pPr>
      <w:outlineLvl w:val="9"/>
    </w:pPr>
    <w:rPr>
      <w:lang w:val="en-US" w:eastAsia="ja-JP"/>
    </w:rPr>
  </w:style>
  <w:style w:type="paragraph" w:styleId="BalloonText">
    <w:name w:val="Balloon Text"/>
    <w:basedOn w:val="Normal"/>
    <w:link w:val="BalloonTextChar"/>
    <w:uiPriority w:val="99"/>
    <w:semiHidden/>
    <w:unhideWhenUsed/>
    <w:rsid w:val="001818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813"/>
    <w:rPr>
      <w:rFonts w:ascii="Tahoma" w:hAnsi="Tahoma" w:cs="Tahoma"/>
      <w:sz w:val="16"/>
      <w:szCs w:val="16"/>
    </w:rPr>
  </w:style>
  <w:style w:type="character" w:customStyle="1" w:styleId="Heading2Char">
    <w:name w:val="Heading 2 Char"/>
    <w:basedOn w:val="DefaultParagraphFont"/>
    <w:link w:val="Heading2"/>
    <w:uiPriority w:val="9"/>
    <w:rsid w:val="007337A7"/>
    <w:rPr>
      <w:rFonts w:eastAsiaTheme="majorEastAsia" w:cstheme="majorBidi"/>
      <w:b/>
      <w:bCs/>
      <w:color w:val="4E1A74"/>
      <w:sz w:val="26"/>
      <w:szCs w:val="26"/>
    </w:rPr>
  </w:style>
  <w:style w:type="paragraph" w:styleId="TOC1">
    <w:name w:val="toc 1"/>
    <w:basedOn w:val="Normal"/>
    <w:next w:val="Normal"/>
    <w:autoRedefine/>
    <w:uiPriority w:val="39"/>
    <w:unhideWhenUsed/>
    <w:rsid w:val="00AA6D68"/>
    <w:pPr>
      <w:tabs>
        <w:tab w:val="left" w:pos="567"/>
        <w:tab w:val="right" w:leader="dot" w:pos="9639"/>
      </w:tabs>
      <w:spacing w:after="100"/>
    </w:pPr>
    <w:rPr>
      <w:b/>
      <w:noProof/>
      <w:color w:val="4E1A74"/>
      <w:sz w:val="24"/>
    </w:rPr>
  </w:style>
  <w:style w:type="paragraph" w:styleId="TOC2">
    <w:name w:val="toc 2"/>
    <w:basedOn w:val="Normal"/>
    <w:next w:val="Normal"/>
    <w:autoRedefine/>
    <w:uiPriority w:val="39"/>
    <w:unhideWhenUsed/>
    <w:rsid w:val="00AA6D68"/>
    <w:pPr>
      <w:tabs>
        <w:tab w:val="left" w:pos="880"/>
        <w:tab w:val="right" w:leader="dot" w:pos="9639"/>
      </w:tabs>
      <w:spacing w:before="120"/>
      <w:ind w:left="221"/>
    </w:pPr>
    <w:rPr>
      <w:noProof/>
    </w:rPr>
  </w:style>
  <w:style w:type="character" w:styleId="Hyperlink">
    <w:name w:val="Hyperlink"/>
    <w:basedOn w:val="DefaultParagraphFont"/>
    <w:uiPriority w:val="99"/>
    <w:unhideWhenUsed/>
    <w:rsid w:val="0039255A"/>
    <w:rPr>
      <w:color w:val="4E1A74"/>
      <w:u w:val="single"/>
    </w:rPr>
  </w:style>
  <w:style w:type="paragraph" w:styleId="FootnoteText">
    <w:name w:val="footnote text"/>
    <w:basedOn w:val="Normal"/>
    <w:link w:val="FootnoteTextChar"/>
    <w:semiHidden/>
    <w:unhideWhenUsed/>
    <w:rsid w:val="00524A6D"/>
    <w:pPr>
      <w:spacing w:before="200" w:line="240" w:lineRule="auto"/>
      <w:jc w:val="both"/>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semiHidden/>
    <w:rsid w:val="00524A6D"/>
    <w:rPr>
      <w:rFonts w:ascii="Times New Roman" w:eastAsia="Times New Roman" w:hAnsi="Times New Roman" w:cs="Times New Roman"/>
      <w:sz w:val="20"/>
      <w:szCs w:val="20"/>
      <w:lang w:eastAsia="en-AU"/>
    </w:rPr>
  </w:style>
  <w:style w:type="character" w:styleId="FootnoteReference">
    <w:name w:val="footnote reference"/>
    <w:semiHidden/>
    <w:unhideWhenUsed/>
    <w:rsid w:val="00524A6D"/>
    <w:rPr>
      <w:vertAlign w:val="superscript"/>
    </w:rPr>
  </w:style>
  <w:style w:type="character" w:styleId="CommentReference">
    <w:name w:val="annotation reference"/>
    <w:uiPriority w:val="99"/>
    <w:semiHidden/>
    <w:unhideWhenUsed/>
    <w:rsid w:val="00FE2D18"/>
    <w:rPr>
      <w:sz w:val="16"/>
      <w:szCs w:val="16"/>
    </w:rPr>
  </w:style>
  <w:style w:type="paragraph" w:styleId="CommentText">
    <w:name w:val="annotation text"/>
    <w:basedOn w:val="Normal"/>
    <w:link w:val="CommentTextChar"/>
    <w:uiPriority w:val="99"/>
    <w:semiHidden/>
    <w:unhideWhenUsed/>
    <w:rsid w:val="00FE2D18"/>
    <w:pPr>
      <w:spacing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FE2D18"/>
    <w:rPr>
      <w:rFonts w:ascii="Times New Roman" w:eastAsia="Times New Roman" w:hAnsi="Times New Roman" w:cs="Times New Roman"/>
      <w:sz w:val="20"/>
      <w:szCs w:val="20"/>
      <w:lang w:eastAsia="en-AU"/>
    </w:rPr>
  </w:style>
  <w:style w:type="paragraph" w:styleId="Caption">
    <w:name w:val="caption"/>
    <w:basedOn w:val="Normal"/>
    <w:next w:val="Normal"/>
    <w:uiPriority w:val="35"/>
    <w:unhideWhenUsed/>
    <w:qFormat/>
    <w:rsid w:val="00694949"/>
    <w:pPr>
      <w:tabs>
        <w:tab w:val="left" w:pos="1134"/>
      </w:tabs>
      <w:spacing w:before="120" w:after="120"/>
    </w:pPr>
    <w:rPr>
      <w:rFonts w:ascii="Calibri" w:hAnsi="Calibri"/>
      <w:b/>
      <w:sz w:val="20"/>
    </w:rPr>
  </w:style>
  <w:style w:type="table" w:styleId="LightList-Accent1">
    <w:name w:val="Light List Accent 1"/>
    <w:basedOn w:val="TableNormal"/>
    <w:uiPriority w:val="61"/>
    <w:rsid w:val="009B6BF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9119EA"/>
    <w:rPr>
      <w:color w:val="800080" w:themeColor="followedHyperlink"/>
      <w:u w:val="single"/>
    </w:rPr>
  </w:style>
  <w:style w:type="paragraph" w:styleId="Header">
    <w:name w:val="header"/>
    <w:basedOn w:val="Normal"/>
    <w:link w:val="HeaderChar"/>
    <w:uiPriority w:val="99"/>
    <w:unhideWhenUsed/>
    <w:rsid w:val="003B0F93"/>
    <w:pPr>
      <w:tabs>
        <w:tab w:val="center" w:pos="4513"/>
        <w:tab w:val="right" w:pos="9026"/>
      </w:tabs>
      <w:spacing w:line="240" w:lineRule="auto"/>
    </w:pPr>
  </w:style>
  <w:style w:type="character" w:customStyle="1" w:styleId="HeaderChar">
    <w:name w:val="Header Char"/>
    <w:basedOn w:val="DefaultParagraphFont"/>
    <w:link w:val="Header"/>
    <w:uiPriority w:val="99"/>
    <w:rsid w:val="003B0F93"/>
  </w:style>
  <w:style w:type="paragraph" w:styleId="Footer">
    <w:name w:val="footer"/>
    <w:basedOn w:val="Normal"/>
    <w:link w:val="FooterChar"/>
    <w:uiPriority w:val="99"/>
    <w:unhideWhenUsed/>
    <w:rsid w:val="003B0F93"/>
    <w:pPr>
      <w:tabs>
        <w:tab w:val="center" w:pos="4513"/>
        <w:tab w:val="right" w:pos="9026"/>
      </w:tabs>
      <w:spacing w:line="240" w:lineRule="auto"/>
    </w:pPr>
  </w:style>
  <w:style w:type="character" w:customStyle="1" w:styleId="FooterChar">
    <w:name w:val="Footer Char"/>
    <w:basedOn w:val="DefaultParagraphFont"/>
    <w:link w:val="Footer"/>
    <w:uiPriority w:val="99"/>
    <w:rsid w:val="003B0F93"/>
  </w:style>
  <w:style w:type="paragraph" w:styleId="CommentSubject">
    <w:name w:val="annotation subject"/>
    <w:basedOn w:val="CommentText"/>
    <w:next w:val="CommentText"/>
    <w:link w:val="CommentSubjectChar"/>
    <w:uiPriority w:val="99"/>
    <w:semiHidden/>
    <w:unhideWhenUsed/>
    <w:rsid w:val="005A5BF6"/>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A5BF6"/>
    <w:rPr>
      <w:rFonts w:ascii="Times New Roman" w:eastAsia="Times New Roman" w:hAnsi="Times New Roman" w:cs="Times New Roman"/>
      <w:b/>
      <w:bCs/>
      <w:sz w:val="20"/>
      <w:szCs w:val="20"/>
      <w:lang w:eastAsia="en-AU"/>
    </w:rPr>
  </w:style>
  <w:style w:type="paragraph" w:styleId="NoSpacing">
    <w:name w:val="No Spacing"/>
    <w:uiPriority w:val="1"/>
    <w:qFormat/>
    <w:rsid w:val="008E1185"/>
    <w:pPr>
      <w:spacing w:after="0" w:line="240" w:lineRule="auto"/>
    </w:pPr>
  </w:style>
  <w:style w:type="paragraph" w:customStyle="1" w:styleId="Text">
    <w:name w:val="Text"/>
    <w:basedOn w:val="Normal"/>
    <w:uiPriority w:val="99"/>
    <w:rsid w:val="00103289"/>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103289"/>
    <w:pPr>
      <w:spacing w:before="200" w:after="240"/>
      <w:jc w:val="both"/>
    </w:pPr>
    <w:rPr>
      <w:rFonts w:ascii="Calibri" w:eastAsia="Calibri" w:hAnsi="Calibri" w:cs="Times New Roman"/>
      <w:color w:val="262626" w:themeColor="text1" w:themeTint="D9"/>
      <w:szCs w:val="24"/>
    </w:rPr>
  </w:style>
  <w:style w:type="character" w:customStyle="1" w:styleId="TechRepChar">
    <w:name w:val="Tech Rep Char"/>
    <w:link w:val="TechRep"/>
    <w:rsid w:val="00103289"/>
    <w:rPr>
      <w:rFonts w:ascii="Calibri" w:eastAsia="Calibri" w:hAnsi="Calibri" w:cs="Times New Roman"/>
      <w:color w:val="262626" w:themeColor="text1" w:themeTint="D9"/>
      <w:szCs w:val="24"/>
    </w:rPr>
  </w:style>
  <w:style w:type="character" w:customStyle="1" w:styleId="Heading3Char">
    <w:name w:val="Heading 3 Char"/>
    <w:basedOn w:val="DefaultParagraphFont"/>
    <w:link w:val="Heading3"/>
    <w:uiPriority w:val="9"/>
    <w:rsid w:val="001E427D"/>
    <w:rPr>
      <w:rFonts w:eastAsiaTheme="majorEastAsia" w:cstheme="majorBidi"/>
      <w:b/>
      <w:bCs/>
      <w:color w:val="444448"/>
      <w:sz w:val="24"/>
      <w:szCs w:val="24"/>
    </w:rPr>
  </w:style>
  <w:style w:type="paragraph" w:styleId="Title">
    <w:name w:val="Title"/>
    <w:basedOn w:val="Normal"/>
    <w:next w:val="Normal"/>
    <w:link w:val="TitleChar"/>
    <w:uiPriority w:val="10"/>
    <w:qFormat/>
    <w:rsid w:val="0039255A"/>
    <w:pPr>
      <w:jc w:val="center"/>
    </w:pPr>
    <w:rPr>
      <w:b/>
      <w:color w:val="4E1A74"/>
      <w:sz w:val="40"/>
      <w:szCs w:val="40"/>
    </w:rPr>
  </w:style>
  <w:style w:type="character" w:customStyle="1" w:styleId="TitleChar">
    <w:name w:val="Title Char"/>
    <w:basedOn w:val="DefaultParagraphFont"/>
    <w:link w:val="Title"/>
    <w:uiPriority w:val="10"/>
    <w:rsid w:val="0039255A"/>
    <w:rPr>
      <w:b/>
      <w:color w:val="4E1A74"/>
      <w:sz w:val="40"/>
      <w:szCs w:val="40"/>
    </w:rPr>
  </w:style>
  <w:style w:type="character" w:customStyle="1" w:styleId="Heading4Char">
    <w:name w:val="Heading 4 Char"/>
    <w:basedOn w:val="DefaultParagraphFont"/>
    <w:link w:val="Heading4"/>
    <w:uiPriority w:val="9"/>
    <w:rsid w:val="00694949"/>
    <w:rPr>
      <w:b/>
      <w:i/>
      <w:color w:val="4444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E0"/>
    <w:pPr>
      <w:spacing w:before="240" w:after="0" w:line="264" w:lineRule="auto"/>
    </w:pPr>
    <w:rPr>
      <w:color w:val="444448"/>
    </w:rPr>
  </w:style>
  <w:style w:type="paragraph" w:styleId="Heading1">
    <w:name w:val="heading 1"/>
    <w:basedOn w:val="Normal"/>
    <w:next w:val="Normal"/>
    <w:link w:val="Heading1Char"/>
    <w:uiPriority w:val="9"/>
    <w:qFormat/>
    <w:rsid w:val="007337A7"/>
    <w:pPr>
      <w:keepNext/>
      <w:keepLines/>
      <w:numPr>
        <w:numId w:val="2"/>
      </w:numPr>
      <w:spacing w:before="480"/>
      <w:outlineLvl w:val="0"/>
    </w:pPr>
    <w:rPr>
      <w:rFonts w:eastAsiaTheme="majorEastAsia" w:cstheme="majorBidi"/>
      <w:b/>
      <w:bCs/>
      <w:color w:val="4E1A74"/>
      <w:sz w:val="32"/>
      <w:szCs w:val="28"/>
    </w:rPr>
  </w:style>
  <w:style w:type="paragraph" w:styleId="Heading2">
    <w:name w:val="heading 2"/>
    <w:basedOn w:val="Normal"/>
    <w:next w:val="Normal"/>
    <w:link w:val="Heading2Char"/>
    <w:uiPriority w:val="9"/>
    <w:unhideWhenUsed/>
    <w:qFormat/>
    <w:rsid w:val="007337A7"/>
    <w:pPr>
      <w:keepNext/>
      <w:keepLines/>
      <w:numPr>
        <w:ilvl w:val="1"/>
        <w:numId w:val="2"/>
      </w:numPr>
      <w:spacing w:before="200"/>
      <w:outlineLvl w:val="1"/>
    </w:pPr>
    <w:rPr>
      <w:rFonts w:eastAsiaTheme="majorEastAsia" w:cstheme="majorBidi"/>
      <w:b/>
      <w:bCs/>
      <w:color w:val="4E1A74"/>
      <w:sz w:val="26"/>
      <w:szCs w:val="26"/>
    </w:rPr>
  </w:style>
  <w:style w:type="paragraph" w:styleId="Heading3">
    <w:name w:val="heading 3"/>
    <w:basedOn w:val="Normal"/>
    <w:next w:val="Normal"/>
    <w:link w:val="Heading3Char"/>
    <w:uiPriority w:val="9"/>
    <w:unhideWhenUsed/>
    <w:qFormat/>
    <w:rsid w:val="001E427D"/>
    <w:pPr>
      <w:keepNext/>
      <w:keepLines/>
      <w:spacing w:before="200"/>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rsid w:val="00694949"/>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EA7"/>
    <w:pPr>
      <w:numPr>
        <w:numId w:val="34"/>
      </w:numPr>
      <w:spacing w:before="120"/>
    </w:pPr>
  </w:style>
  <w:style w:type="character" w:customStyle="1" w:styleId="Heading1Char">
    <w:name w:val="Heading 1 Char"/>
    <w:basedOn w:val="DefaultParagraphFont"/>
    <w:link w:val="Heading1"/>
    <w:uiPriority w:val="9"/>
    <w:rsid w:val="007337A7"/>
    <w:rPr>
      <w:rFonts w:eastAsiaTheme="majorEastAsia" w:cstheme="majorBidi"/>
      <w:b/>
      <w:bCs/>
      <w:color w:val="4E1A74"/>
      <w:sz w:val="32"/>
      <w:szCs w:val="28"/>
    </w:rPr>
  </w:style>
  <w:style w:type="paragraph" w:styleId="TOCHeading">
    <w:name w:val="TOC Heading"/>
    <w:basedOn w:val="Heading1"/>
    <w:next w:val="Normal"/>
    <w:uiPriority w:val="39"/>
    <w:unhideWhenUsed/>
    <w:qFormat/>
    <w:rsid w:val="00181813"/>
    <w:pPr>
      <w:outlineLvl w:val="9"/>
    </w:pPr>
    <w:rPr>
      <w:lang w:val="en-US" w:eastAsia="ja-JP"/>
    </w:rPr>
  </w:style>
  <w:style w:type="paragraph" w:styleId="BalloonText">
    <w:name w:val="Balloon Text"/>
    <w:basedOn w:val="Normal"/>
    <w:link w:val="BalloonTextChar"/>
    <w:uiPriority w:val="99"/>
    <w:semiHidden/>
    <w:unhideWhenUsed/>
    <w:rsid w:val="001818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813"/>
    <w:rPr>
      <w:rFonts w:ascii="Tahoma" w:hAnsi="Tahoma" w:cs="Tahoma"/>
      <w:sz w:val="16"/>
      <w:szCs w:val="16"/>
    </w:rPr>
  </w:style>
  <w:style w:type="character" w:customStyle="1" w:styleId="Heading2Char">
    <w:name w:val="Heading 2 Char"/>
    <w:basedOn w:val="DefaultParagraphFont"/>
    <w:link w:val="Heading2"/>
    <w:uiPriority w:val="9"/>
    <w:rsid w:val="007337A7"/>
    <w:rPr>
      <w:rFonts w:eastAsiaTheme="majorEastAsia" w:cstheme="majorBidi"/>
      <w:b/>
      <w:bCs/>
      <w:color w:val="4E1A74"/>
      <w:sz w:val="26"/>
      <w:szCs w:val="26"/>
    </w:rPr>
  </w:style>
  <w:style w:type="paragraph" w:styleId="TOC1">
    <w:name w:val="toc 1"/>
    <w:basedOn w:val="Normal"/>
    <w:next w:val="Normal"/>
    <w:autoRedefine/>
    <w:uiPriority w:val="39"/>
    <w:unhideWhenUsed/>
    <w:rsid w:val="00AA6D68"/>
    <w:pPr>
      <w:tabs>
        <w:tab w:val="left" w:pos="567"/>
        <w:tab w:val="right" w:leader="dot" w:pos="9639"/>
      </w:tabs>
      <w:spacing w:after="100"/>
    </w:pPr>
    <w:rPr>
      <w:b/>
      <w:noProof/>
      <w:color w:val="4E1A74"/>
      <w:sz w:val="24"/>
    </w:rPr>
  </w:style>
  <w:style w:type="paragraph" w:styleId="TOC2">
    <w:name w:val="toc 2"/>
    <w:basedOn w:val="Normal"/>
    <w:next w:val="Normal"/>
    <w:autoRedefine/>
    <w:uiPriority w:val="39"/>
    <w:unhideWhenUsed/>
    <w:rsid w:val="00AA6D68"/>
    <w:pPr>
      <w:tabs>
        <w:tab w:val="left" w:pos="880"/>
        <w:tab w:val="right" w:leader="dot" w:pos="9639"/>
      </w:tabs>
      <w:spacing w:before="120"/>
      <w:ind w:left="221"/>
    </w:pPr>
    <w:rPr>
      <w:noProof/>
    </w:rPr>
  </w:style>
  <w:style w:type="character" w:styleId="Hyperlink">
    <w:name w:val="Hyperlink"/>
    <w:basedOn w:val="DefaultParagraphFont"/>
    <w:uiPriority w:val="99"/>
    <w:unhideWhenUsed/>
    <w:rsid w:val="0039255A"/>
    <w:rPr>
      <w:color w:val="4E1A74"/>
      <w:u w:val="single"/>
    </w:rPr>
  </w:style>
  <w:style w:type="paragraph" w:styleId="FootnoteText">
    <w:name w:val="footnote text"/>
    <w:basedOn w:val="Normal"/>
    <w:link w:val="FootnoteTextChar"/>
    <w:semiHidden/>
    <w:unhideWhenUsed/>
    <w:rsid w:val="00524A6D"/>
    <w:pPr>
      <w:spacing w:before="200" w:line="240" w:lineRule="auto"/>
      <w:jc w:val="both"/>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semiHidden/>
    <w:rsid w:val="00524A6D"/>
    <w:rPr>
      <w:rFonts w:ascii="Times New Roman" w:eastAsia="Times New Roman" w:hAnsi="Times New Roman" w:cs="Times New Roman"/>
      <w:sz w:val="20"/>
      <w:szCs w:val="20"/>
      <w:lang w:eastAsia="en-AU"/>
    </w:rPr>
  </w:style>
  <w:style w:type="character" w:styleId="FootnoteReference">
    <w:name w:val="footnote reference"/>
    <w:semiHidden/>
    <w:unhideWhenUsed/>
    <w:rsid w:val="00524A6D"/>
    <w:rPr>
      <w:vertAlign w:val="superscript"/>
    </w:rPr>
  </w:style>
  <w:style w:type="character" w:styleId="CommentReference">
    <w:name w:val="annotation reference"/>
    <w:uiPriority w:val="99"/>
    <w:semiHidden/>
    <w:unhideWhenUsed/>
    <w:rsid w:val="00FE2D18"/>
    <w:rPr>
      <w:sz w:val="16"/>
      <w:szCs w:val="16"/>
    </w:rPr>
  </w:style>
  <w:style w:type="paragraph" w:styleId="CommentText">
    <w:name w:val="annotation text"/>
    <w:basedOn w:val="Normal"/>
    <w:link w:val="CommentTextChar"/>
    <w:uiPriority w:val="99"/>
    <w:semiHidden/>
    <w:unhideWhenUsed/>
    <w:rsid w:val="00FE2D18"/>
    <w:pPr>
      <w:spacing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FE2D18"/>
    <w:rPr>
      <w:rFonts w:ascii="Times New Roman" w:eastAsia="Times New Roman" w:hAnsi="Times New Roman" w:cs="Times New Roman"/>
      <w:sz w:val="20"/>
      <w:szCs w:val="20"/>
      <w:lang w:eastAsia="en-AU"/>
    </w:rPr>
  </w:style>
  <w:style w:type="paragraph" w:styleId="Caption">
    <w:name w:val="caption"/>
    <w:basedOn w:val="Normal"/>
    <w:next w:val="Normal"/>
    <w:uiPriority w:val="35"/>
    <w:unhideWhenUsed/>
    <w:qFormat/>
    <w:rsid w:val="00694949"/>
    <w:pPr>
      <w:tabs>
        <w:tab w:val="left" w:pos="1134"/>
      </w:tabs>
      <w:spacing w:before="120" w:after="120"/>
    </w:pPr>
    <w:rPr>
      <w:rFonts w:ascii="Calibri" w:hAnsi="Calibri"/>
      <w:b/>
      <w:sz w:val="20"/>
    </w:rPr>
  </w:style>
  <w:style w:type="table" w:styleId="LightList-Accent1">
    <w:name w:val="Light List Accent 1"/>
    <w:basedOn w:val="TableNormal"/>
    <w:uiPriority w:val="61"/>
    <w:rsid w:val="009B6BF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9119EA"/>
    <w:rPr>
      <w:color w:val="800080" w:themeColor="followedHyperlink"/>
      <w:u w:val="single"/>
    </w:rPr>
  </w:style>
  <w:style w:type="paragraph" w:styleId="Header">
    <w:name w:val="header"/>
    <w:basedOn w:val="Normal"/>
    <w:link w:val="HeaderChar"/>
    <w:uiPriority w:val="99"/>
    <w:unhideWhenUsed/>
    <w:rsid w:val="003B0F93"/>
    <w:pPr>
      <w:tabs>
        <w:tab w:val="center" w:pos="4513"/>
        <w:tab w:val="right" w:pos="9026"/>
      </w:tabs>
      <w:spacing w:line="240" w:lineRule="auto"/>
    </w:pPr>
  </w:style>
  <w:style w:type="character" w:customStyle="1" w:styleId="HeaderChar">
    <w:name w:val="Header Char"/>
    <w:basedOn w:val="DefaultParagraphFont"/>
    <w:link w:val="Header"/>
    <w:uiPriority w:val="99"/>
    <w:rsid w:val="003B0F93"/>
  </w:style>
  <w:style w:type="paragraph" w:styleId="Footer">
    <w:name w:val="footer"/>
    <w:basedOn w:val="Normal"/>
    <w:link w:val="FooterChar"/>
    <w:uiPriority w:val="99"/>
    <w:unhideWhenUsed/>
    <w:rsid w:val="003B0F93"/>
    <w:pPr>
      <w:tabs>
        <w:tab w:val="center" w:pos="4513"/>
        <w:tab w:val="right" w:pos="9026"/>
      </w:tabs>
      <w:spacing w:line="240" w:lineRule="auto"/>
    </w:pPr>
  </w:style>
  <w:style w:type="character" w:customStyle="1" w:styleId="FooterChar">
    <w:name w:val="Footer Char"/>
    <w:basedOn w:val="DefaultParagraphFont"/>
    <w:link w:val="Footer"/>
    <w:uiPriority w:val="99"/>
    <w:rsid w:val="003B0F93"/>
  </w:style>
  <w:style w:type="paragraph" w:styleId="CommentSubject">
    <w:name w:val="annotation subject"/>
    <w:basedOn w:val="CommentText"/>
    <w:next w:val="CommentText"/>
    <w:link w:val="CommentSubjectChar"/>
    <w:uiPriority w:val="99"/>
    <w:semiHidden/>
    <w:unhideWhenUsed/>
    <w:rsid w:val="005A5BF6"/>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A5BF6"/>
    <w:rPr>
      <w:rFonts w:ascii="Times New Roman" w:eastAsia="Times New Roman" w:hAnsi="Times New Roman" w:cs="Times New Roman"/>
      <w:b/>
      <w:bCs/>
      <w:sz w:val="20"/>
      <w:szCs w:val="20"/>
      <w:lang w:eastAsia="en-AU"/>
    </w:rPr>
  </w:style>
  <w:style w:type="paragraph" w:styleId="NoSpacing">
    <w:name w:val="No Spacing"/>
    <w:uiPriority w:val="1"/>
    <w:qFormat/>
    <w:rsid w:val="008E1185"/>
    <w:pPr>
      <w:spacing w:after="0" w:line="240" w:lineRule="auto"/>
    </w:pPr>
  </w:style>
  <w:style w:type="paragraph" w:customStyle="1" w:styleId="Text">
    <w:name w:val="Text"/>
    <w:basedOn w:val="Normal"/>
    <w:uiPriority w:val="99"/>
    <w:rsid w:val="00103289"/>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103289"/>
    <w:pPr>
      <w:spacing w:before="200" w:after="240"/>
      <w:jc w:val="both"/>
    </w:pPr>
    <w:rPr>
      <w:rFonts w:ascii="Calibri" w:eastAsia="Calibri" w:hAnsi="Calibri" w:cs="Times New Roman"/>
      <w:color w:val="262626" w:themeColor="text1" w:themeTint="D9"/>
      <w:szCs w:val="24"/>
    </w:rPr>
  </w:style>
  <w:style w:type="character" w:customStyle="1" w:styleId="TechRepChar">
    <w:name w:val="Tech Rep Char"/>
    <w:link w:val="TechRep"/>
    <w:rsid w:val="00103289"/>
    <w:rPr>
      <w:rFonts w:ascii="Calibri" w:eastAsia="Calibri" w:hAnsi="Calibri" w:cs="Times New Roman"/>
      <w:color w:val="262626" w:themeColor="text1" w:themeTint="D9"/>
      <w:szCs w:val="24"/>
    </w:rPr>
  </w:style>
  <w:style w:type="character" w:customStyle="1" w:styleId="Heading3Char">
    <w:name w:val="Heading 3 Char"/>
    <w:basedOn w:val="DefaultParagraphFont"/>
    <w:link w:val="Heading3"/>
    <w:uiPriority w:val="9"/>
    <w:rsid w:val="001E427D"/>
    <w:rPr>
      <w:rFonts w:eastAsiaTheme="majorEastAsia" w:cstheme="majorBidi"/>
      <w:b/>
      <w:bCs/>
      <w:color w:val="444448"/>
      <w:sz w:val="24"/>
      <w:szCs w:val="24"/>
    </w:rPr>
  </w:style>
  <w:style w:type="paragraph" w:styleId="Title">
    <w:name w:val="Title"/>
    <w:basedOn w:val="Normal"/>
    <w:next w:val="Normal"/>
    <w:link w:val="TitleChar"/>
    <w:uiPriority w:val="10"/>
    <w:qFormat/>
    <w:rsid w:val="0039255A"/>
    <w:pPr>
      <w:jc w:val="center"/>
    </w:pPr>
    <w:rPr>
      <w:b/>
      <w:color w:val="4E1A74"/>
      <w:sz w:val="40"/>
      <w:szCs w:val="40"/>
    </w:rPr>
  </w:style>
  <w:style w:type="character" w:customStyle="1" w:styleId="TitleChar">
    <w:name w:val="Title Char"/>
    <w:basedOn w:val="DefaultParagraphFont"/>
    <w:link w:val="Title"/>
    <w:uiPriority w:val="10"/>
    <w:rsid w:val="0039255A"/>
    <w:rPr>
      <w:b/>
      <w:color w:val="4E1A74"/>
      <w:sz w:val="40"/>
      <w:szCs w:val="40"/>
    </w:rPr>
  </w:style>
  <w:style w:type="character" w:customStyle="1" w:styleId="Heading4Char">
    <w:name w:val="Heading 4 Char"/>
    <w:basedOn w:val="DefaultParagraphFont"/>
    <w:link w:val="Heading4"/>
    <w:uiPriority w:val="9"/>
    <w:rsid w:val="00694949"/>
    <w:rPr>
      <w:b/>
      <w:i/>
      <w:color w:val="4444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745642">
      <w:bodyDiv w:val="1"/>
      <w:marLeft w:val="0"/>
      <w:marRight w:val="0"/>
      <w:marTop w:val="0"/>
      <w:marBottom w:val="0"/>
      <w:divBdr>
        <w:top w:val="none" w:sz="0" w:space="0" w:color="auto"/>
        <w:left w:val="none" w:sz="0" w:space="0" w:color="auto"/>
        <w:bottom w:val="none" w:sz="0" w:space="0" w:color="auto"/>
        <w:right w:val="none" w:sz="0" w:space="0" w:color="auto"/>
      </w:divBdr>
    </w:div>
    <w:div w:id="458227964">
      <w:bodyDiv w:val="1"/>
      <w:marLeft w:val="0"/>
      <w:marRight w:val="0"/>
      <w:marTop w:val="0"/>
      <w:marBottom w:val="0"/>
      <w:divBdr>
        <w:top w:val="none" w:sz="0" w:space="0" w:color="auto"/>
        <w:left w:val="none" w:sz="0" w:space="0" w:color="auto"/>
        <w:bottom w:val="none" w:sz="0" w:space="0" w:color="auto"/>
        <w:right w:val="none" w:sz="0" w:space="0" w:color="auto"/>
      </w:divBdr>
      <w:divsChild>
        <w:div w:id="1283075923">
          <w:marLeft w:val="0"/>
          <w:marRight w:val="0"/>
          <w:marTop w:val="0"/>
          <w:marBottom w:val="0"/>
          <w:divBdr>
            <w:top w:val="none" w:sz="0" w:space="0" w:color="auto"/>
            <w:left w:val="none" w:sz="0" w:space="0" w:color="auto"/>
            <w:bottom w:val="none" w:sz="0" w:space="0" w:color="auto"/>
            <w:right w:val="none" w:sz="0" w:space="0" w:color="auto"/>
          </w:divBdr>
          <w:divsChild>
            <w:div w:id="1029143069">
              <w:marLeft w:val="0"/>
              <w:marRight w:val="0"/>
              <w:marTop w:val="0"/>
              <w:marBottom w:val="0"/>
              <w:divBdr>
                <w:top w:val="none" w:sz="0" w:space="0" w:color="auto"/>
                <w:left w:val="none" w:sz="0" w:space="0" w:color="auto"/>
                <w:bottom w:val="none" w:sz="0" w:space="0" w:color="auto"/>
                <w:right w:val="none" w:sz="0" w:space="0" w:color="auto"/>
              </w:divBdr>
              <w:divsChild>
                <w:div w:id="285045626">
                  <w:marLeft w:val="0"/>
                  <w:marRight w:val="0"/>
                  <w:marTop w:val="0"/>
                  <w:marBottom w:val="0"/>
                  <w:divBdr>
                    <w:top w:val="none" w:sz="0" w:space="0" w:color="auto"/>
                    <w:left w:val="none" w:sz="0" w:space="0" w:color="auto"/>
                    <w:bottom w:val="none" w:sz="0" w:space="0" w:color="auto"/>
                    <w:right w:val="none" w:sz="0" w:space="0" w:color="auto"/>
                  </w:divBdr>
                  <w:divsChild>
                    <w:div w:id="2132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arpansa.gov.au" TargetMode="External"/><Relationship Id="rId18" Type="http://schemas.openxmlformats.org/officeDocument/2006/relationships/hyperlink" Target="mailto:info@arpansa.gov.au"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abs.gov.au/ausstats/abs@.nsf/mf/3101.0" TargetMode="External"/><Relationship Id="rId7" Type="http://schemas.openxmlformats.org/officeDocument/2006/relationships/footnotes" Target="footnotes.xml"/><Relationship Id="rId12" Type="http://schemas.openxmlformats.org/officeDocument/2006/relationships/hyperlink" Target="http://www.dpmc.gov.au/government/commonwealth-coat-arms" TargetMode="External"/><Relationship Id="rId17" Type="http://schemas.openxmlformats.org/officeDocument/2006/relationships/hyperlink" Target="http://www.dpmc.gov.au/government/commonwealth-coat-arms" TargetMode="External"/><Relationship Id="rId25" Type="http://schemas.openxmlformats.org/officeDocument/2006/relationships/chart" Target="charts/chart1.xml"/><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header" Target="header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footer" Target="footer3.xml"/><Relationship Id="rId32"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header" Target="header2.xml"/><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rpansa.gov.au" TargetMode="Externa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rpansa.gov.au" TargetMode="External"/><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ic-fs02.arpansa.local\folders$\urband\Desktop\IPL%20Laser\IPL%20Stats%20(2).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6728279284167"/>
          <c:y val="8.8243224595444592E-2"/>
          <c:w val="0.77077161866394606"/>
          <c:h val="0.52173996543115031"/>
        </c:manualLayout>
      </c:layout>
      <c:barChart>
        <c:barDir val="col"/>
        <c:grouping val="clustered"/>
        <c:varyColors val="0"/>
        <c:ser>
          <c:idx val="0"/>
          <c:order val="1"/>
          <c:tx>
            <c:strRef>
              <c:f>'Respondant Data'!$E$15</c:f>
              <c:strCache>
                <c:ptCount val="1"/>
                <c:pt idx="0">
                  <c:v>Count of Profession</c:v>
                </c:pt>
              </c:strCache>
            </c:strRef>
          </c:tx>
          <c:invertIfNegative val="0"/>
          <c:cat>
            <c:strRef>
              <c:f>'Respondant Data'!$D$16:$D$23</c:f>
              <c:strCache>
                <c:ptCount val="8"/>
                <c:pt idx="0">
                  <c:v>Professional Association</c:v>
                </c:pt>
                <c:pt idx="1">
                  <c:v>Blank</c:v>
                </c:pt>
                <c:pt idx="2">
                  <c:v>Dentist</c:v>
                </c:pt>
                <c:pt idx="3">
                  <c:v>Registered Medical Practioner</c:v>
                </c:pt>
                <c:pt idx="4">
                  <c:v>Non-Medical Operator</c:v>
                </c:pt>
                <c:pt idx="5">
                  <c:v>Regulator</c:v>
                </c:pt>
                <c:pt idx="6">
                  <c:v>Equipment Supplier/Manufacturer</c:v>
                </c:pt>
                <c:pt idx="7">
                  <c:v>Training Provider</c:v>
                </c:pt>
              </c:strCache>
            </c:strRef>
          </c:cat>
          <c:val>
            <c:numRef>
              <c:f>'Respondant Data'!$E$16:$E$23</c:f>
              <c:numCache>
                <c:formatCode>General</c:formatCode>
                <c:ptCount val="8"/>
                <c:pt idx="0">
                  <c:v>7</c:v>
                </c:pt>
                <c:pt idx="1">
                  <c:v>9</c:v>
                </c:pt>
                <c:pt idx="2">
                  <c:v>2</c:v>
                </c:pt>
                <c:pt idx="3">
                  <c:v>57</c:v>
                </c:pt>
                <c:pt idx="4">
                  <c:v>133</c:v>
                </c:pt>
                <c:pt idx="5">
                  <c:v>7</c:v>
                </c:pt>
                <c:pt idx="6">
                  <c:v>9</c:v>
                </c:pt>
                <c:pt idx="7">
                  <c:v>17</c:v>
                </c:pt>
              </c:numCache>
            </c:numRef>
          </c:val>
        </c:ser>
        <c:dLbls>
          <c:showLegendKey val="0"/>
          <c:showVal val="0"/>
          <c:showCatName val="0"/>
          <c:showSerName val="0"/>
          <c:showPercent val="0"/>
          <c:showBubbleSize val="0"/>
        </c:dLbls>
        <c:gapWidth val="150"/>
        <c:axId val="91652864"/>
        <c:axId val="92530944"/>
      </c:barChart>
      <c:barChart>
        <c:barDir val="col"/>
        <c:grouping val="clustered"/>
        <c:varyColors val="0"/>
        <c:ser>
          <c:idx val="1"/>
          <c:order val="0"/>
          <c:tx>
            <c:strRef>
              <c:f>'Respondant Data'!$F$15</c:f>
              <c:strCache>
                <c:ptCount val="1"/>
                <c:pt idx="0">
                  <c:v>Percentage</c:v>
                </c:pt>
              </c:strCache>
            </c:strRef>
          </c:tx>
          <c:spPr>
            <a:solidFill>
              <a:srgbClr val="4E1A74"/>
            </a:solidFill>
            <a:ln>
              <a:noFill/>
            </a:ln>
          </c:spPr>
          <c:invertIfNegative val="0"/>
          <c:val>
            <c:numRef>
              <c:f>'Respondant Data'!$F$16:$F$23</c:f>
              <c:numCache>
                <c:formatCode>0%</c:formatCode>
                <c:ptCount val="8"/>
                <c:pt idx="0">
                  <c:v>2.9045643153526972E-2</c:v>
                </c:pt>
                <c:pt idx="1">
                  <c:v>3.7344398340248962E-2</c:v>
                </c:pt>
                <c:pt idx="2">
                  <c:v>8.2987551867219917E-3</c:v>
                </c:pt>
                <c:pt idx="3">
                  <c:v>0.23651452282157676</c:v>
                </c:pt>
                <c:pt idx="4">
                  <c:v>0.55186721991701249</c:v>
                </c:pt>
                <c:pt idx="5">
                  <c:v>2.9045643153526972E-2</c:v>
                </c:pt>
                <c:pt idx="6">
                  <c:v>3.7344398340248962E-2</c:v>
                </c:pt>
                <c:pt idx="7">
                  <c:v>7.0539419087136929E-2</c:v>
                </c:pt>
              </c:numCache>
            </c:numRef>
          </c:val>
        </c:ser>
        <c:dLbls>
          <c:showLegendKey val="0"/>
          <c:showVal val="0"/>
          <c:showCatName val="0"/>
          <c:showSerName val="0"/>
          <c:showPercent val="0"/>
          <c:showBubbleSize val="0"/>
        </c:dLbls>
        <c:gapWidth val="21"/>
        <c:axId val="93792512"/>
        <c:axId val="93790592"/>
      </c:barChart>
      <c:catAx>
        <c:axId val="91652864"/>
        <c:scaling>
          <c:orientation val="minMax"/>
        </c:scaling>
        <c:delete val="0"/>
        <c:axPos val="b"/>
        <c:title>
          <c:tx>
            <c:rich>
              <a:bodyPr/>
              <a:lstStyle/>
              <a:p>
                <a:pPr>
                  <a:defRPr sz="1200"/>
                </a:pPr>
                <a:r>
                  <a:rPr lang="en-US" sz="1200"/>
                  <a:t>Stakeholder Group</a:t>
                </a:r>
              </a:p>
            </c:rich>
          </c:tx>
          <c:layout>
            <c:manualLayout>
              <c:xMode val="edge"/>
              <c:yMode val="edge"/>
              <c:x val="0.37479460416285176"/>
              <c:y val="0.92268741907813312"/>
            </c:manualLayout>
          </c:layout>
          <c:overlay val="0"/>
        </c:title>
        <c:majorTickMark val="out"/>
        <c:minorTickMark val="none"/>
        <c:tickLblPos val="nextTo"/>
        <c:txPr>
          <a:bodyPr/>
          <a:lstStyle/>
          <a:p>
            <a:pPr>
              <a:defRPr sz="800" b="1"/>
            </a:pPr>
            <a:endParaRPr lang="en-US"/>
          </a:p>
        </c:txPr>
        <c:crossAx val="92530944"/>
        <c:crosses val="autoZero"/>
        <c:auto val="1"/>
        <c:lblAlgn val="ctr"/>
        <c:lblOffset val="100"/>
        <c:noMultiLvlLbl val="0"/>
      </c:catAx>
      <c:valAx>
        <c:axId val="92530944"/>
        <c:scaling>
          <c:orientation val="minMax"/>
        </c:scaling>
        <c:delete val="0"/>
        <c:axPos val="l"/>
        <c:title>
          <c:tx>
            <c:rich>
              <a:bodyPr rot="-5400000" vert="horz"/>
              <a:lstStyle/>
              <a:p>
                <a:pPr>
                  <a:defRPr sz="1200"/>
                </a:pPr>
                <a:r>
                  <a:rPr lang="en-US" sz="1200"/>
                  <a:t>Number of Responses</a:t>
                </a:r>
              </a:p>
            </c:rich>
          </c:tx>
          <c:layout>
            <c:manualLayout>
              <c:xMode val="edge"/>
              <c:yMode val="edge"/>
              <c:x val="7.9268579799618068E-3"/>
              <c:y val="0.1293627670654364"/>
            </c:manualLayout>
          </c:layout>
          <c:overlay val="0"/>
        </c:title>
        <c:numFmt formatCode="General" sourceLinked="1"/>
        <c:majorTickMark val="out"/>
        <c:minorTickMark val="none"/>
        <c:tickLblPos val="nextTo"/>
        <c:txPr>
          <a:bodyPr/>
          <a:lstStyle/>
          <a:p>
            <a:pPr>
              <a:defRPr b="1"/>
            </a:pPr>
            <a:endParaRPr lang="en-US"/>
          </a:p>
        </c:txPr>
        <c:crossAx val="91652864"/>
        <c:crosses val="autoZero"/>
        <c:crossBetween val="between"/>
        <c:majorUnit val="10"/>
      </c:valAx>
      <c:valAx>
        <c:axId val="93790592"/>
        <c:scaling>
          <c:orientation val="minMax"/>
          <c:max val="0.58090000000000008"/>
          <c:min val="0"/>
        </c:scaling>
        <c:delete val="0"/>
        <c:axPos val="r"/>
        <c:title>
          <c:tx>
            <c:rich>
              <a:bodyPr rot="-5400000" vert="horz"/>
              <a:lstStyle/>
              <a:p>
                <a:pPr>
                  <a:defRPr sz="1200"/>
                </a:pPr>
                <a:r>
                  <a:rPr lang="en-AU" sz="1200"/>
                  <a:t>Percentage</a:t>
                </a:r>
              </a:p>
            </c:rich>
          </c:tx>
          <c:layout>
            <c:manualLayout>
              <c:xMode val="edge"/>
              <c:yMode val="edge"/>
              <c:x val="0.95550387596899222"/>
              <c:y val="0.26119387606897554"/>
            </c:manualLayout>
          </c:layout>
          <c:overlay val="0"/>
        </c:title>
        <c:numFmt formatCode="0%" sourceLinked="1"/>
        <c:majorTickMark val="out"/>
        <c:minorTickMark val="none"/>
        <c:tickLblPos val="nextTo"/>
        <c:txPr>
          <a:bodyPr/>
          <a:lstStyle/>
          <a:p>
            <a:pPr>
              <a:defRPr b="1"/>
            </a:pPr>
            <a:endParaRPr lang="en-US"/>
          </a:p>
        </c:txPr>
        <c:crossAx val="93792512"/>
        <c:crosses val="max"/>
        <c:crossBetween val="between"/>
        <c:majorUnit val="5.000000000000001E-2"/>
      </c:valAx>
      <c:catAx>
        <c:axId val="93792512"/>
        <c:scaling>
          <c:orientation val="minMax"/>
        </c:scaling>
        <c:delete val="1"/>
        <c:axPos val="b"/>
        <c:majorTickMark val="out"/>
        <c:minorTickMark val="none"/>
        <c:tickLblPos val="nextTo"/>
        <c:crossAx val="93790592"/>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4351261709393"/>
          <c:y val="6.1906907950889711E-2"/>
          <c:w val="0.78767886572317991"/>
          <c:h val="0.7421658894096782"/>
        </c:manualLayout>
      </c:layout>
      <c:barChart>
        <c:barDir val="col"/>
        <c:grouping val="clustered"/>
        <c:varyColors val="0"/>
        <c:ser>
          <c:idx val="0"/>
          <c:order val="0"/>
          <c:tx>
            <c:strRef>
              <c:f>'Respondant Data'!$E$3</c:f>
              <c:strCache>
                <c:ptCount val="1"/>
                <c:pt idx="0">
                  <c:v>Count of Jurisdiction</c:v>
                </c:pt>
              </c:strCache>
            </c:strRef>
          </c:tx>
          <c:invertIfNegative val="0"/>
          <c:cat>
            <c:strRef>
              <c:f>'Respondant Data'!$D$4:$D$12</c:f>
              <c:strCache>
                <c:ptCount val="9"/>
                <c:pt idx="0">
                  <c:v>ACT</c:v>
                </c:pt>
                <c:pt idx="1">
                  <c:v>NSW</c:v>
                </c:pt>
                <c:pt idx="2">
                  <c:v>NT</c:v>
                </c:pt>
                <c:pt idx="3">
                  <c:v>QLD</c:v>
                </c:pt>
                <c:pt idx="4">
                  <c:v>SA</c:v>
                </c:pt>
                <c:pt idx="5">
                  <c:v>TAS</c:v>
                </c:pt>
                <c:pt idx="6">
                  <c:v>VIC</c:v>
                </c:pt>
                <c:pt idx="7">
                  <c:v>WA</c:v>
                </c:pt>
                <c:pt idx="8">
                  <c:v>Not Provided</c:v>
                </c:pt>
              </c:strCache>
            </c:strRef>
          </c:cat>
          <c:val>
            <c:numRef>
              <c:f>'Respondant Data'!$E$4:$E$12</c:f>
              <c:numCache>
                <c:formatCode>General</c:formatCode>
                <c:ptCount val="9"/>
                <c:pt idx="0">
                  <c:v>4</c:v>
                </c:pt>
                <c:pt idx="1">
                  <c:v>61</c:v>
                </c:pt>
                <c:pt idx="2">
                  <c:v>2</c:v>
                </c:pt>
                <c:pt idx="3">
                  <c:v>45</c:v>
                </c:pt>
                <c:pt idx="4">
                  <c:v>12</c:v>
                </c:pt>
                <c:pt idx="5">
                  <c:v>6</c:v>
                </c:pt>
                <c:pt idx="6">
                  <c:v>35</c:v>
                </c:pt>
                <c:pt idx="7">
                  <c:v>25</c:v>
                </c:pt>
                <c:pt idx="8">
                  <c:v>51</c:v>
                </c:pt>
              </c:numCache>
            </c:numRef>
          </c:val>
        </c:ser>
        <c:dLbls>
          <c:showLegendKey val="0"/>
          <c:showVal val="0"/>
          <c:showCatName val="0"/>
          <c:showSerName val="0"/>
          <c:showPercent val="0"/>
          <c:showBubbleSize val="0"/>
        </c:dLbls>
        <c:gapWidth val="150"/>
        <c:axId val="101814656"/>
        <c:axId val="101816576"/>
      </c:barChart>
      <c:barChart>
        <c:barDir val="col"/>
        <c:grouping val="clustered"/>
        <c:varyColors val="0"/>
        <c:ser>
          <c:idx val="1"/>
          <c:order val="1"/>
          <c:tx>
            <c:strRef>
              <c:f>'Respondant Data'!$F$3</c:f>
              <c:strCache>
                <c:ptCount val="1"/>
                <c:pt idx="0">
                  <c:v>Percentage</c:v>
                </c:pt>
              </c:strCache>
            </c:strRef>
          </c:tx>
          <c:spPr>
            <a:solidFill>
              <a:srgbClr val="4E1A74"/>
            </a:solidFill>
          </c:spPr>
          <c:invertIfNegative val="0"/>
          <c:cat>
            <c:strRef>
              <c:f>'Respondant Data'!$D$4:$D$12</c:f>
              <c:strCache>
                <c:ptCount val="9"/>
                <c:pt idx="0">
                  <c:v>ACT</c:v>
                </c:pt>
                <c:pt idx="1">
                  <c:v>NSW</c:v>
                </c:pt>
                <c:pt idx="2">
                  <c:v>NT</c:v>
                </c:pt>
                <c:pt idx="3">
                  <c:v>QLD</c:v>
                </c:pt>
                <c:pt idx="4">
                  <c:v>SA</c:v>
                </c:pt>
                <c:pt idx="5">
                  <c:v>TAS</c:v>
                </c:pt>
                <c:pt idx="6">
                  <c:v>VIC</c:v>
                </c:pt>
                <c:pt idx="7">
                  <c:v>WA</c:v>
                </c:pt>
                <c:pt idx="8">
                  <c:v>Not Provided</c:v>
                </c:pt>
              </c:strCache>
            </c:strRef>
          </c:cat>
          <c:val>
            <c:numRef>
              <c:f>'Respondant Data'!$F$4:$F$12</c:f>
              <c:numCache>
                <c:formatCode>0%</c:formatCode>
                <c:ptCount val="9"/>
                <c:pt idx="0">
                  <c:v>1.6597510373443983E-2</c:v>
                </c:pt>
                <c:pt idx="1">
                  <c:v>0.25311203319502074</c:v>
                </c:pt>
                <c:pt idx="2">
                  <c:v>8.2987551867219917E-3</c:v>
                </c:pt>
                <c:pt idx="3">
                  <c:v>0.18672199170124482</c:v>
                </c:pt>
                <c:pt idx="4">
                  <c:v>4.9792531120331947E-2</c:v>
                </c:pt>
                <c:pt idx="5">
                  <c:v>2.4896265560165973E-2</c:v>
                </c:pt>
                <c:pt idx="6">
                  <c:v>0.14522821576763487</c:v>
                </c:pt>
                <c:pt idx="7">
                  <c:v>0.1037344398340249</c:v>
                </c:pt>
                <c:pt idx="8">
                  <c:v>0.21161825726141079</c:v>
                </c:pt>
              </c:numCache>
            </c:numRef>
          </c:val>
        </c:ser>
        <c:dLbls>
          <c:showLegendKey val="0"/>
          <c:showVal val="0"/>
          <c:showCatName val="0"/>
          <c:showSerName val="0"/>
          <c:showPercent val="0"/>
          <c:showBubbleSize val="0"/>
        </c:dLbls>
        <c:gapWidth val="22"/>
        <c:axId val="106294272"/>
        <c:axId val="106291968"/>
      </c:barChart>
      <c:catAx>
        <c:axId val="101814656"/>
        <c:scaling>
          <c:orientation val="minMax"/>
        </c:scaling>
        <c:delete val="0"/>
        <c:axPos val="b"/>
        <c:title>
          <c:tx>
            <c:rich>
              <a:bodyPr/>
              <a:lstStyle/>
              <a:p>
                <a:pPr>
                  <a:defRPr sz="1200"/>
                </a:pPr>
                <a:r>
                  <a:rPr lang="en-US" sz="1200"/>
                  <a:t>Jurisdiction</a:t>
                </a:r>
              </a:p>
            </c:rich>
          </c:tx>
          <c:overlay val="0"/>
        </c:title>
        <c:majorTickMark val="out"/>
        <c:minorTickMark val="none"/>
        <c:tickLblPos val="nextTo"/>
        <c:txPr>
          <a:bodyPr/>
          <a:lstStyle/>
          <a:p>
            <a:pPr>
              <a:defRPr b="1"/>
            </a:pPr>
            <a:endParaRPr lang="en-US"/>
          </a:p>
        </c:txPr>
        <c:crossAx val="101816576"/>
        <c:crosses val="autoZero"/>
        <c:auto val="1"/>
        <c:lblAlgn val="ctr"/>
        <c:lblOffset val="100"/>
        <c:noMultiLvlLbl val="0"/>
      </c:catAx>
      <c:valAx>
        <c:axId val="101816576"/>
        <c:scaling>
          <c:orientation val="minMax"/>
        </c:scaling>
        <c:delete val="0"/>
        <c:axPos val="l"/>
        <c:title>
          <c:tx>
            <c:rich>
              <a:bodyPr rot="-5400000" vert="horz"/>
              <a:lstStyle/>
              <a:p>
                <a:pPr>
                  <a:defRPr sz="1600"/>
                </a:pPr>
                <a:r>
                  <a:rPr lang="en-US" sz="1200"/>
                  <a:t>Number of Responses</a:t>
                </a:r>
              </a:p>
            </c:rich>
          </c:tx>
          <c:layout>
            <c:manualLayout>
              <c:xMode val="edge"/>
              <c:yMode val="edge"/>
              <c:x val="1.37991471996233E-2"/>
              <c:y val="0.24807761937599815"/>
            </c:manualLayout>
          </c:layout>
          <c:overlay val="0"/>
        </c:title>
        <c:numFmt formatCode="General" sourceLinked="1"/>
        <c:majorTickMark val="out"/>
        <c:minorTickMark val="none"/>
        <c:tickLblPos val="nextTo"/>
        <c:txPr>
          <a:bodyPr/>
          <a:lstStyle/>
          <a:p>
            <a:pPr>
              <a:defRPr b="1"/>
            </a:pPr>
            <a:endParaRPr lang="en-US"/>
          </a:p>
        </c:txPr>
        <c:crossAx val="101814656"/>
        <c:crosses val="autoZero"/>
        <c:crossBetween val="between"/>
      </c:valAx>
      <c:valAx>
        <c:axId val="106291968"/>
        <c:scaling>
          <c:orientation val="minMax"/>
          <c:max val="0.29050000000000004"/>
          <c:min val="0"/>
        </c:scaling>
        <c:delete val="0"/>
        <c:axPos val="r"/>
        <c:title>
          <c:tx>
            <c:rich>
              <a:bodyPr rot="-5400000" vert="horz"/>
              <a:lstStyle/>
              <a:p>
                <a:pPr>
                  <a:defRPr sz="1200"/>
                </a:pPr>
                <a:r>
                  <a:rPr lang="en-US" sz="1200"/>
                  <a:t>Percentage</a:t>
                </a:r>
              </a:p>
            </c:rich>
          </c:tx>
          <c:layout>
            <c:manualLayout>
              <c:xMode val="edge"/>
              <c:yMode val="edge"/>
              <c:x val="0.95800518632025189"/>
              <c:y val="0.3474965887931315"/>
            </c:manualLayout>
          </c:layout>
          <c:overlay val="0"/>
        </c:title>
        <c:numFmt formatCode="0%" sourceLinked="1"/>
        <c:majorTickMark val="out"/>
        <c:minorTickMark val="none"/>
        <c:tickLblPos val="nextTo"/>
        <c:txPr>
          <a:bodyPr/>
          <a:lstStyle/>
          <a:p>
            <a:pPr>
              <a:defRPr b="1"/>
            </a:pPr>
            <a:endParaRPr lang="en-US"/>
          </a:p>
        </c:txPr>
        <c:crossAx val="106294272"/>
        <c:crosses val="max"/>
        <c:crossBetween val="between"/>
      </c:valAx>
      <c:catAx>
        <c:axId val="106294272"/>
        <c:scaling>
          <c:orientation val="minMax"/>
        </c:scaling>
        <c:delete val="1"/>
        <c:axPos val="b"/>
        <c:majorTickMark val="out"/>
        <c:minorTickMark val="none"/>
        <c:tickLblPos val="nextTo"/>
        <c:crossAx val="106291968"/>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5167375450507"/>
          <c:y val="9.2083888888888896E-2"/>
          <c:w val="0.77421538475502927"/>
          <c:h val="0.71651055555555554"/>
        </c:manualLayout>
      </c:layout>
      <c:barChart>
        <c:barDir val="col"/>
        <c:grouping val="clustered"/>
        <c:varyColors val="0"/>
        <c:ser>
          <c:idx val="0"/>
          <c:order val="0"/>
          <c:tx>
            <c:strRef>
              <c:f>'Respondant Data'!$E$50</c:f>
              <c:strCache>
                <c:ptCount val="1"/>
                <c:pt idx="0">
                  <c:v>Count of Option</c:v>
                </c:pt>
              </c:strCache>
            </c:strRef>
          </c:tx>
          <c:invertIfNegative val="0"/>
          <c:cat>
            <c:strRef>
              <c:f>'Respondant Data'!$D$51:$D$55</c:f>
              <c:strCache>
                <c:ptCount val="5"/>
                <c:pt idx="0">
                  <c:v>Option 2</c:v>
                </c:pt>
                <c:pt idx="1">
                  <c:v>Option 3</c:v>
                </c:pt>
                <c:pt idx="2">
                  <c:v>Option 1 &amp; 2</c:v>
                </c:pt>
                <c:pt idx="3">
                  <c:v>Alternative</c:v>
                </c:pt>
                <c:pt idx="4">
                  <c:v>Unstated</c:v>
                </c:pt>
              </c:strCache>
            </c:strRef>
          </c:cat>
          <c:val>
            <c:numRef>
              <c:f>'Respondant Data'!$E$51:$E$55</c:f>
              <c:numCache>
                <c:formatCode>General</c:formatCode>
                <c:ptCount val="5"/>
                <c:pt idx="0">
                  <c:v>34</c:v>
                </c:pt>
                <c:pt idx="1">
                  <c:v>126</c:v>
                </c:pt>
                <c:pt idx="2">
                  <c:v>1</c:v>
                </c:pt>
                <c:pt idx="3">
                  <c:v>8</c:v>
                </c:pt>
                <c:pt idx="4">
                  <c:v>72</c:v>
                </c:pt>
              </c:numCache>
            </c:numRef>
          </c:val>
        </c:ser>
        <c:dLbls>
          <c:showLegendKey val="0"/>
          <c:showVal val="0"/>
          <c:showCatName val="0"/>
          <c:showSerName val="0"/>
          <c:showPercent val="0"/>
          <c:showBubbleSize val="0"/>
        </c:dLbls>
        <c:gapWidth val="150"/>
        <c:axId val="148455808"/>
        <c:axId val="148496768"/>
      </c:barChart>
      <c:barChart>
        <c:barDir val="col"/>
        <c:grouping val="clustered"/>
        <c:varyColors val="0"/>
        <c:ser>
          <c:idx val="1"/>
          <c:order val="1"/>
          <c:tx>
            <c:strRef>
              <c:f>'Respondant Data'!$F$50</c:f>
              <c:strCache>
                <c:ptCount val="1"/>
                <c:pt idx="0">
                  <c:v>Percentage</c:v>
                </c:pt>
              </c:strCache>
            </c:strRef>
          </c:tx>
          <c:spPr>
            <a:solidFill>
              <a:srgbClr val="4E1A74"/>
            </a:solidFill>
          </c:spPr>
          <c:invertIfNegative val="0"/>
          <c:val>
            <c:numRef>
              <c:f>'Respondant Data'!$F$51:$F$55</c:f>
              <c:numCache>
                <c:formatCode>0.00%</c:formatCode>
                <c:ptCount val="5"/>
                <c:pt idx="0">
                  <c:v>0.14107883817427386</c:v>
                </c:pt>
                <c:pt idx="1">
                  <c:v>0.52282157676348551</c:v>
                </c:pt>
                <c:pt idx="2">
                  <c:v>4.1493775933609959E-3</c:v>
                </c:pt>
                <c:pt idx="3">
                  <c:v>3.3195020746887967E-2</c:v>
                </c:pt>
                <c:pt idx="4">
                  <c:v>0.29875518672199169</c:v>
                </c:pt>
              </c:numCache>
            </c:numRef>
          </c:val>
        </c:ser>
        <c:dLbls>
          <c:showLegendKey val="0"/>
          <c:showVal val="0"/>
          <c:showCatName val="0"/>
          <c:showSerName val="0"/>
          <c:showPercent val="0"/>
          <c:showBubbleSize val="0"/>
        </c:dLbls>
        <c:gapWidth val="23"/>
        <c:axId val="152876928"/>
        <c:axId val="152875008"/>
      </c:barChart>
      <c:catAx>
        <c:axId val="148455808"/>
        <c:scaling>
          <c:orientation val="minMax"/>
        </c:scaling>
        <c:delete val="0"/>
        <c:axPos val="b"/>
        <c:title>
          <c:tx>
            <c:rich>
              <a:bodyPr/>
              <a:lstStyle/>
              <a:p>
                <a:pPr>
                  <a:defRPr sz="1200"/>
                </a:pPr>
                <a:r>
                  <a:rPr lang="en-US" sz="1200"/>
                  <a:t>Consultation RIS option</a:t>
                </a:r>
              </a:p>
            </c:rich>
          </c:tx>
          <c:layout>
            <c:manualLayout>
              <c:xMode val="edge"/>
              <c:yMode val="edge"/>
              <c:x val="0.35996461404751795"/>
              <c:y val="0.90049888888888885"/>
            </c:manualLayout>
          </c:layout>
          <c:overlay val="0"/>
        </c:title>
        <c:majorTickMark val="out"/>
        <c:minorTickMark val="none"/>
        <c:tickLblPos val="nextTo"/>
        <c:crossAx val="148496768"/>
        <c:crosses val="autoZero"/>
        <c:auto val="1"/>
        <c:lblAlgn val="ctr"/>
        <c:lblOffset val="100"/>
        <c:noMultiLvlLbl val="0"/>
      </c:catAx>
      <c:valAx>
        <c:axId val="148496768"/>
        <c:scaling>
          <c:orientation val="minMax"/>
        </c:scaling>
        <c:delete val="0"/>
        <c:axPos val="l"/>
        <c:title>
          <c:tx>
            <c:rich>
              <a:bodyPr rot="-5400000" vert="horz"/>
              <a:lstStyle/>
              <a:p>
                <a:pPr>
                  <a:defRPr sz="1200"/>
                </a:pPr>
                <a:r>
                  <a:rPr lang="en-US" sz="1200"/>
                  <a:t>Number</a:t>
                </a:r>
                <a:r>
                  <a:rPr lang="en-US" sz="1200" baseline="0"/>
                  <a:t> of Preferences</a:t>
                </a:r>
                <a:endParaRPr lang="en-US" sz="1200"/>
              </a:p>
            </c:rich>
          </c:tx>
          <c:overlay val="0"/>
        </c:title>
        <c:numFmt formatCode="General" sourceLinked="1"/>
        <c:majorTickMark val="out"/>
        <c:minorTickMark val="none"/>
        <c:tickLblPos val="nextTo"/>
        <c:crossAx val="148455808"/>
        <c:crosses val="autoZero"/>
        <c:crossBetween val="between"/>
        <c:majorUnit val="10"/>
      </c:valAx>
      <c:valAx>
        <c:axId val="152875008"/>
        <c:scaling>
          <c:orientation val="minMax"/>
          <c:max val="0.58090000000000008"/>
          <c:min val="0"/>
        </c:scaling>
        <c:delete val="0"/>
        <c:axPos val="r"/>
        <c:title>
          <c:tx>
            <c:rich>
              <a:bodyPr rot="-5400000" vert="horz"/>
              <a:lstStyle/>
              <a:p>
                <a:pPr>
                  <a:defRPr sz="1200"/>
                </a:pPr>
                <a:r>
                  <a:rPr lang="en-US" sz="1200"/>
                  <a:t>Percentage</a:t>
                </a:r>
              </a:p>
            </c:rich>
          </c:tx>
          <c:layout>
            <c:manualLayout>
              <c:xMode val="edge"/>
              <c:yMode val="edge"/>
              <c:x val="0.95787968461955653"/>
              <c:y val="0.38389333333333331"/>
            </c:manualLayout>
          </c:layout>
          <c:overlay val="0"/>
        </c:title>
        <c:numFmt formatCode="0%" sourceLinked="0"/>
        <c:majorTickMark val="out"/>
        <c:minorTickMark val="none"/>
        <c:tickLblPos val="nextTo"/>
        <c:txPr>
          <a:bodyPr/>
          <a:lstStyle/>
          <a:p>
            <a:pPr>
              <a:defRPr b="1"/>
            </a:pPr>
            <a:endParaRPr lang="en-US"/>
          </a:p>
        </c:txPr>
        <c:crossAx val="152876928"/>
        <c:crosses val="max"/>
        <c:crossBetween val="between"/>
        <c:majorUnit val="5.000000000000001E-2"/>
      </c:valAx>
      <c:catAx>
        <c:axId val="152876928"/>
        <c:scaling>
          <c:orientation val="minMax"/>
        </c:scaling>
        <c:delete val="1"/>
        <c:axPos val="b"/>
        <c:majorTickMark val="out"/>
        <c:minorTickMark val="none"/>
        <c:tickLblPos val="nextTo"/>
        <c:crossAx val="152875008"/>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Option 1</a:t>
            </a:r>
          </a:p>
        </c:rich>
      </c:tx>
      <c:overlay val="0"/>
    </c:title>
    <c:autoTitleDeleted val="0"/>
    <c:plotArea>
      <c:layout>
        <c:manualLayout>
          <c:layoutTarget val="inner"/>
          <c:xMode val="edge"/>
          <c:yMode val="edge"/>
          <c:x val="0.10987313988809232"/>
          <c:y val="0.15024277369490111"/>
          <c:w val="0.77643323654310648"/>
          <c:h val="0.6295875094420047"/>
        </c:manualLayout>
      </c:layout>
      <c:barChart>
        <c:barDir val="col"/>
        <c:grouping val="clustered"/>
        <c:varyColors val="0"/>
        <c:ser>
          <c:idx val="0"/>
          <c:order val="0"/>
          <c:tx>
            <c:strRef>
              <c:f>'Reponse Analysis'!$F$30</c:f>
              <c:strCache>
                <c:ptCount val="1"/>
                <c:pt idx="0">
                  <c:v>Count of D1
Level of support for Option 1</c:v>
                </c:pt>
              </c:strCache>
            </c:strRef>
          </c:tx>
          <c:invertIfNegative val="0"/>
          <c:cat>
            <c:strRef>
              <c:f>'Reponse Analysis'!$E$31:$E$34</c:f>
              <c:strCache>
                <c:ptCount val="4"/>
                <c:pt idx="0">
                  <c:v>Does not support</c:v>
                </c:pt>
                <c:pt idx="1">
                  <c:v>Full Support</c:v>
                </c:pt>
                <c:pt idx="2">
                  <c:v>No comment</c:v>
                </c:pt>
                <c:pt idx="3">
                  <c:v>Partial/modifed Support</c:v>
                </c:pt>
              </c:strCache>
            </c:strRef>
          </c:cat>
          <c:val>
            <c:numRef>
              <c:f>'Reponse Analysis'!$F$31:$F$34</c:f>
              <c:numCache>
                <c:formatCode>General</c:formatCode>
                <c:ptCount val="4"/>
                <c:pt idx="0">
                  <c:v>63</c:v>
                </c:pt>
                <c:pt idx="1">
                  <c:v>6</c:v>
                </c:pt>
                <c:pt idx="2">
                  <c:v>151</c:v>
                </c:pt>
                <c:pt idx="3">
                  <c:v>21</c:v>
                </c:pt>
              </c:numCache>
            </c:numRef>
          </c:val>
        </c:ser>
        <c:dLbls>
          <c:showLegendKey val="0"/>
          <c:showVal val="0"/>
          <c:showCatName val="0"/>
          <c:showSerName val="0"/>
          <c:showPercent val="0"/>
          <c:showBubbleSize val="0"/>
        </c:dLbls>
        <c:gapWidth val="150"/>
        <c:axId val="162024064"/>
        <c:axId val="166077184"/>
      </c:barChart>
      <c:barChart>
        <c:barDir val="col"/>
        <c:grouping val="clustered"/>
        <c:varyColors val="0"/>
        <c:ser>
          <c:idx val="1"/>
          <c:order val="1"/>
          <c:tx>
            <c:strRef>
              <c:f>'Reponse Analysis'!$G$30</c:f>
              <c:strCache>
                <c:ptCount val="1"/>
                <c:pt idx="0">
                  <c:v>Percentage</c:v>
                </c:pt>
              </c:strCache>
            </c:strRef>
          </c:tx>
          <c:spPr>
            <a:solidFill>
              <a:srgbClr val="4E1A74"/>
            </a:solidFill>
          </c:spPr>
          <c:invertIfNegative val="0"/>
          <c:val>
            <c:numRef>
              <c:f>'Reponse Analysis'!$G$31:$G$34</c:f>
              <c:numCache>
                <c:formatCode>0%</c:formatCode>
                <c:ptCount val="4"/>
                <c:pt idx="0">
                  <c:v>0.26141078838174275</c:v>
                </c:pt>
                <c:pt idx="1">
                  <c:v>2.4896265560165973E-2</c:v>
                </c:pt>
                <c:pt idx="2">
                  <c:v>0.62655601659751037</c:v>
                </c:pt>
                <c:pt idx="3">
                  <c:v>8.7136929460580909E-2</c:v>
                </c:pt>
              </c:numCache>
            </c:numRef>
          </c:val>
        </c:ser>
        <c:dLbls>
          <c:showLegendKey val="0"/>
          <c:showVal val="0"/>
          <c:showCatName val="0"/>
          <c:showSerName val="0"/>
          <c:showPercent val="0"/>
          <c:showBubbleSize val="0"/>
        </c:dLbls>
        <c:gapWidth val="22"/>
        <c:axId val="168219776"/>
        <c:axId val="168137472"/>
      </c:barChart>
      <c:catAx>
        <c:axId val="162024064"/>
        <c:scaling>
          <c:orientation val="minMax"/>
        </c:scaling>
        <c:delete val="0"/>
        <c:axPos val="b"/>
        <c:title>
          <c:tx>
            <c:rich>
              <a:bodyPr/>
              <a:lstStyle/>
              <a:p>
                <a:pPr>
                  <a:defRPr sz="1200"/>
                </a:pPr>
                <a:r>
                  <a:rPr lang="en-US" sz="1200"/>
                  <a:t>Level of Support</a:t>
                </a:r>
              </a:p>
            </c:rich>
          </c:tx>
          <c:layout>
            <c:manualLayout>
              <c:xMode val="edge"/>
              <c:yMode val="edge"/>
              <c:x val="0.42282382370144339"/>
              <c:y val="0.90627918498568383"/>
            </c:manualLayout>
          </c:layout>
          <c:overlay val="0"/>
        </c:title>
        <c:majorTickMark val="out"/>
        <c:minorTickMark val="none"/>
        <c:tickLblPos val="nextTo"/>
        <c:txPr>
          <a:bodyPr/>
          <a:lstStyle/>
          <a:p>
            <a:pPr>
              <a:defRPr b="1"/>
            </a:pPr>
            <a:endParaRPr lang="en-US"/>
          </a:p>
        </c:txPr>
        <c:crossAx val="166077184"/>
        <c:crosses val="autoZero"/>
        <c:auto val="1"/>
        <c:lblAlgn val="ctr"/>
        <c:lblOffset val="100"/>
        <c:noMultiLvlLbl val="0"/>
      </c:catAx>
      <c:valAx>
        <c:axId val="166077184"/>
        <c:scaling>
          <c:orientation val="minMax"/>
        </c:scaling>
        <c:delete val="0"/>
        <c:axPos val="l"/>
        <c:title>
          <c:tx>
            <c:rich>
              <a:bodyPr rot="-5400000" vert="horz"/>
              <a:lstStyle/>
              <a:p>
                <a:pPr>
                  <a:defRPr sz="1200"/>
                </a:pPr>
                <a:r>
                  <a:rPr lang="en-US" sz="1200"/>
                  <a:t>Number of Responses</a:t>
                </a:r>
              </a:p>
            </c:rich>
          </c:tx>
          <c:overlay val="0"/>
        </c:title>
        <c:numFmt formatCode="General" sourceLinked="1"/>
        <c:majorTickMark val="out"/>
        <c:minorTickMark val="none"/>
        <c:tickLblPos val="nextTo"/>
        <c:txPr>
          <a:bodyPr/>
          <a:lstStyle/>
          <a:p>
            <a:pPr>
              <a:defRPr sz="1000" b="1"/>
            </a:pPr>
            <a:endParaRPr lang="en-US"/>
          </a:p>
        </c:txPr>
        <c:crossAx val="162024064"/>
        <c:crosses val="autoZero"/>
        <c:crossBetween val="between"/>
      </c:valAx>
      <c:valAx>
        <c:axId val="168137472"/>
        <c:scaling>
          <c:orientation val="minMax"/>
          <c:max val="0.66390000000000016"/>
          <c:min val="0"/>
        </c:scaling>
        <c:delete val="0"/>
        <c:axPos val="r"/>
        <c:title>
          <c:tx>
            <c:rich>
              <a:bodyPr rot="-5400000" vert="horz"/>
              <a:lstStyle/>
              <a:p>
                <a:pPr>
                  <a:defRPr sz="1200"/>
                </a:pPr>
                <a:r>
                  <a:rPr lang="en-US" sz="1200"/>
                  <a:t>Percentage</a:t>
                </a:r>
              </a:p>
            </c:rich>
          </c:tx>
          <c:layout>
            <c:manualLayout>
              <c:xMode val="edge"/>
              <c:yMode val="edge"/>
              <c:x val="0.95742659179233702"/>
              <c:y val="0.40253446597070225"/>
            </c:manualLayout>
          </c:layout>
          <c:overlay val="0"/>
        </c:title>
        <c:numFmt formatCode="0%" sourceLinked="1"/>
        <c:majorTickMark val="out"/>
        <c:minorTickMark val="none"/>
        <c:tickLblPos val="nextTo"/>
        <c:txPr>
          <a:bodyPr/>
          <a:lstStyle/>
          <a:p>
            <a:pPr>
              <a:defRPr b="1"/>
            </a:pPr>
            <a:endParaRPr lang="en-US"/>
          </a:p>
        </c:txPr>
        <c:crossAx val="168219776"/>
        <c:crosses val="max"/>
        <c:crossBetween val="between"/>
        <c:majorUnit val="5.000000000000001E-2"/>
      </c:valAx>
      <c:catAx>
        <c:axId val="168219776"/>
        <c:scaling>
          <c:orientation val="minMax"/>
        </c:scaling>
        <c:delete val="1"/>
        <c:axPos val="b"/>
        <c:majorTickMark val="out"/>
        <c:minorTickMark val="none"/>
        <c:tickLblPos val="nextTo"/>
        <c:crossAx val="168137472"/>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Option 2</a:t>
            </a:r>
          </a:p>
        </c:rich>
      </c:tx>
      <c:overlay val="0"/>
    </c:title>
    <c:autoTitleDeleted val="0"/>
    <c:plotArea>
      <c:layout>
        <c:manualLayout>
          <c:layoutTarget val="inner"/>
          <c:xMode val="edge"/>
          <c:yMode val="edge"/>
          <c:x val="0.11429600369721227"/>
          <c:y val="0.14257536109077482"/>
          <c:w val="0.76757387884653949"/>
          <c:h val="0.59075240495954207"/>
        </c:manualLayout>
      </c:layout>
      <c:barChart>
        <c:barDir val="col"/>
        <c:grouping val="clustered"/>
        <c:varyColors val="0"/>
        <c:ser>
          <c:idx val="0"/>
          <c:order val="0"/>
          <c:tx>
            <c:strRef>
              <c:f>'Reponse Analysis'!$F$37</c:f>
              <c:strCache>
                <c:ptCount val="1"/>
                <c:pt idx="0">
                  <c:v>Count of D2
Level of support for Option 2</c:v>
                </c:pt>
              </c:strCache>
            </c:strRef>
          </c:tx>
          <c:invertIfNegative val="0"/>
          <c:cat>
            <c:strRef>
              <c:f>'Reponse Analysis'!$E$38:$E$41</c:f>
              <c:strCache>
                <c:ptCount val="4"/>
                <c:pt idx="0">
                  <c:v>Does not support</c:v>
                </c:pt>
                <c:pt idx="1">
                  <c:v>Full Support</c:v>
                </c:pt>
                <c:pt idx="2">
                  <c:v>No comment</c:v>
                </c:pt>
                <c:pt idx="3">
                  <c:v>Partial/modifed Support</c:v>
                </c:pt>
              </c:strCache>
            </c:strRef>
          </c:cat>
          <c:val>
            <c:numRef>
              <c:f>'Reponse Analysis'!$F$38:$F$41</c:f>
              <c:numCache>
                <c:formatCode>General</c:formatCode>
                <c:ptCount val="4"/>
                <c:pt idx="0">
                  <c:v>79</c:v>
                </c:pt>
                <c:pt idx="1">
                  <c:v>33</c:v>
                </c:pt>
                <c:pt idx="2">
                  <c:v>118</c:v>
                </c:pt>
                <c:pt idx="3">
                  <c:v>11</c:v>
                </c:pt>
              </c:numCache>
            </c:numRef>
          </c:val>
        </c:ser>
        <c:dLbls>
          <c:showLegendKey val="0"/>
          <c:showVal val="0"/>
          <c:showCatName val="0"/>
          <c:showSerName val="0"/>
          <c:showPercent val="0"/>
          <c:showBubbleSize val="0"/>
        </c:dLbls>
        <c:gapWidth val="150"/>
        <c:axId val="173526400"/>
        <c:axId val="178603904"/>
      </c:barChart>
      <c:barChart>
        <c:barDir val="col"/>
        <c:grouping val="clustered"/>
        <c:varyColors val="0"/>
        <c:ser>
          <c:idx val="1"/>
          <c:order val="1"/>
          <c:tx>
            <c:strRef>
              <c:f>'Reponse Analysis'!$G$37</c:f>
              <c:strCache>
                <c:ptCount val="1"/>
                <c:pt idx="0">
                  <c:v>Percentage</c:v>
                </c:pt>
              </c:strCache>
            </c:strRef>
          </c:tx>
          <c:spPr>
            <a:solidFill>
              <a:srgbClr val="4E1A74"/>
            </a:solidFill>
          </c:spPr>
          <c:invertIfNegative val="0"/>
          <c:val>
            <c:numRef>
              <c:f>'Reponse Analysis'!$G$38:$G$41</c:f>
              <c:numCache>
                <c:formatCode>0%</c:formatCode>
                <c:ptCount val="4"/>
                <c:pt idx="0">
                  <c:v>0.32780082987551867</c:v>
                </c:pt>
                <c:pt idx="1">
                  <c:v>0.13692946058091288</c:v>
                </c:pt>
                <c:pt idx="2">
                  <c:v>0.48962655601659749</c:v>
                </c:pt>
                <c:pt idx="3">
                  <c:v>4.5643153526970952E-2</c:v>
                </c:pt>
              </c:numCache>
            </c:numRef>
          </c:val>
        </c:ser>
        <c:dLbls>
          <c:showLegendKey val="0"/>
          <c:showVal val="0"/>
          <c:showCatName val="0"/>
          <c:showSerName val="0"/>
          <c:showPercent val="0"/>
          <c:showBubbleSize val="0"/>
        </c:dLbls>
        <c:gapWidth val="22"/>
        <c:axId val="181378048"/>
        <c:axId val="178739072"/>
      </c:barChart>
      <c:catAx>
        <c:axId val="173526400"/>
        <c:scaling>
          <c:orientation val="minMax"/>
        </c:scaling>
        <c:delete val="0"/>
        <c:axPos val="b"/>
        <c:title>
          <c:tx>
            <c:rich>
              <a:bodyPr/>
              <a:lstStyle/>
              <a:p>
                <a:pPr>
                  <a:defRPr sz="1200"/>
                </a:pPr>
                <a:r>
                  <a:rPr lang="en-US" sz="1200"/>
                  <a:t>Level of Support</a:t>
                </a:r>
              </a:p>
            </c:rich>
          </c:tx>
          <c:layout>
            <c:manualLayout>
              <c:xMode val="edge"/>
              <c:yMode val="edge"/>
              <c:x val="0.42282376620020945"/>
              <c:y val="0.88259213764458055"/>
            </c:manualLayout>
          </c:layout>
          <c:overlay val="0"/>
        </c:title>
        <c:majorTickMark val="out"/>
        <c:minorTickMark val="none"/>
        <c:tickLblPos val="nextTo"/>
        <c:txPr>
          <a:bodyPr/>
          <a:lstStyle/>
          <a:p>
            <a:pPr>
              <a:defRPr b="1"/>
            </a:pPr>
            <a:endParaRPr lang="en-US"/>
          </a:p>
        </c:txPr>
        <c:crossAx val="178603904"/>
        <c:crosses val="autoZero"/>
        <c:auto val="1"/>
        <c:lblAlgn val="ctr"/>
        <c:lblOffset val="100"/>
        <c:noMultiLvlLbl val="0"/>
      </c:catAx>
      <c:valAx>
        <c:axId val="178603904"/>
        <c:scaling>
          <c:orientation val="minMax"/>
        </c:scaling>
        <c:delete val="0"/>
        <c:axPos val="l"/>
        <c:title>
          <c:tx>
            <c:rich>
              <a:bodyPr rot="-5400000" vert="horz"/>
              <a:lstStyle/>
              <a:p>
                <a:pPr>
                  <a:defRPr sz="1200"/>
                </a:pPr>
                <a:r>
                  <a:rPr lang="en-US" sz="1200"/>
                  <a:t>Number of</a:t>
                </a:r>
                <a:r>
                  <a:rPr lang="en-US" sz="1200" baseline="0"/>
                  <a:t> Responses</a:t>
                </a:r>
              </a:p>
            </c:rich>
          </c:tx>
          <c:overlay val="0"/>
        </c:title>
        <c:numFmt formatCode="General" sourceLinked="1"/>
        <c:majorTickMark val="out"/>
        <c:minorTickMark val="none"/>
        <c:tickLblPos val="nextTo"/>
        <c:txPr>
          <a:bodyPr/>
          <a:lstStyle/>
          <a:p>
            <a:pPr>
              <a:defRPr b="1"/>
            </a:pPr>
            <a:endParaRPr lang="en-US"/>
          </a:p>
        </c:txPr>
        <c:crossAx val="173526400"/>
        <c:crosses val="autoZero"/>
        <c:crossBetween val="between"/>
      </c:valAx>
      <c:valAx>
        <c:axId val="178739072"/>
        <c:scaling>
          <c:orientation val="minMax"/>
          <c:max val="0.58090000000000008"/>
          <c:min val="0"/>
        </c:scaling>
        <c:delete val="0"/>
        <c:axPos val="r"/>
        <c:title>
          <c:tx>
            <c:rich>
              <a:bodyPr rot="-5400000" vert="horz"/>
              <a:lstStyle/>
              <a:p>
                <a:pPr>
                  <a:defRPr sz="1200"/>
                </a:pPr>
                <a:r>
                  <a:rPr lang="en-AU" sz="1200"/>
                  <a:t>Percentage</a:t>
                </a:r>
              </a:p>
            </c:rich>
          </c:tx>
          <c:layout>
            <c:manualLayout>
              <c:xMode val="edge"/>
              <c:yMode val="edge"/>
              <c:x val="0.95098577794054817"/>
              <c:y val="0.33025839072568247"/>
            </c:manualLayout>
          </c:layout>
          <c:overlay val="0"/>
        </c:title>
        <c:numFmt formatCode="0%" sourceLinked="1"/>
        <c:majorTickMark val="out"/>
        <c:minorTickMark val="none"/>
        <c:tickLblPos val="nextTo"/>
        <c:txPr>
          <a:bodyPr/>
          <a:lstStyle/>
          <a:p>
            <a:pPr>
              <a:defRPr b="1"/>
            </a:pPr>
            <a:endParaRPr lang="en-US"/>
          </a:p>
        </c:txPr>
        <c:crossAx val="181378048"/>
        <c:crosses val="max"/>
        <c:crossBetween val="between"/>
        <c:majorUnit val="5.000000000000001E-2"/>
      </c:valAx>
      <c:catAx>
        <c:axId val="181378048"/>
        <c:scaling>
          <c:orientation val="minMax"/>
        </c:scaling>
        <c:delete val="1"/>
        <c:axPos val="b"/>
        <c:majorTickMark val="out"/>
        <c:minorTickMark val="none"/>
        <c:tickLblPos val="nextTo"/>
        <c:crossAx val="178739072"/>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Option 3</a:t>
            </a:r>
          </a:p>
        </c:rich>
      </c:tx>
      <c:overlay val="0"/>
    </c:title>
    <c:autoTitleDeleted val="0"/>
    <c:plotArea>
      <c:layout>
        <c:manualLayout>
          <c:layoutTarget val="inner"/>
          <c:xMode val="edge"/>
          <c:yMode val="edge"/>
          <c:x val="0.12106277412997794"/>
          <c:y val="0.15490285936480161"/>
          <c:w val="0.7694191714407792"/>
          <c:h val="0.58541765612631758"/>
        </c:manualLayout>
      </c:layout>
      <c:barChart>
        <c:barDir val="col"/>
        <c:grouping val="clustered"/>
        <c:varyColors val="0"/>
        <c:ser>
          <c:idx val="0"/>
          <c:order val="0"/>
          <c:tx>
            <c:strRef>
              <c:f>'Reponse Analysis'!$F$44</c:f>
              <c:strCache>
                <c:ptCount val="1"/>
                <c:pt idx="0">
                  <c:v>Count of D3
Level of support for Option 3</c:v>
                </c:pt>
              </c:strCache>
            </c:strRef>
          </c:tx>
          <c:invertIfNegative val="0"/>
          <c:cat>
            <c:strRef>
              <c:f>'Reponse Analysis'!$E$45:$E$48</c:f>
              <c:strCache>
                <c:ptCount val="4"/>
                <c:pt idx="0">
                  <c:v>Does not support</c:v>
                </c:pt>
                <c:pt idx="1">
                  <c:v>Full Support</c:v>
                </c:pt>
                <c:pt idx="2">
                  <c:v>No comment</c:v>
                </c:pt>
                <c:pt idx="3">
                  <c:v>Partial/modifed Support</c:v>
                </c:pt>
              </c:strCache>
            </c:strRef>
          </c:cat>
          <c:val>
            <c:numRef>
              <c:f>'Reponse Analysis'!$F$45:$F$48</c:f>
              <c:numCache>
                <c:formatCode>General</c:formatCode>
                <c:ptCount val="4"/>
                <c:pt idx="0">
                  <c:v>29</c:v>
                </c:pt>
                <c:pt idx="1">
                  <c:v>92</c:v>
                </c:pt>
                <c:pt idx="2">
                  <c:v>54</c:v>
                </c:pt>
                <c:pt idx="3">
                  <c:v>66</c:v>
                </c:pt>
              </c:numCache>
            </c:numRef>
          </c:val>
        </c:ser>
        <c:dLbls>
          <c:showLegendKey val="0"/>
          <c:showVal val="0"/>
          <c:showCatName val="0"/>
          <c:showSerName val="0"/>
          <c:showPercent val="0"/>
          <c:showBubbleSize val="0"/>
        </c:dLbls>
        <c:gapWidth val="150"/>
        <c:axId val="3761280"/>
        <c:axId val="3763200"/>
      </c:barChart>
      <c:barChart>
        <c:barDir val="col"/>
        <c:grouping val="clustered"/>
        <c:varyColors val="0"/>
        <c:ser>
          <c:idx val="1"/>
          <c:order val="1"/>
          <c:tx>
            <c:strRef>
              <c:f>'Reponse Analysis'!$G$44</c:f>
              <c:strCache>
                <c:ptCount val="1"/>
                <c:pt idx="0">
                  <c:v>Percentage</c:v>
                </c:pt>
              </c:strCache>
            </c:strRef>
          </c:tx>
          <c:spPr>
            <a:solidFill>
              <a:srgbClr val="4E1A74"/>
            </a:solidFill>
          </c:spPr>
          <c:invertIfNegative val="0"/>
          <c:val>
            <c:numRef>
              <c:f>'Reponse Analysis'!$G$45:$G$48</c:f>
              <c:numCache>
                <c:formatCode>0%</c:formatCode>
                <c:ptCount val="4"/>
                <c:pt idx="0">
                  <c:v>0.12033195020746888</c:v>
                </c:pt>
                <c:pt idx="1">
                  <c:v>0.38174273858921159</c:v>
                </c:pt>
                <c:pt idx="2">
                  <c:v>0.22406639004149378</c:v>
                </c:pt>
                <c:pt idx="3">
                  <c:v>0.27385892116182575</c:v>
                </c:pt>
              </c:numCache>
            </c:numRef>
          </c:val>
        </c:ser>
        <c:dLbls>
          <c:showLegendKey val="0"/>
          <c:showVal val="0"/>
          <c:showCatName val="0"/>
          <c:showSerName val="0"/>
          <c:showPercent val="0"/>
          <c:showBubbleSize val="0"/>
        </c:dLbls>
        <c:gapWidth val="22"/>
        <c:axId val="3771392"/>
        <c:axId val="3769472"/>
      </c:barChart>
      <c:catAx>
        <c:axId val="3761280"/>
        <c:scaling>
          <c:orientation val="minMax"/>
        </c:scaling>
        <c:delete val="0"/>
        <c:axPos val="b"/>
        <c:title>
          <c:tx>
            <c:rich>
              <a:bodyPr/>
              <a:lstStyle/>
              <a:p>
                <a:pPr>
                  <a:defRPr sz="1200"/>
                </a:pPr>
                <a:r>
                  <a:rPr lang="en-US" sz="1200"/>
                  <a:t>Level of Support</a:t>
                </a:r>
              </a:p>
            </c:rich>
          </c:tx>
          <c:layout>
            <c:manualLayout>
              <c:xMode val="edge"/>
              <c:yMode val="edge"/>
              <c:x val="0.42242103005606785"/>
              <c:y val="0.88986890531861706"/>
            </c:manualLayout>
          </c:layout>
          <c:overlay val="0"/>
        </c:title>
        <c:majorTickMark val="out"/>
        <c:minorTickMark val="none"/>
        <c:tickLblPos val="nextTo"/>
        <c:txPr>
          <a:bodyPr/>
          <a:lstStyle/>
          <a:p>
            <a:pPr>
              <a:defRPr b="1"/>
            </a:pPr>
            <a:endParaRPr lang="en-US"/>
          </a:p>
        </c:txPr>
        <c:crossAx val="3763200"/>
        <c:crosses val="autoZero"/>
        <c:auto val="1"/>
        <c:lblAlgn val="ctr"/>
        <c:lblOffset val="100"/>
        <c:noMultiLvlLbl val="0"/>
      </c:catAx>
      <c:valAx>
        <c:axId val="3763200"/>
        <c:scaling>
          <c:orientation val="minMax"/>
        </c:scaling>
        <c:delete val="0"/>
        <c:axPos val="l"/>
        <c:title>
          <c:tx>
            <c:rich>
              <a:bodyPr rot="-5400000" vert="horz"/>
              <a:lstStyle/>
              <a:p>
                <a:pPr>
                  <a:defRPr sz="1200"/>
                </a:pPr>
                <a:r>
                  <a:rPr lang="en-US" sz="1200"/>
                  <a:t>Number of Responses</a:t>
                </a:r>
              </a:p>
            </c:rich>
          </c:tx>
          <c:overlay val="0"/>
        </c:title>
        <c:numFmt formatCode="General" sourceLinked="1"/>
        <c:majorTickMark val="out"/>
        <c:minorTickMark val="none"/>
        <c:tickLblPos val="nextTo"/>
        <c:txPr>
          <a:bodyPr/>
          <a:lstStyle/>
          <a:p>
            <a:pPr>
              <a:defRPr b="1"/>
            </a:pPr>
            <a:endParaRPr lang="en-US"/>
          </a:p>
        </c:txPr>
        <c:crossAx val="3761280"/>
        <c:crosses val="autoZero"/>
        <c:crossBetween val="between"/>
      </c:valAx>
      <c:valAx>
        <c:axId val="3769472"/>
        <c:scaling>
          <c:orientation val="minMax"/>
          <c:max val="0.41490000000000005"/>
          <c:min val="0"/>
        </c:scaling>
        <c:delete val="0"/>
        <c:axPos val="r"/>
        <c:title>
          <c:tx>
            <c:rich>
              <a:bodyPr rot="-5400000" vert="horz"/>
              <a:lstStyle/>
              <a:p>
                <a:pPr>
                  <a:defRPr sz="1200"/>
                </a:pPr>
                <a:r>
                  <a:rPr lang="en-US" sz="1200"/>
                  <a:t>Percentage</a:t>
                </a:r>
              </a:p>
            </c:rich>
          </c:tx>
          <c:overlay val="0"/>
        </c:title>
        <c:numFmt formatCode="0%" sourceLinked="1"/>
        <c:majorTickMark val="out"/>
        <c:minorTickMark val="none"/>
        <c:tickLblPos val="nextTo"/>
        <c:txPr>
          <a:bodyPr/>
          <a:lstStyle/>
          <a:p>
            <a:pPr>
              <a:defRPr b="1"/>
            </a:pPr>
            <a:endParaRPr lang="en-US"/>
          </a:p>
        </c:txPr>
        <c:crossAx val="3771392"/>
        <c:crosses val="max"/>
        <c:crossBetween val="between"/>
        <c:majorUnit val="5.000000000000001E-2"/>
      </c:valAx>
      <c:catAx>
        <c:axId val="3771392"/>
        <c:scaling>
          <c:orientation val="minMax"/>
        </c:scaling>
        <c:delete val="1"/>
        <c:axPos val="b"/>
        <c:majorTickMark val="out"/>
        <c:minorTickMark val="none"/>
        <c:tickLblPos val="nextTo"/>
        <c:crossAx val="3769472"/>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862181403415"/>
          <c:y val="0.13633877257982957"/>
          <c:w val="0.75984565741883237"/>
          <c:h val="0.61189405486054738"/>
        </c:manualLayout>
      </c:layout>
      <c:barChart>
        <c:barDir val="col"/>
        <c:grouping val="clustered"/>
        <c:varyColors val="0"/>
        <c:ser>
          <c:idx val="0"/>
          <c:order val="0"/>
          <c:tx>
            <c:strRef>
              <c:f>'Reponse Analysis'!$E$52</c:f>
              <c:strCache>
                <c:ptCount val="1"/>
                <c:pt idx="0">
                  <c:v>Qualifications</c:v>
                </c:pt>
              </c:strCache>
            </c:strRef>
          </c:tx>
          <c:invertIfNegative val="0"/>
          <c:cat>
            <c:strRef>
              <c:f>'Reponse Analysis'!$E$53:$E$57</c:f>
              <c:strCache>
                <c:ptCount val="5"/>
                <c:pt idx="0">
                  <c:v>Short Course</c:v>
                </c:pt>
                <c:pt idx="1">
                  <c:v>6-12 Month</c:v>
                </c:pt>
                <c:pt idx="2">
                  <c:v>Degree</c:v>
                </c:pt>
                <c:pt idx="3">
                  <c:v>No Change</c:v>
                </c:pt>
                <c:pt idx="4">
                  <c:v>No Comment</c:v>
                </c:pt>
              </c:strCache>
            </c:strRef>
          </c:cat>
          <c:val>
            <c:numRef>
              <c:f>'Reponse Analysis'!$F$53:$F$57</c:f>
              <c:numCache>
                <c:formatCode>General</c:formatCode>
                <c:ptCount val="5"/>
                <c:pt idx="0">
                  <c:v>11</c:v>
                </c:pt>
                <c:pt idx="1">
                  <c:v>51</c:v>
                </c:pt>
                <c:pt idx="2">
                  <c:v>98</c:v>
                </c:pt>
                <c:pt idx="3">
                  <c:v>9</c:v>
                </c:pt>
                <c:pt idx="4">
                  <c:v>72</c:v>
                </c:pt>
              </c:numCache>
            </c:numRef>
          </c:val>
        </c:ser>
        <c:dLbls>
          <c:showLegendKey val="0"/>
          <c:showVal val="0"/>
          <c:showCatName val="0"/>
          <c:showSerName val="0"/>
          <c:showPercent val="0"/>
          <c:showBubbleSize val="0"/>
        </c:dLbls>
        <c:gapWidth val="150"/>
        <c:axId val="3787392"/>
        <c:axId val="3789568"/>
      </c:barChart>
      <c:barChart>
        <c:barDir val="col"/>
        <c:grouping val="clustered"/>
        <c:varyColors val="0"/>
        <c:ser>
          <c:idx val="1"/>
          <c:order val="1"/>
          <c:tx>
            <c:strRef>
              <c:f>'Reponse Analysis'!$G$52</c:f>
              <c:strCache>
                <c:ptCount val="1"/>
                <c:pt idx="0">
                  <c:v>Percentage</c:v>
                </c:pt>
              </c:strCache>
            </c:strRef>
          </c:tx>
          <c:spPr>
            <a:solidFill>
              <a:schemeClr val="accent1"/>
            </a:solidFill>
          </c:spPr>
          <c:invertIfNegative val="0"/>
          <c:dPt>
            <c:idx val="0"/>
            <c:invertIfNegative val="0"/>
            <c:bubble3D val="0"/>
            <c:spPr>
              <a:solidFill>
                <a:srgbClr val="4E1A74"/>
              </a:solidFill>
            </c:spPr>
          </c:dPt>
          <c:dPt>
            <c:idx val="1"/>
            <c:invertIfNegative val="0"/>
            <c:bubble3D val="0"/>
            <c:spPr>
              <a:solidFill>
                <a:srgbClr val="4E1A74"/>
              </a:solidFill>
            </c:spPr>
          </c:dPt>
          <c:dPt>
            <c:idx val="2"/>
            <c:invertIfNegative val="0"/>
            <c:bubble3D val="0"/>
            <c:spPr>
              <a:solidFill>
                <a:srgbClr val="4E1A74"/>
              </a:solidFill>
            </c:spPr>
          </c:dPt>
          <c:dPt>
            <c:idx val="3"/>
            <c:invertIfNegative val="0"/>
            <c:bubble3D val="0"/>
            <c:spPr>
              <a:solidFill>
                <a:srgbClr val="4E1A74"/>
              </a:solidFill>
            </c:spPr>
          </c:dPt>
          <c:dPt>
            <c:idx val="4"/>
            <c:invertIfNegative val="0"/>
            <c:bubble3D val="0"/>
            <c:spPr>
              <a:solidFill>
                <a:srgbClr val="4E1A74"/>
              </a:solidFill>
            </c:spPr>
          </c:dPt>
          <c:val>
            <c:numRef>
              <c:f>'Reponse Analysis'!$G$53:$G$57</c:f>
              <c:numCache>
                <c:formatCode>0%</c:formatCode>
                <c:ptCount val="5"/>
                <c:pt idx="0">
                  <c:v>4.5643153526970952E-2</c:v>
                </c:pt>
                <c:pt idx="1">
                  <c:v>0.21161825726141079</c:v>
                </c:pt>
                <c:pt idx="2">
                  <c:v>0.40663900414937759</c:v>
                </c:pt>
                <c:pt idx="3">
                  <c:v>3.7344398340248962E-2</c:v>
                </c:pt>
                <c:pt idx="4">
                  <c:v>0.29875518672199169</c:v>
                </c:pt>
              </c:numCache>
            </c:numRef>
          </c:val>
        </c:ser>
        <c:dLbls>
          <c:showLegendKey val="0"/>
          <c:showVal val="0"/>
          <c:showCatName val="0"/>
          <c:showSerName val="0"/>
          <c:showPercent val="0"/>
          <c:showBubbleSize val="0"/>
        </c:dLbls>
        <c:gapWidth val="22"/>
        <c:axId val="3797760"/>
        <c:axId val="3791488"/>
      </c:barChart>
      <c:catAx>
        <c:axId val="3787392"/>
        <c:scaling>
          <c:orientation val="minMax"/>
        </c:scaling>
        <c:delete val="0"/>
        <c:axPos val="b"/>
        <c:title>
          <c:tx>
            <c:rich>
              <a:bodyPr/>
              <a:lstStyle/>
              <a:p>
                <a:pPr>
                  <a:defRPr sz="1200"/>
                </a:pPr>
                <a:r>
                  <a:rPr lang="en-AU" sz="1200"/>
                  <a:t>Qualification level</a:t>
                </a:r>
              </a:p>
            </c:rich>
          </c:tx>
          <c:layout>
            <c:manualLayout>
              <c:xMode val="edge"/>
              <c:yMode val="edge"/>
              <c:x val="0.39172859450726977"/>
              <c:y val="0.90068855053835439"/>
            </c:manualLayout>
          </c:layout>
          <c:overlay val="0"/>
        </c:title>
        <c:majorTickMark val="out"/>
        <c:minorTickMark val="none"/>
        <c:tickLblPos val="nextTo"/>
        <c:txPr>
          <a:bodyPr/>
          <a:lstStyle/>
          <a:p>
            <a:pPr>
              <a:defRPr b="1"/>
            </a:pPr>
            <a:endParaRPr lang="en-US"/>
          </a:p>
        </c:txPr>
        <c:crossAx val="3789568"/>
        <c:crosses val="autoZero"/>
        <c:auto val="1"/>
        <c:lblAlgn val="ctr"/>
        <c:lblOffset val="100"/>
        <c:noMultiLvlLbl val="0"/>
      </c:catAx>
      <c:valAx>
        <c:axId val="3789568"/>
        <c:scaling>
          <c:orientation val="minMax"/>
        </c:scaling>
        <c:delete val="0"/>
        <c:axPos val="l"/>
        <c:title>
          <c:tx>
            <c:rich>
              <a:bodyPr rot="-5400000" vert="horz"/>
              <a:lstStyle/>
              <a:p>
                <a:pPr>
                  <a:defRPr sz="1200"/>
                </a:pPr>
                <a:r>
                  <a:rPr lang="en-US" sz="1200"/>
                  <a:t>Number of responses</a:t>
                </a:r>
              </a:p>
            </c:rich>
          </c:tx>
          <c:overlay val="0"/>
        </c:title>
        <c:numFmt formatCode="General" sourceLinked="1"/>
        <c:majorTickMark val="out"/>
        <c:minorTickMark val="none"/>
        <c:tickLblPos val="nextTo"/>
        <c:txPr>
          <a:bodyPr/>
          <a:lstStyle/>
          <a:p>
            <a:pPr>
              <a:defRPr b="1"/>
            </a:pPr>
            <a:endParaRPr lang="en-US"/>
          </a:p>
        </c:txPr>
        <c:crossAx val="3787392"/>
        <c:crosses val="autoZero"/>
        <c:crossBetween val="between"/>
      </c:valAx>
      <c:valAx>
        <c:axId val="3791488"/>
        <c:scaling>
          <c:orientation val="minMax"/>
          <c:max val="0.49790000000000006"/>
          <c:min val="0"/>
        </c:scaling>
        <c:delete val="0"/>
        <c:axPos val="r"/>
        <c:title>
          <c:tx>
            <c:rich>
              <a:bodyPr rot="-5400000" vert="horz"/>
              <a:lstStyle/>
              <a:p>
                <a:pPr>
                  <a:defRPr sz="1200"/>
                </a:pPr>
                <a:r>
                  <a:rPr lang="en-US" sz="1200"/>
                  <a:t>Percentage</a:t>
                </a:r>
              </a:p>
            </c:rich>
          </c:tx>
          <c:overlay val="0"/>
        </c:title>
        <c:numFmt formatCode="0%" sourceLinked="1"/>
        <c:majorTickMark val="out"/>
        <c:minorTickMark val="none"/>
        <c:tickLblPos val="nextTo"/>
        <c:txPr>
          <a:bodyPr/>
          <a:lstStyle/>
          <a:p>
            <a:pPr>
              <a:defRPr b="1"/>
            </a:pPr>
            <a:endParaRPr lang="en-US"/>
          </a:p>
        </c:txPr>
        <c:crossAx val="3797760"/>
        <c:crosses val="max"/>
        <c:crossBetween val="between"/>
      </c:valAx>
      <c:catAx>
        <c:axId val="3797760"/>
        <c:scaling>
          <c:orientation val="minMax"/>
        </c:scaling>
        <c:delete val="1"/>
        <c:axPos val="b"/>
        <c:majorTickMark val="out"/>
        <c:minorTickMark val="none"/>
        <c:tickLblPos val="nextTo"/>
        <c:crossAx val="3791488"/>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9600369721227"/>
          <c:y val="6.1102362204724411E-2"/>
          <c:w val="0.77200355769482298"/>
          <c:h val="0.73360667512468869"/>
        </c:manualLayout>
      </c:layout>
      <c:barChart>
        <c:barDir val="col"/>
        <c:grouping val="clustered"/>
        <c:varyColors val="0"/>
        <c:ser>
          <c:idx val="0"/>
          <c:order val="0"/>
          <c:tx>
            <c:strRef>
              <c:f>'Reponse Analysis'!$F$59</c:f>
              <c:strCache>
                <c:ptCount val="1"/>
                <c:pt idx="0">
                  <c:v>Number</c:v>
                </c:pt>
              </c:strCache>
            </c:strRef>
          </c:tx>
          <c:invertIfNegative val="0"/>
          <c:cat>
            <c:strRef>
              <c:f>'Reponse Analysis'!$E$38:$E$41</c:f>
              <c:strCache>
                <c:ptCount val="4"/>
                <c:pt idx="0">
                  <c:v>Does not support</c:v>
                </c:pt>
                <c:pt idx="1">
                  <c:v>Full Support</c:v>
                </c:pt>
                <c:pt idx="2">
                  <c:v>No comment</c:v>
                </c:pt>
                <c:pt idx="3">
                  <c:v>Partial/modifed Support</c:v>
                </c:pt>
              </c:strCache>
            </c:strRef>
          </c:cat>
          <c:val>
            <c:numRef>
              <c:f>'Reponse Analysis'!$F$60:$F$62</c:f>
              <c:numCache>
                <c:formatCode>General</c:formatCode>
                <c:ptCount val="3"/>
                <c:pt idx="0">
                  <c:v>5</c:v>
                </c:pt>
                <c:pt idx="1">
                  <c:v>29</c:v>
                </c:pt>
                <c:pt idx="2">
                  <c:v>207</c:v>
                </c:pt>
              </c:numCache>
            </c:numRef>
          </c:val>
        </c:ser>
        <c:dLbls>
          <c:showLegendKey val="0"/>
          <c:showVal val="0"/>
          <c:showCatName val="0"/>
          <c:showSerName val="0"/>
          <c:showPercent val="0"/>
          <c:showBubbleSize val="0"/>
        </c:dLbls>
        <c:gapWidth val="150"/>
        <c:axId val="33707904"/>
        <c:axId val="33734656"/>
      </c:barChart>
      <c:barChart>
        <c:barDir val="col"/>
        <c:grouping val="clustered"/>
        <c:varyColors val="0"/>
        <c:ser>
          <c:idx val="1"/>
          <c:order val="1"/>
          <c:tx>
            <c:strRef>
              <c:f>'Reponse Analysis'!$G$59</c:f>
              <c:strCache>
                <c:ptCount val="1"/>
                <c:pt idx="0">
                  <c:v>Percentage</c:v>
                </c:pt>
              </c:strCache>
            </c:strRef>
          </c:tx>
          <c:spPr>
            <a:solidFill>
              <a:srgbClr val="4E1A74"/>
            </a:solidFill>
          </c:spPr>
          <c:invertIfNegative val="0"/>
          <c:val>
            <c:numRef>
              <c:f>'Reponse Analysis'!$G$60:$G$62</c:f>
              <c:numCache>
                <c:formatCode>0%</c:formatCode>
                <c:ptCount val="3"/>
                <c:pt idx="0">
                  <c:v>2.0746887966804978E-2</c:v>
                </c:pt>
                <c:pt idx="1">
                  <c:v>0.12033195020746888</c:v>
                </c:pt>
                <c:pt idx="2">
                  <c:v>0.85892116182572609</c:v>
                </c:pt>
              </c:numCache>
            </c:numRef>
          </c:val>
        </c:ser>
        <c:dLbls>
          <c:showLegendKey val="0"/>
          <c:showVal val="0"/>
          <c:showCatName val="0"/>
          <c:showSerName val="0"/>
          <c:showPercent val="0"/>
          <c:showBubbleSize val="0"/>
        </c:dLbls>
        <c:gapWidth val="22"/>
        <c:axId val="33742848"/>
        <c:axId val="33736576"/>
      </c:barChart>
      <c:catAx>
        <c:axId val="33707904"/>
        <c:scaling>
          <c:orientation val="minMax"/>
        </c:scaling>
        <c:delete val="0"/>
        <c:axPos val="b"/>
        <c:title>
          <c:tx>
            <c:rich>
              <a:bodyPr/>
              <a:lstStyle/>
              <a:p>
                <a:pPr>
                  <a:defRPr sz="1200"/>
                </a:pPr>
                <a:r>
                  <a:rPr lang="en-US" sz="1200"/>
                  <a:t>Level of Support</a:t>
                </a:r>
              </a:p>
            </c:rich>
          </c:tx>
          <c:layout>
            <c:manualLayout>
              <c:xMode val="edge"/>
              <c:yMode val="edge"/>
              <c:x val="0.38960124170525195"/>
              <c:y val="0.90305254042733152"/>
            </c:manualLayout>
          </c:layout>
          <c:overlay val="0"/>
        </c:title>
        <c:majorTickMark val="out"/>
        <c:minorTickMark val="none"/>
        <c:tickLblPos val="nextTo"/>
        <c:txPr>
          <a:bodyPr/>
          <a:lstStyle/>
          <a:p>
            <a:pPr>
              <a:defRPr b="1"/>
            </a:pPr>
            <a:endParaRPr lang="en-US"/>
          </a:p>
        </c:txPr>
        <c:crossAx val="33734656"/>
        <c:crosses val="autoZero"/>
        <c:auto val="1"/>
        <c:lblAlgn val="ctr"/>
        <c:lblOffset val="100"/>
        <c:noMultiLvlLbl val="0"/>
      </c:catAx>
      <c:valAx>
        <c:axId val="33734656"/>
        <c:scaling>
          <c:orientation val="minMax"/>
          <c:max val="220"/>
          <c:min val="0"/>
        </c:scaling>
        <c:delete val="0"/>
        <c:axPos val="l"/>
        <c:title>
          <c:tx>
            <c:rich>
              <a:bodyPr rot="-5400000" vert="horz"/>
              <a:lstStyle/>
              <a:p>
                <a:pPr>
                  <a:defRPr sz="1200"/>
                </a:pPr>
                <a:r>
                  <a:rPr lang="en-US" sz="1200"/>
                  <a:t>Number of</a:t>
                </a:r>
                <a:r>
                  <a:rPr lang="en-US" sz="1200" baseline="0"/>
                  <a:t> Responses</a:t>
                </a:r>
              </a:p>
            </c:rich>
          </c:tx>
          <c:overlay val="0"/>
        </c:title>
        <c:numFmt formatCode="General" sourceLinked="1"/>
        <c:majorTickMark val="out"/>
        <c:minorTickMark val="none"/>
        <c:tickLblPos val="nextTo"/>
        <c:txPr>
          <a:bodyPr/>
          <a:lstStyle/>
          <a:p>
            <a:pPr>
              <a:defRPr b="1"/>
            </a:pPr>
            <a:endParaRPr lang="en-US"/>
          </a:p>
        </c:txPr>
        <c:crossAx val="33707904"/>
        <c:crosses val="autoZero"/>
        <c:crossBetween val="between"/>
        <c:majorUnit val="20"/>
      </c:valAx>
      <c:valAx>
        <c:axId val="33736576"/>
        <c:scaling>
          <c:orientation val="minMax"/>
          <c:max val="0.91290000000000004"/>
          <c:min val="0"/>
        </c:scaling>
        <c:delete val="0"/>
        <c:axPos val="r"/>
        <c:title>
          <c:tx>
            <c:rich>
              <a:bodyPr rot="-5400000" vert="horz"/>
              <a:lstStyle/>
              <a:p>
                <a:pPr>
                  <a:defRPr sz="1200"/>
                </a:pPr>
                <a:r>
                  <a:rPr lang="en-AU" sz="1200"/>
                  <a:t>Percentage</a:t>
                </a:r>
              </a:p>
            </c:rich>
          </c:tx>
          <c:overlay val="0"/>
        </c:title>
        <c:numFmt formatCode="0%" sourceLinked="1"/>
        <c:majorTickMark val="out"/>
        <c:minorTickMark val="none"/>
        <c:tickLblPos val="nextTo"/>
        <c:txPr>
          <a:bodyPr/>
          <a:lstStyle/>
          <a:p>
            <a:pPr>
              <a:defRPr b="1"/>
            </a:pPr>
            <a:endParaRPr lang="en-US"/>
          </a:p>
        </c:txPr>
        <c:crossAx val="33742848"/>
        <c:crosses val="max"/>
        <c:crossBetween val="between"/>
        <c:majorUnit val="5.000000000000001E-2"/>
      </c:valAx>
      <c:catAx>
        <c:axId val="33742848"/>
        <c:scaling>
          <c:orientation val="minMax"/>
        </c:scaling>
        <c:delete val="1"/>
        <c:axPos val="b"/>
        <c:majorTickMark val="out"/>
        <c:minorTickMark val="none"/>
        <c:tickLblPos val="nextTo"/>
        <c:crossAx val="33736576"/>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3275088065798"/>
          <c:y val="8.1255750039928173E-2"/>
          <c:w val="0.77570303712035993"/>
          <c:h val="0.6805847769028871"/>
        </c:manualLayout>
      </c:layout>
      <c:barChart>
        <c:barDir val="col"/>
        <c:grouping val="clustered"/>
        <c:varyColors val="0"/>
        <c:ser>
          <c:idx val="0"/>
          <c:order val="0"/>
          <c:tx>
            <c:strRef>
              <c:f>'Reponse Analysis'!$E$64</c:f>
              <c:strCache>
                <c:ptCount val="1"/>
                <c:pt idx="0">
                  <c:v>Impact/Concerns</c:v>
                </c:pt>
              </c:strCache>
            </c:strRef>
          </c:tx>
          <c:invertIfNegative val="0"/>
          <c:cat>
            <c:strRef>
              <c:f>'Reponse Analysis'!$E$65:$E$69</c:f>
              <c:strCache>
                <c:ptCount val="5"/>
                <c:pt idx="0">
                  <c:v>Client Safety</c:v>
                </c:pt>
                <c:pt idx="1">
                  <c:v>Cost to business</c:v>
                </c:pt>
                <c:pt idx="2">
                  <c:v>Cost/time for education/training</c:v>
                </c:pt>
                <c:pt idx="3">
                  <c:v>No comments</c:v>
                </c:pt>
                <c:pt idx="4">
                  <c:v>Pricing increase</c:v>
                </c:pt>
              </c:strCache>
            </c:strRef>
          </c:cat>
          <c:val>
            <c:numRef>
              <c:f>'Reponse Analysis'!$F$65:$F$69</c:f>
              <c:numCache>
                <c:formatCode>General</c:formatCode>
                <c:ptCount val="5"/>
                <c:pt idx="0">
                  <c:v>92</c:v>
                </c:pt>
                <c:pt idx="1">
                  <c:v>30</c:v>
                </c:pt>
                <c:pt idx="2">
                  <c:v>14</c:v>
                </c:pt>
                <c:pt idx="3">
                  <c:v>102</c:v>
                </c:pt>
                <c:pt idx="4">
                  <c:v>3</c:v>
                </c:pt>
              </c:numCache>
            </c:numRef>
          </c:val>
        </c:ser>
        <c:dLbls>
          <c:showLegendKey val="0"/>
          <c:showVal val="0"/>
          <c:showCatName val="0"/>
          <c:showSerName val="0"/>
          <c:showPercent val="0"/>
          <c:showBubbleSize val="0"/>
        </c:dLbls>
        <c:gapWidth val="150"/>
        <c:axId val="33821824"/>
        <c:axId val="33823744"/>
      </c:barChart>
      <c:barChart>
        <c:barDir val="col"/>
        <c:grouping val="clustered"/>
        <c:varyColors val="0"/>
        <c:ser>
          <c:idx val="1"/>
          <c:order val="1"/>
          <c:tx>
            <c:strRef>
              <c:f>'Reponse Analysis'!$G$64</c:f>
              <c:strCache>
                <c:ptCount val="1"/>
                <c:pt idx="0">
                  <c:v>Percentage</c:v>
                </c:pt>
              </c:strCache>
            </c:strRef>
          </c:tx>
          <c:spPr>
            <a:solidFill>
              <a:srgbClr val="4E1A74"/>
            </a:solidFill>
          </c:spPr>
          <c:invertIfNegative val="0"/>
          <c:val>
            <c:numRef>
              <c:f>'Reponse Analysis'!$G$65:$G$69</c:f>
              <c:numCache>
                <c:formatCode>0%</c:formatCode>
                <c:ptCount val="5"/>
                <c:pt idx="0">
                  <c:v>0.38174273858921159</c:v>
                </c:pt>
                <c:pt idx="1">
                  <c:v>0.12448132780082988</c:v>
                </c:pt>
                <c:pt idx="2">
                  <c:v>5.8091286307053944E-2</c:v>
                </c:pt>
                <c:pt idx="3">
                  <c:v>0.42323651452282157</c:v>
                </c:pt>
                <c:pt idx="4">
                  <c:v>1.2448132780082987E-2</c:v>
                </c:pt>
              </c:numCache>
            </c:numRef>
          </c:val>
        </c:ser>
        <c:dLbls>
          <c:showLegendKey val="0"/>
          <c:showVal val="0"/>
          <c:showCatName val="0"/>
          <c:showSerName val="0"/>
          <c:showPercent val="0"/>
          <c:showBubbleSize val="0"/>
        </c:dLbls>
        <c:gapWidth val="22"/>
        <c:axId val="33827840"/>
        <c:axId val="33825920"/>
      </c:barChart>
      <c:catAx>
        <c:axId val="33821824"/>
        <c:scaling>
          <c:orientation val="minMax"/>
        </c:scaling>
        <c:delete val="0"/>
        <c:axPos val="b"/>
        <c:title>
          <c:tx>
            <c:rich>
              <a:bodyPr/>
              <a:lstStyle/>
              <a:p>
                <a:pPr>
                  <a:defRPr sz="1200"/>
                </a:pPr>
                <a:r>
                  <a:rPr lang="en-AU" sz="1200"/>
                  <a:t>Impact/Concern</a:t>
                </a:r>
              </a:p>
            </c:rich>
          </c:tx>
          <c:layout>
            <c:manualLayout>
              <c:xMode val="edge"/>
              <c:yMode val="edge"/>
              <c:x val="0.39172859450726977"/>
              <c:y val="0.90068855053835439"/>
            </c:manualLayout>
          </c:layout>
          <c:overlay val="0"/>
        </c:title>
        <c:majorTickMark val="out"/>
        <c:minorTickMark val="none"/>
        <c:tickLblPos val="nextTo"/>
        <c:txPr>
          <a:bodyPr/>
          <a:lstStyle/>
          <a:p>
            <a:pPr>
              <a:defRPr sz="800" b="1"/>
            </a:pPr>
            <a:endParaRPr lang="en-US"/>
          </a:p>
        </c:txPr>
        <c:crossAx val="33823744"/>
        <c:crosses val="autoZero"/>
        <c:auto val="1"/>
        <c:lblAlgn val="ctr"/>
        <c:lblOffset val="100"/>
        <c:noMultiLvlLbl val="0"/>
      </c:catAx>
      <c:valAx>
        <c:axId val="33823744"/>
        <c:scaling>
          <c:orientation val="minMax"/>
        </c:scaling>
        <c:delete val="0"/>
        <c:axPos val="l"/>
        <c:title>
          <c:tx>
            <c:rich>
              <a:bodyPr rot="-5400000" vert="horz"/>
              <a:lstStyle/>
              <a:p>
                <a:pPr>
                  <a:defRPr sz="1200"/>
                </a:pPr>
                <a:r>
                  <a:rPr lang="en-US" sz="1200"/>
                  <a:t>Number of Responses</a:t>
                </a:r>
              </a:p>
            </c:rich>
          </c:tx>
          <c:overlay val="0"/>
        </c:title>
        <c:numFmt formatCode="General" sourceLinked="1"/>
        <c:majorTickMark val="out"/>
        <c:minorTickMark val="none"/>
        <c:tickLblPos val="nextTo"/>
        <c:txPr>
          <a:bodyPr/>
          <a:lstStyle/>
          <a:p>
            <a:pPr>
              <a:defRPr b="1"/>
            </a:pPr>
            <a:endParaRPr lang="en-US"/>
          </a:p>
        </c:txPr>
        <c:crossAx val="33821824"/>
        <c:crosses val="autoZero"/>
        <c:crossBetween val="between"/>
      </c:valAx>
      <c:valAx>
        <c:axId val="33825920"/>
        <c:scaling>
          <c:orientation val="minMax"/>
          <c:max val="0.49790000000000006"/>
          <c:min val="0"/>
        </c:scaling>
        <c:delete val="0"/>
        <c:axPos val="r"/>
        <c:title>
          <c:tx>
            <c:rich>
              <a:bodyPr rot="-5400000" vert="horz"/>
              <a:lstStyle/>
              <a:p>
                <a:pPr>
                  <a:defRPr sz="1200"/>
                </a:pPr>
                <a:r>
                  <a:rPr lang="en-US" sz="1200"/>
                  <a:t>Percentage</a:t>
                </a:r>
              </a:p>
            </c:rich>
          </c:tx>
          <c:overlay val="0"/>
        </c:title>
        <c:numFmt formatCode="0%" sourceLinked="1"/>
        <c:majorTickMark val="out"/>
        <c:minorTickMark val="none"/>
        <c:tickLblPos val="nextTo"/>
        <c:txPr>
          <a:bodyPr/>
          <a:lstStyle/>
          <a:p>
            <a:pPr>
              <a:defRPr b="1"/>
            </a:pPr>
            <a:endParaRPr lang="en-US"/>
          </a:p>
        </c:txPr>
        <c:crossAx val="33827840"/>
        <c:crosses val="max"/>
        <c:crossBetween val="between"/>
      </c:valAx>
      <c:catAx>
        <c:axId val="33827840"/>
        <c:scaling>
          <c:orientation val="minMax"/>
        </c:scaling>
        <c:delete val="1"/>
        <c:axPos val="b"/>
        <c:majorTickMark val="out"/>
        <c:minorTickMark val="none"/>
        <c:tickLblPos val="nextTo"/>
        <c:crossAx val="33825920"/>
        <c:crosses val="autoZero"/>
        <c:auto val="1"/>
        <c:lblAlgn val="ctr"/>
        <c:lblOffset val="100"/>
        <c:noMultiLvlLbl val="0"/>
      </c:catAx>
    </c:plotArea>
    <c:plotVisOnly val="1"/>
    <c:dispBlanksAs val="gap"/>
    <c:showDLblsOverMax val="0"/>
  </c:chart>
  <c:spPr>
    <a:ln>
      <a:solidFill>
        <a:srgbClr val="4E1A74"/>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FCF89-8167-4F1A-9964-2DF30C27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6864</Words>
  <Characters>38576</Characters>
  <Application>Microsoft Office Word</Application>
  <DocSecurity>0</DocSecurity>
  <Lines>612</Lines>
  <Paragraphs>282</Paragraphs>
  <ScaleCrop>false</ScaleCrop>
  <HeadingPairs>
    <vt:vector size="2" baseType="variant">
      <vt:variant>
        <vt:lpstr>Title</vt:lpstr>
      </vt:variant>
      <vt:variant>
        <vt:i4>1</vt:i4>
      </vt:variant>
    </vt:vector>
  </HeadingPairs>
  <TitlesOfParts>
    <vt:vector size="1" baseType="lpstr">
      <vt:lpstr>Analysis of Public Submissions – Consultation Regulatory Impact Statement in the use of Intense Pulsed Light (IPLs) Sources and Lasers                       1for Cosmetic or Beauty Therapy</vt:lpstr>
    </vt:vector>
  </TitlesOfParts>
  <Company>ARPANSA</Company>
  <LinksUpToDate>false</LinksUpToDate>
  <CharactersWithSpaces>45158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Public Submissions – Consultation Regulatory Impact Statement in the use of Intense Pulsed Light (IPLs) Sources and Lasers                       1for Cosmetic or Beauty Therapy</dc:title>
  <dc:subject>Technical Report No 177</dc:subject>
  <dc:creator>ARPANSA</dc:creator>
  <cp:keywords/>
  <dc:description/>
  <cp:lastModifiedBy>sforcl</cp:lastModifiedBy>
  <cp:revision>3</cp:revision>
  <cp:lastPrinted>2017-03-17T04:53:00Z</cp:lastPrinted>
  <dcterms:created xsi:type="dcterms:W3CDTF">2017-03-29T04:52:00Z</dcterms:created>
  <dcterms:modified xsi:type="dcterms:W3CDTF">2017-03-29T05:30:00Z</dcterms:modified>
</cp:coreProperties>
</file>